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2.xml" ContentType="application/vnd.openxmlformats-officedocument.themeOverrid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3.xml" ContentType="application/vnd.openxmlformats-officedocument.themeOverrid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4.xml" ContentType="application/vnd.openxmlformats-officedocument.themeOverrid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5.xml" ContentType="application/vnd.openxmlformats-officedocument.themeOverrid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6.xml" ContentType="application/vnd.openxmlformats-officedocument.themeOverrid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7.xml" ContentType="application/vnd.openxmlformats-officedocument.themeOverride+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8.xml" ContentType="application/vnd.openxmlformats-officedocument.themeOverrid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9.xml" ContentType="application/vnd.openxmlformats-officedocument.themeOverride+xml"/>
  <Override PartName="/word/charts/chart23.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4.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10.xml" ContentType="application/vnd.openxmlformats-officedocument.themeOverride+xml"/>
  <Override PartName="/word/charts/chart25.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6.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11.xml" ContentType="application/vnd.openxmlformats-officedocument.themeOverride+xml"/>
  <Override PartName="/word/charts/chart27.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12.xml" ContentType="application/vnd.openxmlformats-officedocument.themeOverride+xml"/>
  <Override PartName="/word/charts/chart28.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13.xml" ContentType="application/vnd.openxmlformats-officedocument.themeOverride+xml"/>
  <Override PartName="/word/charts/chart29.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14.xml" ContentType="application/vnd.openxmlformats-officedocument.themeOverride+xml"/>
  <Override PartName="/word/charts/chart30.xml" ContentType="application/vnd.openxmlformats-officedocument.drawingml.chart+xml"/>
  <Override PartName="/word/charts/style29.xml" ContentType="application/vnd.ms-office.chartstyle+xml"/>
  <Override PartName="/word/charts/colors2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0F0278" w14:textId="3A58D545" w:rsidR="00E31A63" w:rsidRDefault="00E31A63" w:rsidP="0033681B">
      <w:pPr>
        <w:spacing w:after="160" w:line="259" w:lineRule="auto"/>
        <w:ind w:firstLine="0"/>
        <w:jc w:val="center"/>
        <w:rPr>
          <w:rFonts w:asciiTheme="majorHAnsi" w:hAnsiTheme="majorHAnsi"/>
          <w:sz w:val="40"/>
          <w:szCs w:val="40"/>
        </w:rPr>
      </w:pPr>
    </w:p>
    <w:p w14:paraId="71372A23" w14:textId="4702EE02" w:rsidR="0033681B" w:rsidRDefault="004F2D4F" w:rsidP="0033681B">
      <w:pPr>
        <w:spacing w:after="160" w:line="259" w:lineRule="auto"/>
        <w:ind w:firstLine="0"/>
        <w:jc w:val="center"/>
        <w:rPr>
          <w:rFonts w:asciiTheme="majorHAnsi" w:hAnsiTheme="majorHAnsi"/>
          <w:sz w:val="40"/>
          <w:szCs w:val="40"/>
        </w:rPr>
      </w:pPr>
      <w:r>
        <w:rPr>
          <w:rFonts w:asciiTheme="majorHAnsi" w:hAnsiTheme="majorHAnsi"/>
          <w:sz w:val="40"/>
          <w:szCs w:val="40"/>
        </w:rPr>
        <w:t>UNIVERSITY OF OKLAHOMA</w:t>
      </w:r>
    </w:p>
    <w:p w14:paraId="5338DB02" w14:textId="6B1BD36A" w:rsidR="00E31A63" w:rsidRDefault="00147892" w:rsidP="0033681B">
      <w:pPr>
        <w:spacing w:after="160" w:line="259" w:lineRule="auto"/>
        <w:ind w:firstLine="0"/>
        <w:jc w:val="center"/>
        <w:rPr>
          <w:rFonts w:asciiTheme="majorHAnsi" w:hAnsiTheme="majorHAnsi"/>
          <w:sz w:val="40"/>
          <w:szCs w:val="40"/>
        </w:rPr>
      </w:pPr>
      <w:r>
        <w:rPr>
          <w:rFonts w:asciiTheme="majorHAnsi" w:hAnsiTheme="majorHAnsi"/>
          <w:sz w:val="40"/>
          <w:szCs w:val="40"/>
        </w:rPr>
        <w:t>GRADUATE COLLEGE</w:t>
      </w:r>
    </w:p>
    <w:p w14:paraId="1E9C9BC3" w14:textId="77777777" w:rsidR="00E31A63" w:rsidRDefault="00E31A63" w:rsidP="0033681B">
      <w:pPr>
        <w:spacing w:after="160" w:line="259" w:lineRule="auto"/>
        <w:ind w:firstLine="0"/>
        <w:jc w:val="center"/>
        <w:rPr>
          <w:rFonts w:asciiTheme="majorHAnsi" w:hAnsiTheme="majorHAnsi"/>
          <w:sz w:val="40"/>
          <w:szCs w:val="40"/>
        </w:rPr>
      </w:pPr>
    </w:p>
    <w:p w14:paraId="0371EE0B" w14:textId="77777777" w:rsidR="00E31A63" w:rsidRDefault="00E31A63" w:rsidP="0033681B">
      <w:pPr>
        <w:spacing w:after="160" w:line="259" w:lineRule="auto"/>
        <w:ind w:firstLine="0"/>
        <w:jc w:val="center"/>
        <w:rPr>
          <w:rFonts w:asciiTheme="majorHAnsi" w:hAnsiTheme="majorHAnsi"/>
          <w:sz w:val="40"/>
          <w:szCs w:val="40"/>
        </w:rPr>
      </w:pPr>
    </w:p>
    <w:p w14:paraId="7433A0F0" w14:textId="0E3B45CF" w:rsidR="00E31A63" w:rsidRDefault="009D3DD8" w:rsidP="0033681B">
      <w:pPr>
        <w:spacing w:after="160" w:line="259" w:lineRule="auto"/>
        <w:ind w:firstLine="0"/>
        <w:jc w:val="center"/>
        <w:rPr>
          <w:rFonts w:asciiTheme="majorHAnsi" w:hAnsiTheme="majorHAnsi"/>
          <w:sz w:val="40"/>
          <w:szCs w:val="40"/>
        </w:rPr>
      </w:pPr>
      <w:r>
        <w:rPr>
          <w:rFonts w:asciiTheme="majorHAnsi" w:hAnsiTheme="majorHAnsi"/>
          <w:sz w:val="40"/>
          <w:szCs w:val="40"/>
        </w:rPr>
        <w:t xml:space="preserve">Modeling and Evaluation </w:t>
      </w:r>
      <w:r w:rsidR="002C70B7">
        <w:rPr>
          <w:rFonts w:asciiTheme="majorHAnsi" w:hAnsiTheme="majorHAnsi"/>
          <w:sz w:val="40"/>
          <w:szCs w:val="40"/>
        </w:rPr>
        <w:t>of Protonic Ceramic Fuel Cells for Flare Mitigation</w:t>
      </w:r>
    </w:p>
    <w:p w14:paraId="6823F31F" w14:textId="77777777" w:rsidR="00EA44F4" w:rsidRDefault="00EA44F4" w:rsidP="0033681B">
      <w:pPr>
        <w:spacing w:after="160" w:line="259" w:lineRule="auto"/>
        <w:ind w:firstLine="0"/>
        <w:jc w:val="center"/>
        <w:rPr>
          <w:rFonts w:asciiTheme="majorHAnsi" w:hAnsiTheme="majorHAnsi"/>
          <w:sz w:val="40"/>
          <w:szCs w:val="40"/>
        </w:rPr>
      </w:pPr>
    </w:p>
    <w:p w14:paraId="283C5EB6" w14:textId="77777777" w:rsidR="00EA44F4" w:rsidRDefault="00EA44F4" w:rsidP="0033681B">
      <w:pPr>
        <w:spacing w:after="160" w:line="259" w:lineRule="auto"/>
        <w:ind w:firstLine="0"/>
        <w:jc w:val="center"/>
        <w:rPr>
          <w:rFonts w:asciiTheme="majorHAnsi" w:hAnsiTheme="majorHAnsi"/>
          <w:sz w:val="40"/>
          <w:szCs w:val="40"/>
        </w:rPr>
      </w:pPr>
    </w:p>
    <w:p w14:paraId="32E67655" w14:textId="77777777" w:rsidR="00EA44F4" w:rsidRDefault="00EA44F4" w:rsidP="0033681B">
      <w:pPr>
        <w:spacing w:after="160" w:line="259" w:lineRule="auto"/>
        <w:ind w:firstLine="0"/>
        <w:jc w:val="center"/>
        <w:rPr>
          <w:rFonts w:asciiTheme="majorHAnsi" w:hAnsiTheme="majorHAnsi"/>
          <w:sz w:val="28"/>
          <w:szCs w:val="28"/>
        </w:rPr>
      </w:pPr>
    </w:p>
    <w:p w14:paraId="62281249" w14:textId="13B6E3C1" w:rsidR="00EA44F4" w:rsidRDefault="00EA44F4" w:rsidP="0033681B">
      <w:pPr>
        <w:spacing w:after="160" w:line="259" w:lineRule="auto"/>
        <w:ind w:firstLine="0"/>
        <w:jc w:val="center"/>
        <w:rPr>
          <w:rFonts w:asciiTheme="majorHAnsi" w:hAnsiTheme="majorHAnsi"/>
          <w:sz w:val="28"/>
          <w:szCs w:val="28"/>
        </w:rPr>
      </w:pPr>
      <w:r>
        <w:rPr>
          <w:rFonts w:asciiTheme="majorHAnsi" w:hAnsiTheme="majorHAnsi"/>
          <w:sz w:val="28"/>
          <w:szCs w:val="28"/>
        </w:rPr>
        <w:t>A THESIS</w:t>
      </w:r>
    </w:p>
    <w:p w14:paraId="072D6C73" w14:textId="28014B02" w:rsidR="00EA44F4" w:rsidRDefault="00EA44F4" w:rsidP="0033681B">
      <w:pPr>
        <w:spacing w:after="160" w:line="259" w:lineRule="auto"/>
        <w:ind w:firstLine="0"/>
        <w:jc w:val="center"/>
        <w:rPr>
          <w:rFonts w:asciiTheme="majorHAnsi" w:hAnsiTheme="majorHAnsi"/>
          <w:sz w:val="28"/>
          <w:szCs w:val="28"/>
        </w:rPr>
      </w:pPr>
      <w:r>
        <w:rPr>
          <w:rFonts w:asciiTheme="majorHAnsi" w:hAnsiTheme="majorHAnsi"/>
          <w:sz w:val="28"/>
          <w:szCs w:val="28"/>
        </w:rPr>
        <w:t>SUBMITTED TO THE GRADUATE FACULTY</w:t>
      </w:r>
    </w:p>
    <w:p w14:paraId="2C88AF84" w14:textId="77777777" w:rsidR="00320303" w:rsidRDefault="00EA44F4" w:rsidP="0033681B">
      <w:pPr>
        <w:spacing w:after="160" w:line="259" w:lineRule="auto"/>
        <w:ind w:firstLine="0"/>
        <w:jc w:val="center"/>
        <w:rPr>
          <w:rFonts w:asciiTheme="majorHAnsi" w:hAnsiTheme="majorHAnsi"/>
          <w:sz w:val="28"/>
          <w:szCs w:val="28"/>
        </w:rPr>
      </w:pPr>
      <w:r>
        <w:rPr>
          <w:rFonts w:asciiTheme="majorHAnsi" w:hAnsiTheme="majorHAnsi"/>
          <w:sz w:val="28"/>
          <w:szCs w:val="28"/>
        </w:rPr>
        <w:t xml:space="preserve">in partial fulfilment of the requirements for the </w:t>
      </w:r>
    </w:p>
    <w:p w14:paraId="34A86095" w14:textId="46FAAC63" w:rsidR="00EA44F4" w:rsidRDefault="00092E33" w:rsidP="0033681B">
      <w:pPr>
        <w:spacing w:after="160" w:line="259" w:lineRule="auto"/>
        <w:ind w:firstLine="0"/>
        <w:jc w:val="center"/>
        <w:rPr>
          <w:rFonts w:asciiTheme="majorHAnsi" w:hAnsiTheme="majorHAnsi"/>
          <w:sz w:val="28"/>
          <w:szCs w:val="28"/>
        </w:rPr>
      </w:pPr>
      <w:r>
        <w:rPr>
          <w:rFonts w:asciiTheme="majorHAnsi" w:hAnsiTheme="majorHAnsi"/>
          <w:sz w:val="28"/>
          <w:szCs w:val="28"/>
        </w:rPr>
        <w:t>D</w:t>
      </w:r>
      <w:r w:rsidR="00EA44F4">
        <w:rPr>
          <w:rFonts w:asciiTheme="majorHAnsi" w:hAnsiTheme="majorHAnsi"/>
          <w:sz w:val="28"/>
          <w:szCs w:val="28"/>
        </w:rPr>
        <w:t>egree</w:t>
      </w:r>
      <w:r w:rsidR="0065048E">
        <w:rPr>
          <w:rFonts w:asciiTheme="majorHAnsi" w:hAnsiTheme="majorHAnsi"/>
          <w:sz w:val="28"/>
          <w:szCs w:val="28"/>
        </w:rPr>
        <w:t xml:space="preserve"> of</w:t>
      </w:r>
    </w:p>
    <w:p w14:paraId="1489ACF4" w14:textId="4A1ACB04" w:rsidR="0065048E" w:rsidRDefault="00CF2B06" w:rsidP="0033681B">
      <w:pPr>
        <w:spacing w:after="160" w:line="259" w:lineRule="auto"/>
        <w:ind w:firstLine="0"/>
        <w:jc w:val="center"/>
        <w:rPr>
          <w:rFonts w:asciiTheme="majorHAnsi" w:hAnsiTheme="majorHAnsi"/>
          <w:sz w:val="28"/>
          <w:szCs w:val="28"/>
        </w:rPr>
      </w:pPr>
      <w:r>
        <w:rPr>
          <w:rFonts w:asciiTheme="majorHAnsi" w:hAnsiTheme="majorHAnsi"/>
          <w:sz w:val="28"/>
          <w:szCs w:val="28"/>
        </w:rPr>
        <w:t>MASTER OF SCIENCE</w:t>
      </w:r>
    </w:p>
    <w:p w14:paraId="2960CA34" w14:textId="77777777" w:rsidR="0065048E" w:rsidRDefault="0065048E" w:rsidP="0033681B">
      <w:pPr>
        <w:spacing w:after="160" w:line="259" w:lineRule="auto"/>
        <w:ind w:firstLine="0"/>
        <w:jc w:val="center"/>
        <w:rPr>
          <w:rFonts w:asciiTheme="majorHAnsi" w:hAnsiTheme="majorHAnsi"/>
          <w:sz w:val="28"/>
          <w:szCs w:val="28"/>
        </w:rPr>
      </w:pPr>
    </w:p>
    <w:p w14:paraId="25FDF208" w14:textId="77777777" w:rsidR="005521B1" w:rsidRDefault="005521B1" w:rsidP="0033681B">
      <w:pPr>
        <w:spacing w:after="160" w:line="259" w:lineRule="auto"/>
        <w:ind w:firstLine="0"/>
        <w:jc w:val="center"/>
        <w:rPr>
          <w:rFonts w:asciiTheme="majorHAnsi" w:hAnsiTheme="majorHAnsi"/>
          <w:sz w:val="28"/>
          <w:szCs w:val="28"/>
        </w:rPr>
      </w:pPr>
    </w:p>
    <w:p w14:paraId="62D991E7" w14:textId="77777777" w:rsidR="005521B1" w:rsidRDefault="005521B1" w:rsidP="0033681B">
      <w:pPr>
        <w:spacing w:after="160" w:line="259" w:lineRule="auto"/>
        <w:ind w:firstLine="0"/>
        <w:jc w:val="center"/>
        <w:rPr>
          <w:rFonts w:asciiTheme="majorHAnsi" w:hAnsiTheme="majorHAnsi"/>
          <w:sz w:val="28"/>
          <w:szCs w:val="28"/>
        </w:rPr>
      </w:pPr>
    </w:p>
    <w:p w14:paraId="291B7160" w14:textId="1FFA9EBC" w:rsidR="0065048E" w:rsidRDefault="005521B1" w:rsidP="0033681B">
      <w:pPr>
        <w:spacing w:after="160" w:line="259" w:lineRule="auto"/>
        <w:ind w:firstLine="0"/>
        <w:jc w:val="center"/>
        <w:rPr>
          <w:rFonts w:asciiTheme="majorHAnsi" w:hAnsiTheme="majorHAnsi"/>
          <w:sz w:val="28"/>
          <w:szCs w:val="28"/>
        </w:rPr>
      </w:pPr>
      <w:r>
        <w:rPr>
          <w:rFonts w:asciiTheme="majorHAnsi" w:hAnsiTheme="majorHAnsi"/>
          <w:sz w:val="28"/>
          <w:szCs w:val="28"/>
        </w:rPr>
        <w:t>By</w:t>
      </w:r>
    </w:p>
    <w:p w14:paraId="1007DD68" w14:textId="1C215A21" w:rsidR="005521B1" w:rsidRDefault="005521B1" w:rsidP="0033681B">
      <w:pPr>
        <w:spacing w:after="160" w:line="259" w:lineRule="auto"/>
        <w:ind w:firstLine="0"/>
        <w:jc w:val="center"/>
        <w:rPr>
          <w:rFonts w:asciiTheme="majorHAnsi" w:hAnsiTheme="majorHAnsi"/>
          <w:sz w:val="28"/>
          <w:szCs w:val="28"/>
        </w:rPr>
      </w:pPr>
      <w:r>
        <w:rPr>
          <w:rFonts w:asciiTheme="majorHAnsi" w:hAnsiTheme="majorHAnsi"/>
          <w:sz w:val="28"/>
          <w:szCs w:val="28"/>
        </w:rPr>
        <w:t>JADEN NORMAN</w:t>
      </w:r>
    </w:p>
    <w:p w14:paraId="6A48662B" w14:textId="1A7B0EF0" w:rsidR="005521B1" w:rsidRDefault="005521B1" w:rsidP="0033681B">
      <w:pPr>
        <w:spacing w:after="160" w:line="259" w:lineRule="auto"/>
        <w:ind w:firstLine="0"/>
        <w:jc w:val="center"/>
        <w:rPr>
          <w:rFonts w:asciiTheme="majorHAnsi" w:hAnsiTheme="majorHAnsi"/>
          <w:sz w:val="28"/>
          <w:szCs w:val="28"/>
        </w:rPr>
      </w:pPr>
      <w:r>
        <w:rPr>
          <w:rFonts w:asciiTheme="majorHAnsi" w:hAnsiTheme="majorHAnsi"/>
          <w:sz w:val="28"/>
          <w:szCs w:val="28"/>
        </w:rPr>
        <w:t>Norman, Oklahoma</w:t>
      </w:r>
    </w:p>
    <w:p w14:paraId="4D5F26A9" w14:textId="514C1783" w:rsidR="0033681B" w:rsidRDefault="005521B1" w:rsidP="005521B1">
      <w:pPr>
        <w:spacing w:after="160" w:line="259" w:lineRule="auto"/>
        <w:ind w:firstLine="0"/>
        <w:jc w:val="center"/>
      </w:pPr>
      <w:r>
        <w:rPr>
          <w:rFonts w:asciiTheme="majorHAnsi" w:hAnsiTheme="majorHAnsi"/>
          <w:sz w:val="28"/>
          <w:szCs w:val="28"/>
        </w:rPr>
        <w:t>2024</w:t>
      </w:r>
      <w:r w:rsidR="0033681B">
        <w:br w:type="page"/>
      </w:r>
    </w:p>
    <w:p w14:paraId="735097ED" w14:textId="77777777" w:rsidR="005521B1" w:rsidRDefault="005521B1">
      <w:pPr>
        <w:spacing w:after="160" w:line="259" w:lineRule="auto"/>
        <w:ind w:firstLine="0"/>
      </w:pPr>
    </w:p>
    <w:p w14:paraId="5E65E8EF" w14:textId="77777777" w:rsidR="005521B1" w:rsidRDefault="005521B1">
      <w:pPr>
        <w:spacing w:after="160" w:line="259" w:lineRule="auto"/>
        <w:ind w:firstLine="0"/>
      </w:pPr>
    </w:p>
    <w:p w14:paraId="5FDDB649" w14:textId="751A825F" w:rsidR="00AC7283" w:rsidRDefault="00DA5C16" w:rsidP="00AC7283">
      <w:pPr>
        <w:spacing w:after="160" w:line="259" w:lineRule="auto"/>
        <w:ind w:firstLine="0"/>
        <w:jc w:val="center"/>
        <w:rPr>
          <w:rFonts w:asciiTheme="majorHAnsi" w:hAnsiTheme="majorHAnsi"/>
          <w:sz w:val="40"/>
          <w:szCs w:val="40"/>
        </w:rPr>
      </w:pPr>
      <w:r>
        <w:rPr>
          <w:rFonts w:asciiTheme="majorHAnsi" w:hAnsiTheme="majorHAnsi"/>
          <w:sz w:val="40"/>
          <w:szCs w:val="40"/>
        </w:rPr>
        <w:t>Modeling and Evaluation of Protonic Ceramic Fuel Cells for Flare Mitigation</w:t>
      </w:r>
    </w:p>
    <w:p w14:paraId="5D009516" w14:textId="77777777" w:rsidR="005521B1" w:rsidRDefault="005521B1" w:rsidP="005521B1">
      <w:pPr>
        <w:spacing w:after="160" w:line="259" w:lineRule="auto"/>
        <w:ind w:firstLine="0"/>
        <w:jc w:val="center"/>
      </w:pPr>
    </w:p>
    <w:p w14:paraId="74B622C5" w14:textId="77777777" w:rsidR="005521B1" w:rsidRDefault="005521B1" w:rsidP="005521B1">
      <w:pPr>
        <w:spacing w:after="160" w:line="259" w:lineRule="auto"/>
        <w:ind w:firstLine="0"/>
        <w:jc w:val="center"/>
      </w:pPr>
    </w:p>
    <w:p w14:paraId="69772D9D" w14:textId="6316446E" w:rsidR="00AE6A9F" w:rsidRPr="00CA0C0E" w:rsidRDefault="00AE6A9F" w:rsidP="005521B1">
      <w:pPr>
        <w:spacing w:after="160" w:line="259" w:lineRule="auto"/>
        <w:ind w:firstLine="0"/>
        <w:jc w:val="center"/>
        <w:rPr>
          <w:sz w:val="28"/>
          <w:szCs w:val="24"/>
        </w:rPr>
      </w:pPr>
      <w:r w:rsidRPr="00CA0C0E">
        <w:rPr>
          <w:sz w:val="28"/>
          <w:szCs w:val="24"/>
        </w:rPr>
        <w:t>A THESIS APPROVED FOR THE</w:t>
      </w:r>
    </w:p>
    <w:p w14:paraId="4221D28E" w14:textId="7562672A" w:rsidR="005521B1" w:rsidRPr="00D26B55" w:rsidRDefault="00D26B55" w:rsidP="005521B1">
      <w:pPr>
        <w:spacing w:after="160" w:line="259" w:lineRule="auto"/>
        <w:ind w:firstLine="0"/>
        <w:jc w:val="center"/>
        <w:rPr>
          <w:sz w:val="28"/>
          <w:szCs w:val="28"/>
        </w:rPr>
      </w:pPr>
      <w:r w:rsidRPr="00D26B55">
        <w:rPr>
          <w:sz w:val="28"/>
          <w:szCs w:val="28"/>
        </w:rPr>
        <w:t>SCHOOL OF AEROSPACE AND MECHANICAL ENGINEERING</w:t>
      </w:r>
    </w:p>
    <w:p w14:paraId="186BB882" w14:textId="77777777" w:rsidR="005521B1" w:rsidRDefault="005521B1" w:rsidP="005521B1">
      <w:pPr>
        <w:spacing w:after="160" w:line="259" w:lineRule="auto"/>
        <w:ind w:firstLine="0"/>
        <w:jc w:val="center"/>
      </w:pPr>
    </w:p>
    <w:p w14:paraId="38DE5024" w14:textId="77777777" w:rsidR="005521B1" w:rsidRDefault="005521B1" w:rsidP="005521B1">
      <w:pPr>
        <w:spacing w:after="160" w:line="259" w:lineRule="auto"/>
        <w:ind w:firstLine="0"/>
        <w:jc w:val="center"/>
      </w:pPr>
    </w:p>
    <w:p w14:paraId="1B347AFB" w14:textId="77777777" w:rsidR="005521B1" w:rsidRDefault="005521B1" w:rsidP="005521B1">
      <w:pPr>
        <w:spacing w:after="160" w:line="259" w:lineRule="auto"/>
        <w:ind w:firstLine="0"/>
        <w:jc w:val="center"/>
      </w:pPr>
    </w:p>
    <w:p w14:paraId="15ACB265" w14:textId="77777777" w:rsidR="005521B1" w:rsidRDefault="005521B1" w:rsidP="005521B1">
      <w:pPr>
        <w:spacing w:after="160" w:line="259" w:lineRule="auto"/>
        <w:ind w:firstLine="0"/>
        <w:jc w:val="center"/>
      </w:pPr>
    </w:p>
    <w:p w14:paraId="6A9C24C5" w14:textId="77777777" w:rsidR="005521B1" w:rsidRDefault="005521B1" w:rsidP="005521B1">
      <w:pPr>
        <w:spacing w:after="160" w:line="259" w:lineRule="auto"/>
        <w:ind w:firstLine="0"/>
        <w:jc w:val="center"/>
      </w:pPr>
    </w:p>
    <w:p w14:paraId="0CEDBE84" w14:textId="19B41CAC" w:rsidR="001F4AA2" w:rsidRDefault="00A91D5A" w:rsidP="00A91D5A">
      <w:pPr>
        <w:spacing w:after="160" w:line="259" w:lineRule="auto"/>
        <w:ind w:firstLine="0"/>
        <w:jc w:val="center"/>
      </w:pPr>
      <w:r>
        <w:t>BY THE COMMITTEE CONSISTING OF:</w:t>
      </w:r>
    </w:p>
    <w:p w14:paraId="384411CE" w14:textId="77777777" w:rsidR="001F4AA2" w:rsidRDefault="001F4AA2" w:rsidP="001F4AA2">
      <w:pPr>
        <w:spacing w:after="160" w:line="259" w:lineRule="auto"/>
        <w:ind w:left="2880"/>
        <w:jc w:val="center"/>
      </w:pPr>
    </w:p>
    <w:p w14:paraId="65441619" w14:textId="39DDE4EA" w:rsidR="002D174B" w:rsidRDefault="00F17996" w:rsidP="001F4AA2">
      <w:pPr>
        <w:spacing w:after="160" w:line="259" w:lineRule="auto"/>
        <w:ind w:left="2880" w:right="540"/>
        <w:jc w:val="right"/>
      </w:pPr>
      <w:r>
        <w:t xml:space="preserve">Dr. </w:t>
      </w:r>
      <w:r w:rsidR="002D174B">
        <w:t>Pejman Kazempoor</w:t>
      </w:r>
      <w:r w:rsidR="00092E33">
        <w:t>, Chair</w:t>
      </w:r>
    </w:p>
    <w:p w14:paraId="1CCD301C" w14:textId="77777777" w:rsidR="002D174B" w:rsidRDefault="002D174B" w:rsidP="00F17996">
      <w:pPr>
        <w:spacing w:after="160" w:line="259" w:lineRule="auto"/>
        <w:ind w:right="540"/>
      </w:pPr>
    </w:p>
    <w:p w14:paraId="1D99A75E" w14:textId="46864D8D" w:rsidR="002D174B" w:rsidRDefault="00F17996" w:rsidP="001F4AA2">
      <w:pPr>
        <w:spacing w:after="160" w:line="259" w:lineRule="auto"/>
        <w:ind w:left="2880" w:right="540"/>
        <w:jc w:val="right"/>
      </w:pPr>
      <w:r>
        <w:t xml:space="preserve">Dr. </w:t>
      </w:r>
      <w:r w:rsidR="002D174B">
        <w:t>Hanping Ding</w:t>
      </w:r>
    </w:p>
    <w:p w14:paraId="36683B7E" w14:textId="77777777" w:rsidR="002D174B" w:rsidRDefault="002D174B" w:rsidP="001F4AA2">
      <w:pPr>
        <w:spacing w:after="160" w:line="259" w:lineRule="auto"/>
        <w:ind w:left="2880" w:right="540"/>
        <w:jc w:val="right"/>
      </w:pPr>
    </w:p>
    <w:p w14:paraId="067CFA4C" w14:textId="4E5E183F" w:rsidR="002F3A09" w:rsidRDefault="00F17996" w:rsidP="001F4AA2">
      <w:pPr>
        <w:spacing w:after="160" w:line="259" w:lineRule="auto"/>
        <w:ind w:left="2880" w:right="540"/>
        <w:jc w:val="right"/>
      </w:pPr>
      <w:r>
        <w:t xml:space="preserve">Dr. </w:t>
      </w:r>
      <w:r w:rsidR="002F3A09">
        <w:t>Hamidreza Shabgard</w:t>
      </w:r>
    </w:p>
    <w:p w14:paraId="19D9307D" w14:textId="77777777" w:rsidR="002F3A09" w:rsidRDefault="002F3A09" w:rsidP="001F4AA2">
      <w:pPr>
        <w:spacing w:after="160" w:line="259" w:lineRule="auto"/>
        <w:ind w:left="2880" w:right="540"/>
        <w:jc w:val="right"/>
      </w:pPr>
    </w:p>
    <w:p w14:paraId="6E0CA46F" w14:textId="66A43B2B" w:rsidR="005521B1" w:rsidRDefault="002F3A09" w:rsidP="001F4AA2">
      <w:pPr>
        <w:spacing w:after="160" w:line="259" w:lineRule="auto"/>
        <w:ind w:left="2880" w:right="540"/>
        <w:jc w:val="right"/>
      </w:pPr>
      <w:r>
        <w:tab/>
      </w:r>
      <w:r>
        <w:tab/>
      </w:r>
      <w:r w:rsidR="005521B1">
        <w:br w:type="page"/>
      </w:r>
    </w:p>
    <w:p w14:paraId="79E7D190" w14:textId="77777777" w:rsidR="0012282D" w:rsidRDefault="0012282D">
      <w:pPr>
        <w:spacing w:after="160" w:line="259" w:lineRule="auto"/>
        <w:ind w:firstLine="0"/>
      </w:pPr>
    </w:p>
    <w:p w14:paraId="6188C9C4" w14:textId="77777777" w:rsidR="0012282D" w:rsidRDefault="0012282D">
      <w:pPr>
        <w:spacing w:after="160" w:line="259" w:lineRule="auto"/>
        <w:ind w:firstLine="0"/>
      </w:pPr>
    </w:p>
    <w:p w14:paraId="470D4D81" w14:textId="77777777" w:rsidR="0012282D" w:rsidRDefault="0012282D">
      <w:pPr>
        <w:spacing w:after="160" w:line="259" w:lineRule="auto"/>
        <w:ind w:firstLine="0"/>
      </w:pPr>
    </w:p>
    <w:p w14:paraId="36A23BEB" w14:textId="77777777" w:rsidR="00BE5279" w:rsidRDefault="00BE5279">
      <w:pPr>
        <w:spacing w:after="160" w:line="259" w:lineRule="auto"/>
        <w:ind w:firstLine="0"/>
      </w:pPr>
    </w:p>
    <w:p w14:paraId="4E1A4820" w14:textId="77777777" w:rsidR="00BE5279" w:rsidRDefault="00BE5279">
      <w:pPr>
        <w:spacing w:after="160" w:line="259" w:lineRule="auto"/>
        <w:ind w:firstLine="0"/>
      </w:pPr>
    </w:p>
    <w:p w14:paraId="00EFBE7C" w14:textId="77777777" w:rsidR="00BE5279" w:rsidRDefault="00BE5279">
      <w:pPr>
        <w:spacing w:after="160" w:line="259" w:lineRule="auto"/>
        <w:ind w:firstLine="0"/>
      </w:pPr>
    </w:p>
    <w:p w14:paraId="1693A929" w14:textId="77777777" w:rsidR="00BE5279" w:rsidRDefault="00BE5279">
      <w:pPr>
        <w:spacing w:after="160" w:line="259" w:lineRule="auto"/>
        <w:ind w:firstLine="0"/>
      </w:pPr>
    </w:p>
    <w:p w14:paraId="1146AC4C" w14:textId="77777777" w:rsidR="00BE5279" w:rsidRDefault="00BE5279">
      <w:pPr>
        <w:spacing w:after="160" w:line="259" w:lineRule="auto"/>
        <w:ind w:firstLine="0"/>
      </w:pPr>
    </w:p>
    <w:p w14:paraId="1629B662" w14:textId="77777777" w:rsidR="00BE5279" w:rsidRDefault="00BE5279">
      <w:pPr>
        <w:spacing w:after="160" w:line="259" w:lineRule="auto"/>
        <w:ind w:firstLine="0"/>
      </w:pPr>
    </w:p>
    <w:p w14:paraId="04E05F41" w14:textId="77777777" w:rsidR="00BE5279" w:rsidRDefault="00BE5279">
      <w:pPr>
        <w:spacing w:after="160" w:line="259" w:lineRule="auto"/>
        <w:ind w:firstLine="0"/>
      </w:pPr>
    </w:p>
    <w:p w14:paraId="237E7A31" w14:textId="77777777" w:rsidR="00BE5279" w:rsidRDefault="00BE5279">
      <w:pPr>
        <w:spacing w:after="160" w:line="259" w:lineRule="auto"/>
        <w:ind w:firstLine="0"/>
      </w:pPr>
    </w:p>
    <w:p w14:paraId="32387DBF" w14:textId="77777777" w:rsidR="00BE5279" w:rsidRDefault="00BE5279">
      <w:pPr>
        <w:spacing w:after="160" w:line="259" w:lineRule="auto"/>
        <w:ind w:firstLine="0"/>
      </w:pPr>
    </w:p>
    <w:p w14:paraId="05A8C94A" w14:textId="77777777" w:rsidR="00BE5279" w:rsidRDefault="00BE5279">
      <w:pPr>
        <w:spacing w:after="160" w:line="259" w:lineRule="auto"/>
        <w:ind w:firstLine="0"/>
      </w:pPr>
    </w:p>
    <w:p w14:paraId="01FE9312" w14:textId="77777777" w:rsidR="00BE5279" w:rsidRDefault="00BE5279">
      <w:pPr>
        <w:spacing w:after="160" w:line="259" w:lineRule="auto"/>
        <w:ind w:firstLine="0"/>
      </w:pPr>
    </w:p>
    <w:p w14:paraId="6688A2C7" w14:textId="77777777" w:rsidR="00BE5279" w:rsidRDefault="00BE5279">
      <w:pPr>
        <w:spacing w:after="160" w:line="259" w:lineRule="auto"/>
        <w:ind w:firstLine="0"/>
      </w:pPr>
    </w:p>
    <w:p w14:paraId="0E4094EC" w14:textId="77777777" w:rsidR="00BE5279" w:rsidRDefault="00BE5279">
      <w:pPr>
        <w:spacing w:after="160" w:line="259" w:lineRule="auto"/>
        <w:ind w:firstLine="0"/>
      </w:pPr>
    </w:p>
    <w:p w14:paraId="6A64EF21" w14:textId="77777777" w:rsidR="00BE5279" w:rsidRDefault="00BE5279">
      <w:pPr>
        <w:spacing w:after="160" w:line="259" w:lineRule="auto"/>
        <w:ind w:firstLine="0"/>
      </w:pPr>
    </w:p>
    <w:p w14:paraId="75F0603C" w14:textId="77777777" w:rsidR="00BE5279" w:rsidRDefault="00BE5279">
      <w:pPr>
        <w:spacing w:after="160" w:line="259" w:lineRule="auto"/>
        <w:ind w:firstLine="0"/>
      </w:pPr>
    </w:p>
    <w:p w14:paraId="62A4E26C" w14:textId="77777777" w:rsidR="00BE5279" w:rsidRDefault="00BE5279">
      <w:pPr>
        <w:spacing w:after="160" w:line="259" w:lineRule="auto"/>
        <w:ind w:firstLine="0"/>
      </w:pPr>
    </w:p>
    <w:p w14:paraId="13D09895" w14:textId="77777777" w:rsidR="00BE5279" w:rsidRDefault="00BE5279">
      <w:pPr>
        <w:spacing w:after="160" w:line="259" w:lineRule="auto"/>
        <w:ind w:firstLine="0"/>
      </w:pPr>
    </w:p>
    <w:p w14:paraId="20881340" w14:textId="77777777" w:rsidR="00BE5279" w:rsidRDefault="00BE5279">
      <w:pPr>
        <w:spacing w:after="160" w:line="259" w:lineRule="auto"/>
        <w:ind w:firstLine="0"/>
      </w:pPr>
    </w:p>
    <w:p w14:paraId="722C3AEF" w14:textId="77777777" w:rsidR="00BE5279" w:rsidRDefault="00BE5279">
      <w:pPr>
        <w:spacing w:after="160" w:line="259" w:lineRule="auto"/>
        <w:ind w:firstLine="0"/>
      </w:pPr>
    </w:p>
    <w:p w14:paraId="4A6A0BBD" w14:textId="77777777" w:rsidR="00BE5279" w:rsidRDefault="00BE5279">
      <w:pPr>
        <w:spacing w:after="160" w:line="259" w:lineRule="auto"/>
        <w:ind w:firstLine="0"/>
      </w:pPr>
    </w:p>
    <w:p w14:paraId="48703329" w14:textId="77777777" w:rsidR="0012282D" w:rsidRDefault="0012282D">
      <w:pPr>
        <w:spacing w:after="160" w:line="259" w:lineRule="auto"/>
        <w:ind w:firstLine="0"/>
      </w:pPr>
    </w:p>
    <w:p w14:paraId="01E1DA8A" w14:textId="29FC137D" w:rsidR="00204834" w:rsidRDefault="0012282D" w:rsidP="004F28AA">
      <w:pPr>
        <w:pStyle w:val="Default"/>
        <w:jc w:val="center"/>
        <w:rPr>
          <w:sz w:val="23"/>
          <w:szCs w:val="23"/>
        </w:rPr>
      </w:pPr>
      <w:r>
        <w:rPr>
          <w:sz w:val="23"/>
          <w:szCs w:val="23"/>
        </w:rPr>
        <w:t>© Copyright by JADEN MATTHEW NORMAN</w:t>
      </w:r>
      <w:r w:rsidR="004F28AA">
        <w:rPr>
          <w:sz w:val="23"/>
          <w:szCs w:val="23"/>
        </w:rPr>
        <w:t xml:space="preserve"> </w:t>
      </w:r>
      <w:r>
        <w:rPr>
          <w:sz w:val="23"/>
          <w:szCs w:val="23"/>
        </w:rPr>
        <w:t>2024</w:t>
      </w:r>
    </w:p>
    <w:p w14:paraId="618BACD8" w14:textId="5539BB68" w:rsidR="004F28AA" w:rsidRDefault="004F28AA" w:rsidP="004F28AA">
      <w:pPr>
        <w:pStyle w:val="Default"/>
        <w:jc w:val="center"/>
        <w:rPr>
          <w:sz w:val="23"/>
          <w:szCs w:val="23"/>
        </w:rPr>
      </w:pPr>
      <w:r>
        <w:rPr>
          <w:sz w:val="23"/>
          <w:szCs w:val="23"/>
        </w:rPr>
        <w:t>All Rights Reserved.</w:t>
      </w:r>
    </w:p>
    <w:p w14:paraId="4AAB456E" w14:textId="77777777" w:rsidR="00204834" w:rsidRDefault="00204834">
      <w:pPr>
        <w:spacing w:after="160" w:line="259" w:lineRule="auto"/>
        <w:ind w:firstLine="0"/>
        <w:rPr>
          <w:sz w:val="23"/>
          <w:szCs w:val="23"/>
        </w:rPr>
      </w:pPr>
      <w:r>
        <w:rPr>
          <w:sz w:val="23"/>
          <w:szCs w:val="23"/>
        </w:rPr>
        <w:br w:type="page"/>
      </w:r>
    </w:p>
    <w:p w14:paraId="0D2DB44A" w14:textId="77777777" w:rsidR="00285E9E" w:rsidRDefault="00285E9E" w:rsidP="000F441E">
      <w:pPr>
        <w:spacing w:after="160" w:line="259" w:lineRule="auto"/>
        <w:ind w:firstLine="0"/>
        <w:jc w:val="center"/>
        <w:rPr>
          <w:sz w:val="32"/>
          <w:szCs w:val="32"/>
        </w:rPr>
        <w:sectPr w:rsidR="00285E9E" w:rsidSect="00AC18A0">
          <w:footerReference w:type="default" r:id="rId8"/>
          <w:pgSz w:w="12240" w:h="15840"/>
          <w:pgMar w:top="1440" w:right="1440" w:bottom="1440" w:left="1440" w:header="720" w:footer="720" w:gutter="0"/>
          <w:pgNumType w:start="4"/>
          <w:cols w:space="720"/>
          <w:docGrid w:linePitch="360"/>
        </w:sectPr>
      </w:pPr>
    </w:p>
    <w:p w14:paraId="04E11199" w14:textId="77777777" w:rsidR="000F441E" w:rsidRDefault="00204834" w:rsidP="000F441E">
      <w:pPr>
        <w:spacing w:after="160" w:line="259" w:lineRule="auto"/>
        <w:ind w:firstLine="0"/>
        <w:jc w:val="center"/>
      </w:pPr>
      <w:r w:rsidRPr="00204834">
        <w:rPr>
          <w:sz w:val="32"/>
          <w:szCs w:val="32"/>
        </w:rPr>
        <w:lastRenderedPageBreak/>
        <w:t>ACKNOWLEDGEMENTS</w:t>
      </w:r>
    </w:p>
    <w:p w14:paraId="33143388" w14:textId="77777777" w:rsidR="000F441E" w:rsidRDefault="000F441E" w:rsidP="000F441E"/>
    <w:p w14:paraId="08D36E1F" w14:textId="5F708091" w:rsidR="00B670C1" w:rsidRDefault="00FC3F37" w:rsidP="000F441E">
      <w:r>
        <w:t xml:space="preserve">There is no question in my mind that this work would not have been possible on my own. </w:t>
      </w:r>
      <w:r w:rsidR="002113DB">
        <w:t xml:space="preserve">I have been incredibly fortunate to have a wonderful support system throughout my academic career of family, friends, </w:t>
      </w:r>
      <w:r w:rsidR="00B670C1">
        <w:t>and excellent professors.</w:t>
      </w:r>
      <w:r w:rsidR="001B15D2">
        <w:t xml:space="preserve"> </w:t>
      </w:r>
      <w:r w:rsidR="00B670C1">
        <w:t>First, I would like to give m</w:t>
      </w:r>
      <w:r w:rsidR="008F715B">
        <w:t>y sincere thanks to my advisor, Dr Pejman Kazempoor for his consistent guidance, encouragement</w:t>
      </w:r>
      <w:r w:rsidR="00AF73F4">
        <w:t>, and support in both my classes and research under his tutelage</w:t>
      </w:r>
      <w:r w:rsidR="004363F9">
        <w:t>.</w:t>
      </w:r>
      <w:r w:rsidR="00DE3BDB">
        <w:t xml:space="preserve"> </w:t>
      </w:r>
      <w:r w:rsidR="002B0360">
        <w:t>My initial interest in doing research for him came purely because of the friendly conversations we’d had during advising sessions as an undergraduate student</w:t>
      </w:r>
      <w:r w:rsidR="00097B5A">
        <w:t xml:space="preserve">. </w:t>
      </w:r>
      <w:r w:rsidR="00EA289D">
        <w:t>His friendly demeanor and vast knowledge</w:t>
      </w:r>
      <w:r w:rsidR="003847EE">
        <w:t xml:space="preserve"> were great boons to me when I was stuck on various aspects of developing the model</w:t>
      </w:r>
      <w:r w:rsidR="00560CA9">
        <w:t xml:space="preserve"> throughout my final semester.</w:t>
      </w:r>
      <w:r w:rsidR="0065090C">
        <w:t xml:space="preserve"> I also want to thank the other members of my thesis committee, Dr Hanping Ding, and Dr Hamidreza Shabgard</w:t>
      </w:r>
      <w:r w:rsidR="00DE3BDB">
        <w:t>, for their patience and support.</w:t>
      </w:r>
    </w:p>
    <w:p w14:paraId="2FE66D87" w14:textId="1EF5E0A9" w:rsidR="00560CA9" w:rsidRDefault="00560CA9" w:rsidP="000F441E">
      <w:r>
        <w:t xml:space="preserve">I would also like to extend my gratitude to all my friends </w:t>
      </w:r>
      <w:r w:rsidR="00DC0972">
        <w:t>and colleagues at the University of Oklahoma. Particularly, I would like to thank Dr Abu Yous</w:t>
      </w:r>
      <w:r w:rsidR="008E2934">
        <w:t>u</w:t>
      </w:r>
      <w:r w:rsidR="00DC0972">
        <w:t>f</w:t>
      </w:r>
      <w:r w:rsidR="0080668F">
        <w:t xml:space="preserve"> for his friendship, faith, and invaluable help in </w:t>
      </w:r>
      <w:r w:rsidR="00A16813">
        <w:t xml:space="preserve">the many drafts and weeks of research that have gone into this work. </w:t>
      </w:r>
      <w:r w:rsidR="008E7922">
        <w:t>He has always opened the door to me and has served as a great mentor during my graduate experience. I would also like to thank Chris Fisher and Hugh Nelson</w:t>
      </w:r>
      <w:r w:rsidR="00E40044">
        <w:t>, who worked with me as I learned more about fuel cells and spent many hours with me in classes</w:t>
      </w:r>
      <w:r w:rsidR="00154C9A">
        <w:t xml:space="preserve"> and research environments. I would also like to thank Ryan Young, for his</w:t>
      </w:r>
      <w:r w:rsidR="00190943">
        <w:t xml:space="preserve"> constant</w:t>
      </w:r>
      <w:r w:rsidR="00154C9A">
        <w:t xml:space="preserve"> </w:t>
      </w:r>
      <w:r w:rsidR="00190943">
        <w:t>friendship and support throughout all my time at the University of Oklahoma</w:t>
      </w:r>
      <w:r w:rsidR="00997FBD">
        <w:t xml:space="preserve">. He has always been able to </w:t>
      </w:r>
      <w:r w:rsidR="009C3A79">
        <w:t xml:space="preserve">find a way to </w:t>
      </w:r>
      <w:r w:rsidR="005B2915">
        <w:t>lift spirits</w:t>
      </w:r>
      <w:r w:rsidR="00F2698E">
        <w:t xml:space="preserve"> during</w:t>
      </w:r>
      <w:r w:rsidR="009C3A79">
        <w:t xml:space="preserve"> the stressful stretches of exams and deadlines.</w:t>
      </w:r>
    </w:p>
    <w:p w14:paraId="6807814D" w14:textId="68BC5431" w:rsidR="000F441E" w:rsidRDefault="00F2698E" w:rsidP="001B15D2">
      <w:r>
        <w:lastRenderedPageBreak/>
        <w:t>Most importantly, I would like to thank my wonderful family</w:t>
      </w:r>
      <w:r w:rsidR="007D2003">
        <w:t>, and especially my loving wife, who has had great patience during the long nights and weeks of research.</w:t>
      </w:r>
      <w:r w:rsidR="0030509D">
        <w:t xml:space="preserve"> Without her love, understanding, and encouragement, all this work would not </w:t>
      </w:r>
      <w:r w:rsidR="001B15D2">
        <w:t>have been</w:t>
      </w:r>
      <w:r w:rsidR="0030509D">
        <w:t xml:space="preserve"> </w:t>
      </w:r>
      <w:r w:rsidR="00037890">
        <w:t xml:space="preserve">possible. I am also grateful to my parents, for preparing me for a successful college career and their unwavering </w:t>
      </w:r>
      <w:r w:rsidR="001920EC">
        <w:t xml:space="preserve">love and </w:t>
      </w:r>
      <w:r w:rsidR="00037890">
        <w:t>support</w:t>
      </w:r>
      <w:r w:rsidR="001B15D2">
        <w:t>.</w:t>
      </w:r>
      <w:r w:rsidR="000F441E">
        <w:br w:type="page"/>
      </w:r>
    </w:p>
    <w:p w14:paraId="226CC8B0" w14:textId="406EC9FA" w:rsidR="00A01ED8" w:rsidRPr="00737393" w:rsidRDefault="00A01ED8" w:rsidP="00737393">
      <w:pPr>
        <w:jc w:val="center"/>
        <w:rPr>
          <w:b/>
          <w:bCs/>
          <w:sz w:val="40"/>
          <w:szCs w:val="40"/>
        </w:rPr>
      </w:pPr>
      <w:r w:rsidRPr="00737393">
        <w:rPr>
          <w:b/>
          <w:bCs/>
          <w:sz w:val="40"/>
          <w:szCs w:val="40"/>
        </w:rPr>
        <w:lastRenderedPageBreak/>
        <w:t xml:space="preserve">Table </w:t>
      </w:r>
      <w:r w:rsidR="00737393" w:rsidRPr="00737393">
        <w:rPr>
          <w:b/>
          <w:bCs/>
          <w:sz w:val="40"/>
          <w:szCs w:val="40"/>
        </w:rPr>
        <w:t>of Contents</w:t>
      </w:r>
    </w:p>
    <w:sdt>
      <w:sdtPr>
        <w:rPr>
          <w:rFonts w:asciiTheme="minorHAnsi" w:eastAsiaTheme="minorHAnsi" w:hAnsiTheme="minorHAnsi" w:cstheme="minorBidi"/>
          <w:b w:val="0"/>
          <w:sz w:val="22"/>
          <w:szCs w:val="22"/>
        </w:rPr>
        <w:id w:val="-1893808032"/>
        <w:docPartObj>
          <w:docPartGallery w:val="Table of Contents"/>
          <w:docPartUnique/>
        </w:docPartObj>
      </w:sdtPr>
      <w:sdtEndPr>
        <w:rPr>
          <w:bCs/>
          <w:noProof/>
          <w:sz w:val="24"/>
        </w:rPr>
      </w:sdtEndPr>
      <w:sdtContent>
        <w:p w14:paraId="77C9EBD3" w14:textId="754749BE" w:rsidR="00A01ED8" w:rsidRDefault="00A01ED8" w:rsidP="00A01ED8">
          <w:pPr>
            <w:pStyle w:val="Heading1"/>
          </w:pPr>
        </w:p>
        <w:p w14:paraId="5723CC4A" w14:textId="60797E55" w:rsidR="002158D5" w:rsidRDefault="00A01ED8">
          <w:pPr>
            <w:pStyle w:val="TOC1"/>
            <w:rPr>
              <w:rFonts w:asciiTheme="minorHAnsi" w:eastAsiaTheme="minorEastAsia" w:hAnsiTheme="minorHAnsi"/>
              <w:noProof/>
              <w:szCs w:val="24"/>
            </w:rPr>
          </w:pPr>
          <w:r>
            <w:fldChar w:fldCharType="begin"/>
          </w:r>
          <w:r>
            <w:instrText xml:space="preserve"> TOC \o "1-3" \h \z \u </w:instrText>
          </w:r>
          <w:r>
            <w:fldChar w:fldCharType="separate"/>
          </w:r>
          <w:hyperlink w:anchor="_Toc165641038" w:history="1">
            <w:r w:rsidR="002158D5" w:rsidRPr="00EC12AF">
              <w:rPr>
                <w:rStyle w:val="Hyperlink"/>
                <w:noProof/>
              </w:rPr>
              <w:t>Abbreviations</w:t>
            </w:r>
            <w:r w:rsidR="002158D5">
              <w:rPr>
                <w:noProof/>
                <w:webHidden/>
              </w:rPr>
              <w:tab/>
            </w:r>
            <w:r w:rsidR="002158D5">
              <w:rPr>
                <w:noProof/>
                <w:webHidden/>
              </w:rPr>
              <w:fldChar w:fldCharType="begin"/>
            </w:r>
            <w:r w:rsidR="002158D5">
              <w:rPr>
                <w:noProof/>
                <w:webHidden/>
              </w:rPr>
              <w:instrText xml:space="preserve"> PAGEREF _Toc165641038 \h </w:instrText>
            </w:r>
            <w:r w:rsidR="002158D5">
              <w:rPr>
                <w:noProof/>
                <w:webHidden/>
              </w:rPr>
            </w:r>
            <w:r w:rsidR="002158D5">
              <w:rPr>
                <w:noProof/>
                <w:webHidden/>
              </w:rPr>
              <w:fldChar w:fldCharType="separate"/>
            </w:r>
            <w:r w:rsidR="002158D5">
              <w:rPr>
                <w:noProof/>
                <w:webHidden/>
              </w:rPr>
              <w:t>xv</w:t>
            </w:r>
            <w:r w:rsidR="002158D5">
              <w:rPr>
                <w:noProof/>
                <w:webHidden/>
              </w:rPr>
              <w:fldChar w:fldCharType="end"/>
            </w:r>
          </w:hyperlink>
        </w:p>
        <w:p w14:paraId="13611E42" w14:textId="71BA2DC6" w:rsidR="002158D5" w:rsidRDefault="00924E48">
          <w:pPr>
            <w:pStyle w:val="TOC1"/>
            <w:rPr>
              <w:rFonts w:asciiTheme="minorHAnsi" w:eastAsiaTheme="minorEastAsia" w:hAnsiTheme="minorHAnsi"/>
              <w:noProof/>
              <w:szCs w:val="24"/>
            </w:rPr>
          </w:pPr>
          <w:hyperlink w:anchor="_Toc165641039" w:history="1">
            <w:r w:rsidR="002158D5" w:rsidRPr="00EC12AF">
              <w:rPr>
                <w:rStyle w:val="Hyperlink"/>
                <w:noProof/>
              </w:rPr>
              <w:t>Abstract</w:t>
            </w:r>
            <w:r w:rsidR="002158D5">
              <w:rPr>
                <w:noProof/>
                <w:webHidden/>
              </w:rPr>
              <w:tab/>
            </w:r>
            <w:r w:rsidR="002158D5">
              <w:rPr>
                <w:noProof/>
                <w:webHidden/>
              </w:rPr>
              <w:fldChar w:fldCharType="begin"/>
            </w:r>
            <w:r w:rsidR="002158D5">
              <w:rPr>
                <w:noProof/>
                <w:webHidden/>
              </w:rPr>
              <w:instrText xml:space="preserve"> PAGEREF _Toc165641039 \h </w:instrText>
            </w:r>
            <w:r w:rsidR="002158D5">
              <w:rPr>
                <w:noProof/>
                <w:webHidden/>
              </w:rPr>
            </w:r>
            <w:r w:rsidR="002158D5">
              <w:rPr>
                <w:noProof/>
                <w:webHidden/>
              </w:rPr>
              <w:fldChar w:fldCharType="separate"/>
            </w:r>
            <w:r w:rsidR="002158D5">
              <w:rPr>
                <w:noProof/>
                <w:webHidden/>
              </w:rPr>
              <w:t>xvii</w:t>
            </w:r>
            <w:r w:rsidR="002158D5">
              <w:rPr>
                <w:noProof/>
                <w:webHidden/>
              </w:rPr>
              <w:fldChar w:fldCharType="end"/>
            </w:r>
          </w:hyperlink>
        </w:p>
        <w:p w14:paraId="0FD2889F" w14:textId="52AE077F" w:rsidR="002158D5" w:rsidRDefault="00924E48">
          <w:pPr>
            <w:pStyle w:val="TOC1"/>
            <w:rPr>
              <w:rFonts w:asciiTheme="minorHAnsi" w:eastAsiaTheme="minorEastAsia" w:hAnsiTheme="minorHAnsi"/>
              <w:noProof/>
              <w:szCs w:val="24"/>
            </w:rPr>
          </w:pPr>
          <w:hyperlink w:anchor="_Toc165641040" w:history="1">
            <w:r w:rsidR="002158D5" w:rsidRPr="00EC12AF">
              <w:rPr>
                <w:rStyle w:val="Hyperlink"/>
                <w:noProof/>
              </w:rPr>
              <w:t>Chapter 1: Introduction</w:t>
            </w:r>
            <w:r w:rsidR="002158D5">
              <w:rPr>
                <w:noProof/>
                <w:webHidden/>
              </w:rPr>
              <w:tab/>
            </w:r>
            <w:r w:rsidR="002158D5">
              <w:rPr>
                <w:noProof/>
                <w:webHidden/>
              </w:rPr>
              <w:fldChar w:fldCharType="begin"/>
            </w:r>
            <w:r w:rsidR="002158D5">
              <w:rPr>
                <w:noProof/>
                <w:webHidden/>
              </w:rPr>
              <w:instrText xml:space="preserve"> PAGEREF _Toc165641040 \h </w:instrText>
            </w:r>
            <w:r w:rsidR="002158D5">
              <w:rPr>
                <w:noProof/>
                <w:webHidden/>
              </w:rPr>
            </w:r>
            <w:r w:rsidR="002158D5">
              <w:rPr>
                <w:noProof/>
                <w:webHidden/>
              </w:rPr>
              <w:fldChar w:fldCharType="separate"/>
            </w:r>
            <w:r w:rsidR="002158D5">
              <w:rPr>
                <w:noProof/>
                <w:webHidden/>
              </w:rPr>
              <w:t>1</w:t>
            </w:r>
            <w:r w:rsidR="002158D5">
              <w:rPr>
                <w:noProof/>
                <w:webHidden/>
              </w:rPr>
              <w:fldChar w:fldCharType="end"/>
            </w:r>
          </w:hyperlink>
        </w:p>
        <w:p w14:paraId="1ACFE98C" w14:textId="2470BF73" w:rsidR="002158D5" w:rsidRDefault="00924E48">
          <w:pPr>
            <w:pStyle w:val="TOC2"/>
            <w:rPr>
              <w:rFonts w:asciiTheme="minorHAnsi" w:eastAsiaTheme="minorEastAsia" w:hAnsiTheme="minorHAnsi"/>
              <w:noProof/>
              <w:szCs w:val="24"/>
            </w:rPr>
          </w:pPr>
          <w:hyperlink w:anchor="_Toc165641041" w:history="1">
            <w:r w:rsidR="002158D5" w:rsidRPr="00EC12AF">
              <w:rPr>
                <w:rStyle w:val="Hyperlink"/>
                <w:noProof/>
              </w:rPr>
              <w:t>1.1 Current Situation with Emissions</w:t>
            </w:r>
            <w:r w:rsidR="002158D5">
              <w:rPr>
                <w:noProof/>
                <w:webHidden/>
              </w:rPr>
              <w:tab/>
            </w:r>
            <w:r w:rsidR="002158D5">
              <w:rPr>
                <w:noProof/>
                <w:webHidden/>
              </w:rPr>
              <w:fldChar w:fldCharType="begin"/>
            </w:r>
            <w:r w:rsidR="002158D5">
              <w:rPr>
                <w:noProof/>
                <w:webHidden/>
              </w:rPr>
              <w:instrText xml:space="preserve"> PAGEREF _Toc165641041 \h </w:instrText>
            </w:r>
            <w:r w:rsidR="002158D5">
              <w:rPr>
                <w:noProof/>
                <w:webHidden/>
              </w:rPr>
            </w:r>
            <w:r w:rsidR="002158D5">
              <w:rPr>
                <w:noProof/>
                <w:webHidden/>
              </w:rPr>
              <w:fldChar w:fldCharType="separate"/>
            </w:r>
            <w:r w:rsidR="002158D5">
              <w:rPr>
                <w:noProof/>
                <w:webHidden/>
              </w:rPr>
              <w:t>1</w:t>
            </w:r>
            <w:r w:rsidR="002158D5">
              <w:rPr>
                <w:noProof/>
                <w:webHidden/>
              </w:rPr>
              <w:fldChar w:fldCharType="end"/>
            </w:r>
          </w:hyperlink>
        </w:p>
        <w:p w14:paraId="353F52A9" w14:textId="2F035345" w:rsidR="002158D5" w:rsidRDefault="00924E48">
          <w:pPr>
            <w:pStyle w:val="TOC2"/>
            <w:rPr>
              <w:rFonts w:asciiTheme="minorHAnsi" w:eastAsiaTheme="minorEastAsia" w:hAnsiTheme="minorHAnsi"/>
              <w:noProof/>
              <w:szCs w:val="24"/>
            </w:rPr>
          </w:pPr>
          <w:hyperlink w:anchor="_Toc165641042" w:history="1">
            <w:r w:rsidR="002158D5" w:rsidRPr="00EC12AF">
              <w:rPr>
                <w:rStyle w:val="Hyperlink"/>
                <w:noProof/>
              </w:rPr>
              <w:t>1.2 Role of Electrochemical Cells</w:t>
            </w:r>
            <w:r w:rsidR="002158D5">
              <w:rPr>
                <w:noProof/>
                <w:webHidden/>
              </w:rPr>
              <w:tab/>
            </w:r>
            <w:r w:rsidR="002158D5">
              <w:rPr>
                <w:noProof/>
                <w:webHidden/>
              </w:rPr>
              <w:fldChar w:fldCharType="begin"/>
            </w:r>
            <w:r w:rsidR="002158D5">
              <w:rPr>
                <w:noProof/>
                <w:webHidden/>
              </w:rPr>
              <w:instrText xml:space="preserve"> PAGEREF _Toc165641042 \h </w:instrText>
            </w:r>
            <w:r w:rsidR="002158D5">
              <w:rPr>
                <w:noProof/>
                <w:webHidden/>
              </w:rPr>
            </w:r>
            <w:r w:rsidR="002158D5">
              <w:rPr>
                <w:noProof/>
                <w:webHidden/>
              </w:rPr>
              <w:fldChar w:fldCharType="separate"/>
            </w:r>
            <w:r w:rsidR="002158D5">
              <w:rPr>
                <w:noProof/>
                <w:webHidden/>
              </w:rPr>
              <w:t>3</w:t>
            </w:r>
            <w:r w:rsidR="002158D5">
              <w:rPr>
                <w:noProof/>
                <w:webHidden/>
              </w:rPr>
              <w:fldChar w:fldCharType="end"/>
            </w:r>
          </w:hyperlink>
        </w:p>
        <w:p w14:paraId="5952FD14" w14:textId="3624C2C7" w:rsidR="002158D5" w:rsidRDefault="00924E48">
          <w:pPr>
            <w:pStyle w:val="TOC2"/>
            <w:rPr>
              <w:rFonts w:asciiTheme="minorHAnsi" w:eastAsiaTheme="minorEastAsia" w:hAnsiTheme="minorHAnsi"/>
              <w:noProof/>
              <w:szCs w:val="24"/>
            </w:rPr>
          </w:pPr>
          <w:hyperlink w:anchor="_Toc165641043" w:history="1">
            <w:r w:rsidR="002158D5" w:rsidRPr="00EC12AF">
              <w:rPr>
                <w:rStyle w:val="Hyperlink"/>
                <w:noProof/>
              </w:rPr>
              <w:t>1.3 Project Description</w:t>
            </w:r>
            <w:r w:rsidR="002158D5">
              <w:rPr>
                <w:noProof/>
                <w:webHidden/>
              </w:rPr>
              <w:tab/>
            </w:r>
            <w:r w:rsidR="002158D5">
              <w:rPr>
                <w:noProof/>
                <w:webHidden/>
              </w:rPr>
              <w:fldChar w:fldCharType="begin"/>
            </w:r>
            <w:r w:rsidR="002158D5">
              <w:rPr>
                <w:noProof/>
                <w:webHidden/>
              </w:rPr>
              <w:instrText xml:space="preserve"> PAGEREF _Toc165641043 \h </w:instrText>
            </w:r>
            <w:r w:rsidR="002158D5">
              <w:rPr>
                <w:noProof/>
                <w:webHidden/>
              </w:rPr>
            </w:r>
            <w:r w:rsidR="002158D5">
              <w:rPr>
                <w:noProof/>
                <w:webHidden/>
              </w:rPr>
              <w:fldChar w:fldCharType="separate"/>
            </w:r>
            <w:r w:rsidR="002158D5">
              <w:rPr>
                <w:noProof/>
                <w:webHidden/>
              </w:rPr>
              <w:t>5</w:t>
            </w:r>
            <w:r w:rsidR="002158D5">
              <w:rPr>
                <w:noProof/>
                <w:webHidden/>
              </w:rPr>
              <w:fldChar w:fldCharType="end"/>
            </w:r>
          </w:hyperlink>
        </w:p>
        <w:p w14:paraId="5FC3C061" w14:textId="693CCE45" w:rsidR="002158D5" w:rsidRDefault="00924E48">
          <w:pPr>
            <w:pStyle w:val="TOC3"/>
            <w:tabs>
              <w:tab w:val="right" w:leader="dot" w:pos="9350"/>
            </w:tabs>
            <w:rPr>
              <w:rFonts w:eastAsiaTheme="minorEastAsia"/>
              <w:noProof/>
              <w:szCs w:val="24"/>
            </w:rPr>
          </w:pPr>
          <w:hyperlink w:anchor="_Toc165641044" w:history="1">
            <w:r w:rsidR="002158D5" w:rsidRPr="00EC12AF">
              <w:rPr>
                <w:rStyle w:val="Hyperlink"/>
                <w:noProof/>
              </w:rPr>
              <w:t>1.3.1 Rationale</w:t>
            </w:r>
            <w:r w:rsidR="002158D5">
              <w:rPr>
                <w:noProof/>
                <w:webHidden/>
              </w:rPr>
              <w:tab/>
            </w:r>
            <w:r w:rsidR="002158D5">
              <w:rPr>
                <w:noProof/>
                <w:webHidden/>
              </w:rPr>
              <w:fldChar w:fldCharType="begin"/>
            </w:r>
            <w:r w:rsidR="002158D5">
              <w:rPr>
                <w:noProof/>
                <w:webHidden/>
              </w:rPr>
              <w:instrText xml:space="preserve"> PAGEREF _Toc165641044 \h </w:instrText>
            </w:r>
            <w:r w:rsidR="002158D5">
              <w:rPr>
                <w:noProof/>
                <w:webHidden/>
              </w:rPr>
            </w:r>
            <w:r w:rsidR="002158D5">
              <w:rPr>
                <w:noProof/>
                <w:webHidden/>
              </w:rPr>
              <w:fldChar w:fldCharType="separate"/>
            </w:r>
            <w:r w:rsidR="002158D5">
              <w:rPr>
                <w:noProof/>
                <w:webHidden/>
              </w:rPr>
              <w:t>5</w:t>
            </w:r>
            <w:r w:rsidR="002158D5">
              <w:rPr>
                <w:noProof/>
                <w:webHidden/>
              </w:rPr>
              <w:fldChar w:fldCharType="end"/>
            </w:r>
          </w:hyperlink>
        </w:p>
        <w:p w14:paraId="73B83A74" w14:textId="436BFD81" w:rsidR="002158D5" w:rsidRDefault="00924E48">
          <w:pPr>
            <w:pStyle w:val="TOC3"/>
            <w:tabs>
              <w:tab w:val="right" w:leader="dot" w:pos="9350"/>
            </w:tabs>
            <w:rPr>
              <w:rFonts w:eastAsiaTheme="minorEastAsia"/>
              <w:noProof/>
              <w:szCs w:val="24"/>
            </w:rPr>
          </w:pPr>
          <w:hyperlink w:anchor="_Toc165641045" w:history="1">
            <w:r w:rsidR="002158D5" w:rsidRPr="00EC12AF">
              <w:rPr>
                <w:rStyle w:val="Hyperlink"/>
                <w:noProof/>
              </w:rPr>
              <w:t>1.3.2 Project Objectives</w:t>
            </w:r>
            <w:r w:rsidR="002158D5">
              <w:rPr>
                <w:noProof/>
                <w:webHidden/>
              </w:rPr>
              <w:tab/>
            </w:r>
            <w:r w:rsidR="002158D5">
              <w:rPr>
                <w:noProof/>
                <w:webHidden/>
              </w:rPr>
              <w:fldChar w:fldCharType="begin"/>
            </w:r>
            <w:r w:rsidR="002158D5">
              <w:rPr>
                <w:noProof/>
                <w:webHidden/>
              </w:rPr>
              <w:instrText xml:space="preserve"> PAGEREF _Toc165641045 \h </w:instrText>
            </w:r>
            <w:r w:rsidR="002158D5">
              <w:rPr>
                <w:noProof/>
                <w:webHidden/>
              </w:rPr>
            </w:r>
            <w:r w:rsidR="002158D5">
              <w:rPr>
                <w:noProof/>
                <w:webHidden/>
              </w:rPr>
              <w:fldChar w:fldCharType="separate"/>
            </w:r>
            <w:r w:rsidR="002158D5">
              <w:rPr>
                <w:noProof/>
                <w:webHidden/>
              </w:rPr>
              <w:t>6</w:t>
            </w:r>
            <w:r w:rsidR="002158D5">
              <w:rPr>
                <w:noProof/>
                <w:webHidden/>
              </w:rPr>
              <w:fldChar w:fldCharType="end"/>
            </w:r>
          </w:hyperlink>
        </w:p>
        <w:p w14:paraId="7DA75F96" w14:textId="7C77D67F" w:rsidR="002158D5" w:rsidRDefault="00924E48">
          <w:pPr>
            <w:pStyle w:val="TOC2"/>
            <w:rPr>
              <w:rFonts w:asciiTheme="minorHAnsi" w:eastAsiaTheme="minorEastAsia" w:hAnsiTheme="minorHAnsi"/>
              <w:noProof/>
              <w:szCs w:val="24"/>
            </w:rPr>
          </w:pPr>
          <w:hyperlink w:anchor="_Toc165641046" w:history="1">
            <w:r w:rsidR="002158D5" w:rsidRPr="00EC12AF">
              <w:rPr>
                <w:rStyle w:val="Hyperlink"/>
                <w:noProof/>
              </w:rPr>
              <w:t>1.4 Thesis Structure</w:t>
            </w:r>
            <w:r w:rsidR="002158D5">
              <w:rPr>
                <w:noProof/>
                <w:webHidden/>
              </w:rPr>
              <w:tab/>
            </w:r>
            <w:r w:rsidR="002158D5">
              <w:rPr>
                <w:noProof/>
                <w:webHidden/>
              </w:rPr>
              <w:fldChar w:fldCharType="begin"/>
            </w:r>
            <w:r w:rsidR="002158D5">
              <w:rPr>
                <w:noProof/>
                <w:webHidden/>
              </w:rPr>
              <w:instrText xml:space="preserve"> PAGEREF _Toc165641046 \h </w:instrText>
            </w:r>
            <w:r w:rsidR="002158D5">
              <w:rPr>
                <w:noProof/>
                <w:webHidden/>
              </w:rPr>
            </w:r>
            <w:r w:rsidR="002158D5">
              <w:rPr>
                <w:noProof/>
                <w:webHidden/>
              </w:rPr>
              <w:fldChar w:fldCharType="separate"/>
            </w:r>
            <w:r w:rsidR="002158D5">
              <w:rPr>
                <w:noProof/>
                <w:webHidden/>
              </w:rPr>
              <w:t>6</w:t>
            </w:r>
            <w:r w:rsidR="002158D5">
              <w:rPr>
                <w:noProof/>
                <w:webHidden/>
              </w:rPr>
              <w:fldChar w:fldCharType="end"/>
            </w:r>
          </w:hyperlink>
        </w:p>
        <w:p w14:paraId="190AE99E" w14:textId="7C17337D" w:rsidR="002158D5" w:rsidRDefault="00924E48">
          <w:pPr>
            <w:pStyle w:val="TOC1"/>
            <w:rPr>
              <w:rFonts w:asciiTheme="minorHAnsi" w:eastAsiaTheme="minorEastAsia" w:hAnsiTheme="minorHAnsi"/>
              <w:noProof/>
              <w:szCs w:val="24"/>
            </w:rPr>
          </w:pPr>
          <w:hyperlink w:anchor="_Toc165641047" w:history="1">
            <w:r w:rsidR="002158D5" w:rsidRPr="00EC12AF">
              <w:rPr>
                <w:rStyle w:val="Hyperlink"/>
                <w:noProof/>
              </w:rPr>
              <w:t>Chapter 2: Technological Background</w:t>
            </w:r>
            <w:r w:rsidR="002158D5">
              <w:rPr>
                <w:noProof/>
                <w:webHidden/>
              </w:rPr>
              <w:tab/>
            </w:r>
            <w:r w:rsidR="002158D5">
              <w:rPr>
                <w:noProof/>
                <w:webHidden/>
              </w:rPr>
              <w:fldChar w:fldCharType="begin"/>
            </w:r>
            <w:r w:rsidR="002158D5">
              <w:rPr>
                <w:noProof/>
                <w:webHidden/>
              </w:rPr>
              <w:instrText xml:space="preserve"> PAGEREF _Toc165641047 \h </w:instrText>
            </w:r>
            <w:r w:rsidR="002158D5">
              <w:rPr>
                <w:noProof/>
                <w:webHidden/>
              </w:rPr>
            </w:r>
            <w:r w:rsidR="002158D5">
              <w:rPr>
                <w:noProof/>
                <w:webHidden/>
              </w:rPr>
              <w:fldChar w:fldCharType="separate"/>
            </w:r>
            <w:r w:rsidR="002158D5">
              <w:rPr>
                <w:noProof/>
                <w:webHidden/>
              </w:rPr>
              <w:t>8</w:t>
            </w:r>
            <w:r w:rsidR="002158D5">
              <w:rPr>
                <w:noProof/>
                <w:webHidden/>
              </w:rPr>
              <w:fldChar w:fldCharType="end"/>
            </w:r>
          </w:hyperlink>
        </w:p>
        <w:p w14:paraId="52B10A12" w14:textId="7474DD2C" w:rsidR="002158D5" w:rsidRDefault="00924E48">
          <w:pPr>
            <w:pStyle w:val="TOC2"/>
            <w:rPr>
              <w:rFonts w:asciiTheme="minorHAnsi" w:eastAsiaTheme="minorEastAsia" w:hAnsiTheme="minorHAnsi"/>
              <w:noProof/>
              <w:szCs w:val="24"/>
            </w:rPr>
          </w:pPr>
          <w:hyperlink w:anchor="_Toc165641048" w:history="1">
            <w:r w:rsidR="002158D5" w:rsidRPr="00EC12AF">
              <w:rPr>
                <w:rStyle w:val="Hyperlink"/>
                <w:noProof/>
              </w:rPr>
              <w:t>2.1 Fuel Cells</w:t>
            </w:r>
            <w:r w:rsidR="002158D5">
              <w:rPr>
                <w:noProof/>
                <w:webHidden/>
              </w:rPr>
              <w:tab/>
            </w:r>
            <w:r w:rsidR="002158D5">
              <w:rPr>
                <w:noProof/>
                <w:webHidden/>
              </w:rPr>
              <w:fldChar w:fldCharType="begin"/>
            </w:r>
            <w:r w:rsidR="002158D5">
              <w:rPr>
                <w:noProof/>
                <w:webHidden/>
              </w:rPr>
              <w:instrText xml:space="preserve"> PAGEREF _Toc165641048 \h </w:instrText>
            </w:r>
            <w:r w:rsidR="002158D5">
              <w:rPr>
                <w:noProof/>
                <w:webHidden/>
              </w:rPr>
            </w:r>
            <w:r w:rsidR="002158D5">
              <w:rPr>
                <w:noProof/>
                <w:webHidden/>
              </w:rPr>
              <w:fldChar w:fldCharType="separate"/>
            </w:r>
            <w:r w:rsidR="002158D5">
              <w:rPr>
                <w:noProof/>
                <w:webHidden/>
              </w:rPr>
              <w:t>8</w:t>
            </w:r>
            <w:r w:rsidR="002158D5">
              <w:rPr>
                <w:noProof/>
                <w:webHidden/>
              </w:rPr>
              <w:fldChar w:fldCharType="end"/>
            </w:r>
          </w:hyperlink>
        </w:p>
        <w:p w14:paraId="6CDC2CCD" w14:textId="1A85292D" w:rsidR="002158D5" w:rsidRDefault="00924E48">
          <w:pPr>
            <w:pStyle w:val="TOC3"/>
            <w:tabs>
              <w:tab w:val="right" w:leader="dot" w:pos="9350"/>
            </w:tabs>
            <w:rPr>
              <w:rFonts w:eastAsiaTheme="minorEastAsia"/>
              <w:noProof/>
              <w:szCs w:val="24"/>
            </w:rPr>
          </w:pPr>
          <w:hyperlink w:anchor="_Toc165641049" w:history="1">
            <w:r w:rsidR="002158D5" w:rsidRPr="00EC12AF">
              <w:rPr>
                <w:rStyle w:val="Hyperlink"/>
                <w:noProof/>
              </w:rPr>
              <w:t>2.1.1 Fuel Cell Concepts</w:t>
            </w:r>
            <w:r w:rsidR="002158D5">
              <w:rPr>
                <w:noProof/>
                <w:webHidden/>
              </w:rPr>
              <w:tab/>
            </w:r>
            <w:r w:rsidR="002158D5">
              <w:rPr>
                <w:noProof/>
                <w:webHidden/>
              </w:rPr>
              <w:fldChar w:fldCharType="begin"/>
            </w:r>
            <w:r w:rsidR="002158D5">
              <w:rPr>
                <w:noProof/>
                <w:webHidden/>
              </w:rPr>
              <w:instrText xml:space="preserve"> PAGEREF _Toc165641049 \h </w:instrText>
            </w:r>
            <w:r w:rsidR="002158D5">
              <w:rPr>
                <w:noProof/>
                <w:webHidden/>
              </w:rPr>
            </w:r>
            <w:r w:rsidR="002158D5">
              <w:rPr>
                <w:noProof/>
                <w:webHidden/>
              </w:rPr>
              <w:fldChar w:fldCharType="separate"/>
            </w:r>
            <w:r w:rsidR="002158D5">
              <w:rPr>
                <w:noProof/>
                <w:webHidden/>
              </w:rPr>
              <w:t>8</w:t>
            </w:r>
            <w:r w:rsidR="002158D5">
              <w:rPr>
                <w:noProof/>
                <w:webHidden/>
              </w:rPr>
              <w:fldChar w:fldCharType="end"/>
            </w:r>
          </w:hyperlink>
        </w:p>
        <w:p w14:paraId="55AFB3A0" w14:textId="0D63430C" w:rsidR="002158D5" w:rsidRDefault="00924E48">
          <w:pPr>
            <w:pStyle w:val="TOC3"/>
            <w:tabs>
              <w:tab w:val="right" w:leader="dot" w:pos="9350"/>
            </w:tabs>
            <w:rPr>
              <w:rFonts w:eastAsiaTheme="minorEastAsia"/>
              <w:noProof/>
              <w:szCs w:val="24"/>
            </w:rPr>
          </w:pPr>
          <w:hyperlink w:anchor="_Toc165641050" w:history="1">
            <w:r w:rsidR="002158D5" w:rsidRPr="00EC12AF">
              <w:rPr>
                <w:rStyle w:val="Hyperlink"/>
                <w:rFonts w:eastAsia="Times New Roman"/>
                <w:noProof/>
              </w:rPr>
              <w:t>2.1.2 Fuel Flexibility</w:t>
            </w:r>
            <w:r w:rsidR="002158D5">
              <w:rPr>
                <w:noProof/>
                <w:webHidden/>
              </w:rPr>
              <w:tab/>
            </w:r>
            <w:r w:rsidR="002158D5">
              <w:rPr>
                <w:noProof/>
                <w:webHidden/>
              </w:rPr>
              <w:fldChar w:fldCharType="begin"/>
            </w:r>
            <w:r w:rsidR="002158D5">
              <w:rPr>
                <w:noProof/>
                <w:webHidden/>
              </w:rPr>
              <w:instrText xml:space="preserve"> PAGEREF _Toc165641050 \h </w:instrText>
            </w:r>
            <w:r w:rsidR="002158D5">
              <w:rPr>
                <w:noProof/>
                <w:webHidden/>
              </w:rPr>
            </w:r>
            <w:r w:rsidR="002158D5">
              <w:rPr>
                <w:noProof/>
                <w:webHidden/>
              </w:rPr>
              <w:fldChar w:fldCharType="separate"/>
            </w:r>
            <w:r w:rsidR="002158D5">
              <w:rPr>
                <w:noProof/>
                <w:webHidden/>
              </w:rPr>
              <w:t>9</w:t>
            </w:r>
            <w:r w:rsidR="002158D5">
              <w:rPr>
                <w:noProof/>
                <w:webHidden/>
              </w:rPr>
              <w:fldChar w:fldCharType="end"/>
            </w:r>
          </w:hyperlink>
        </w:p>
        <w:p w14:paraId="508AE468" w14:textId="4E1E6B8E" w:rsidR="002158D5" w:rsidRDefault="00924E48">
          <w:pPr>
            <w:pStyle w:val="TOC3"/>
            <w:tabs>
              <w:tab w:val="right" w:leader="dot" w:pos="9350"/>
            </w:tabs>
            <w:rPr>
              <w:rFonts w:eastAsiaTheme="minorEastAsia"/>
              <w:noProof/>
              <w:szCs w:val="24"/>
            </w:rPr>
          </w:pPr>
          <w:hyperlink w:anchor="_Toc165641051" w:history="1">
            <w:r w:rsidR="002158D5" w:rsidRPr="00EC12AF">
              <w:rPr>
                <w:rStyle w:val="Hyperlink"/>
                <w:rFonts w:eastAsia="Times New Roman"/>
                <w:noProof/>
              </w:rPr>
              <w:t>2.1.3 Challenges and developments in PCFCs</w:t>
            </w:r>
            <w:r w:rsidR="002158D5">
              <w:rPr>
                <w:noProof/>
                <w:webHidden/>
              </w:rPr>
              <w:tab/>
            </w:r>
            <w:r w:rsidR="002158D5">
              <w:rPr>
                <w:noProof/>
                <w:webHidden/>
              </w:rPr>
              <w:fldChar w:fldCharType="begin"/>
            </w:r>
            <w:r w:rsidR="002158D5">
              <w:rPr>
                <w:noProof/>
                <w:webHidden/>
              </w:rPr>
              <w:instrText xml:space="preserve"> PAGEREF _Toc165641051 \h </w:instrText>
            </w:r>
            <w:r w:rsidR="002158D5">
              <w:rPr>
                <w:noProof/>
                <w:webHidden/>
              </w:rPr>
            </w:r>
            <w:r w:rsidR="002158D5">
              <w:rPr>
                <w:noProof/>
                <w:webHidden/>
              </w:rPr>
              <w:fldChar w:fldCharType="separate"/>
            </w:r>
            <w:r w:rsidR="002158D5">
              <w:rPr>
                <w:noProof/>
                <w:webHidden/>
              </w:rPr>
              <w:t>10</w:t>
            </w:r>
            <w:r w:rsidR="002158D5">
              <w:rPr>
                <w:noProof/>
                <w:webHidden/>
              </w:rPr>
              <w:fldChar w:fldCharType="end"/>
            </w:r>
          </w:hyperlink>
        </w:p>
        <w:p w14:paraId="7B69371B" w14:textId="299896CA" w:rsidR="002158D5" w:rsidRDefault="00924E48">
          <w:pPr>
            <w:pStyle w:val="TOC2"/>
            <w:rPr>
              <w:rFonts w:asciiTheme="minorHAnsi" w:eastAsiaTheme="minorEastAsia" w:hAnsiTheme="minorHAnsi"/>
              <w:noProof/>
              <w:szCs w:val="24"/>
            </w:rPr>
          </w:pPr>
          <w:hyperlink w:anchor="_Toc165641052" w:history="1">
            <w:r w:rsidR="002158D5" w:rsidRPr="00EC12AF">
              <w:rPr>
                <w:rStyle w:val="Hyperlink"/>
                <w:noProof/>
              </w:rPr>
              <w:t>2.2 Methane Dehydroaromatization</w:t>
            </w:r>
            <w:r w:rsidR="002158D5">
              <w:rPr>
                <w:noProof/>
                <w:webHidden/>
              </w:rPr>
              <w:tab/>
            </w:r>
            <w:r w:rsidR="002158D5">
              <w:rPr>
                <w:noProof/>
                <w:webHidden/>
              </w:rPr>
              <w:fldChar w:fldCharType="begin"/>
            </w:r>
            <w:r w:rsidR="002158D5">
              <w:rPr>
                <w:noProof/>
                <w:webHidden/>
              </w:rPr>
              <w:instrText xml:space="preserve"> PAGEREF _Toc165641052 \h </w:instrText>
            </w:r>
            <w:r w:rsidR="002158D5">
              <w:rPr>
                <w:noProof/>
                <w:webHidden/>
              </w:rPr>
            </w:r>
            <w:r w:rsidR="002158D5">
              <w:rPr>
                <w:noProof/>
                <w:webHidden/>
              </w:rPr>
              <w:fldChar w:fldCharType="separate"/>
            </w:r>
            <w:r w:rsidR="002158D5">
              <w:rPr>
                <w:noProof/>
                <w:webHidden/>
              </w:rPr>
              <w:t>11</w:t>
            </w:r>
            <w:r w:rsidR="002158D5">
              <w:rPr>
                <w:noProof/>
                <w:webHidden/>
              </w:rPr>
              <w:fldChar w:fldCharType="end"/>
            </w:r>
          </w:hyperlink>
        </w:p>
        <w:p w14:paraId="0E73F209" w14:textId="06EC9F50" w:rsidR="002158D5" w:rsidRDefault="00924E48">
          <w:pPr>
            <w:pStyle w:val="TOC3"/>
            <w:tabs>
              <w:tab w:val="right" w:leader="dot" w:pos="9350"/>
            </w:tabs>
            <w:rPr>
              <w:rFonts w:eastAsiaTheme="minorEastAsia"/>
              <w:noProof/>
              <w:szCs w:val="24"/>
            </w:rPr>
          </w:pPr>
          <w:hyperlink w:anchor="_Toc165641053" w:history="1">
            <w:r w:rsidR="002158D5" w:rsidRPr="00EC12AF">
              <w:rPr>
                <w:rStyle w:val="Hyperlink"/>
                <w:noProof/>
              </w:rPr>
              <w:t>2.2.1 Benzene Production Pathways</w:t>
            </w:r>
            <w:r w:rsidR="002158D5">
              <w:rPr>
                <w:noProof/>
                <w:webHidden/>
              </w:rPr>
              <w:tab/>
            </w:r>
            <w:r w:rsidR="002158D5">
              <w:rPr>
                <w:noProof/>
                <w:webHidden/>
              </w:rPr>
              <w:fldChar w:fldCharType="begin"/>
            </w:r>
            <w:r w:rsidR="002158D5">
              <w:rPr>
                <w:noProof/>
                <w:webHidden/>
              </w:rPr>
              <w:instrText xml:space="preserve"> PAGEREF _Toc165641053 \h </w:instrText>
            </w:r>
            <w:r w:rsidR="002158D5">
              <w:rPr>
                <w:noProof/>
                <w:webHidden/>
              </w:rPr>
            </w:r>
            <w:r w:rsidR="002158D5">
              <w:rPr>
                <w:noProof/>
                <w:webHidden/>
              </w:rPr>
              <w:fldChar w:fldCharType="separate"/>
            </w:r>
            <w:r w:rsidR="002158D5">
              <w:rPr>
                <w:noProof/>
                <w:webHidden/>
              </w:rPr>
              <w:t>11</w:t>
            </w:r>
            <w:r w:rsidR="002158D5">
              <w:rPr>
                <w:noProof/>
                <w:webHidden/>
              </w:rPr>
              <w:fldChar w:fldCharType="end"/>
            </w:r>
          </w:hyperlink>
        </w:p>
        <w:p w14:paraId="1118F40D" w14:textId="70D3539D" w:rsidR="002158D5" w:rsidRDefault="00924E48">
          <w:pPr>
            <w:pStyle w:val="TOC3"/>
            <w:tabs>
              <w:tab w:val="right" w:leader="dot" w:pos="9350"/>
            </w:tabs>
            <w:rPr>
              <w:rFonts w:eastAsiaTheme="minorEastAsia"/>
              <w:noProof/>
              <w:szCs w:val="24"/>
            </w:rPr>
          </w:pPr>
          <w:hyperlink w:anchor="_Toc165641054" w:history="1">
            <w:r w:rsidR="002158D5" w:rsidRPr="00EC12AF">
              <w:rPr>
                <w:rStyle w:val="Hyperlink"/>
                <w:noProof/>
              </w:rPr>
              <w:t>2.2.2 Essentiality of Benzene Production</w:t>
            </w:r>
            <w:r w:rsidR="002158D5">
              <w:rPr>
                <w:noProof/>
                <w:webHidden/>
              </w:rPr>
              <w:tab/>
            </w:r>
            <w:r w:rsidR="002158D5">
              <w:rPr>
                <w:noProof/>
                <w:webHidden/>
              </w:rPr>
              <w:fldChar w:fldCharType="begin"/>
            </w:r>
            <w:r w:rsidR="002158D5">
              <w:rPr>
                <w:noProof/>
                <w:webHidden/>
              </w:rPr>
              <w:instrText xml:space="preserve"> PAGEREF _Toc165641054 \h </w:instrText>
            </w:r>
            <w:r w:rsidR="002158D5">
              <w:rPr>
                <w:noProof/>
                <w:webHidden/>
              </w:rPr>
            </w:r>
            <w:r w:rsidR="002158D5">
              <w:rPr>
                <w:noProof/>
                <w:webHidden/>
              </w:rPr>
              <w:fldChar w:fldCharType="separate"/>
            </w:r>
            <w:r w:rsidR="002158D5">
              <w:rPr>
                <w:noProof/>
                <w:webHidden/>
              </w:rPr>
              <w:t>13</w:t>
            </w:r>
            <w:r w:rsidR="002158D5">
              <w:rPr>
                <w:noProof/>
                <w:webHidden/>
              </w:rPr>
              <w:fldChar w:fldCharType="end"/>
            </w:r>
          </w:hyperlink>
        </w:p>
        <w:p w14:paraId="055753B8" w14:textId="6195099B" w:rsidR="002158D5" w:rsidRDefault="00924E48">
          <w:pPr>
            <w:pStyle w:val="TOC3"/>
            <w:tabs>
              <w:tab w:val="right" w:leader="dot" w:pos="9350"/>
            </w:tabs>
            <w:rPr>
              <w:rFonts w:eastAsiaTheme="minorEastAsia"/>
              <w:noProof/>
              <w:szCs w:val="24"/>
            </w:rPr>
          </w:pPr>
          <w:hyperlink w:anchor="_Toc165641055" w:history="1">
            <w:r w:rsidR="002158D5" w:rsidRPr="00EC12AF">
              <w:rPr>
                <w:rStyle w:val="Hyperlink"/>
                <w:noProof/>
              </w:rPr>
              <w:t>2.2.3 Chemistry of MDA</w:t>
            </w:r>
            <w:r w:rsidR="002158D5">
              <w:rPr>
                <w:noProof/>
                <w:webHidden/>
              </w:rPr>
              <w:tab/>
            </w:r>
            <w:r w:rsidR="002158D5">
              <w:rPr>
                <w:noProof/>
                <w:webHidden/>
              </w:rPr>
              <w:fldChar w:fldCharType="begin"/>
            </w:r>
            <w:r w:rsidR="002158D5">
              <w:rPr>
                <w:noProof/>
                <w:webHidden/>
              </w:rPr>
              <w:instrText xml:space="preserve"> PAGEREF _Toc165641055 \h </w:instrText>
            </w:r>
            <w:r w:rsidR="002158D5">
              <w:rPr>
                <w:noProof/>
                <w:webHidden/>
              </w:rPr>
            </w:r>
            <w:r w:rsidR="002158D5">
              <w:rPr>
                <w:noProof/>
                <w:webHidden/>
              </w:rPr>
              <w:fldChar w:fldCharType="separate"/>
            </w:r>
            <w:r w:rsidR="002158D5">
              <w:rPr>
                <w:noProof/>
                <w:webHidden/>
              </w:rPr>
              <w:t>14</w:t>
            </w:r>
            <w:r w:rsidR="002158D5">
              <w:rPr>
                <w:noProof/>
                <w:webHidden/>
              </w:rPr>
              <w:fldChar w:fldCharType="end"/>
            </w:r>
          </w:hyperlink>
        </w:p>
        <w:p w14:paraId="023367C7" w14:textId="6F1F320D" w:rsidR="002158D5" w:rsidRDefault="00924E48">
          <w:pPr>
            <w:pStyle w:val="TOC3"/>
            <w:tabs>
              <w:tab w:val="right" w:leader="dot" w:pos="9350"/>
            </w:tabs>
            <w:rPr>
              <w:rFonts w:eastAsiaTheme="minorEastAsia"/>
              <w:noProof/>
              <w:szCs w:val="24"/>
            </w:rPr>
          </w:pPr>
          <w:hyperlink w:anchor="_Toc165641056" w:history="1">
            <w:r w:rsidR="002158D5" w:rsidRPr="00EC12AF">
              <w:rPr>
                <w:rStyle w:val="Hyperlink"/>
                <w:noProof/>
              </w:rPr>
              <w:t>2.2.4 Reaction Mechanisms</w:t>
            </w:r>
            <w:r w:rsidR="002158D5">
              <w:rPr>
                <w:noProof/>
                <w:webHidden/>
              </w:rPr>
              <w:tab/>
            </w:r>
            <w:r w:rsidR="002158D5">
              <w:rPr>
                <w:noProof/>
                <w:webHidden/>
              </w:rPr>
              <w:fldChar w:fldCharType="begin"/>
            </w:r>
            <w:r w:rsidR="002158D5">
              <w:rPr>
                <w:noProof/>
                <w:webHidden/>
              </w:rPr>
              <w:instrText xml:space="preserve"> PAGEREF _Toc165641056 \h </w:instrText>
            </w:r>
            <w:r w:rsidR="002158D5">
              <w:rPr>
                <w:noProof/>
                <w:webHidden/>
              </w:rPr>
            </w:r>
            <w:r w:rsidR="002158D5">
              <w:rPr>
                <w:noProof/>
                <w:webHidden/>
              </w:rPr>
              <w:fldChar w:fldCharType="separate"/>
            </w:r>
            <w:r w:rsidR="002158D5">
              <w:rPr>
                <w:noProof/>
                <w:webHidden/>
              </w:rPr>
              <w:t>15</w:t>
            </w:r>
            <w:r w:rsidR="002158D5">
              <w:rPr>
                <w:noProof/>
                <w:webHidden/>
              </w:rPr>
              <w:fldChar w:fldCharType="end"/>
            </w:r>
          </w:hyperlink>
        </w:p>
        <w:p w14:paraId="0920FE09" w14:textId="6074D868" w:rsidR="002158D5" w:rsidRDefault="00924E48">
          <w:pPr>
            <w:pStyle w:val="TOC3"/>
            <w:tabs>
              <w:tab w:val="right" w:leader="dot" w:pos="9350"/>
            </w:tabs>
            <w:rPr>
              <w:rFonts w:eastAsiaTheme="minorEastAsia"/>
              <w:noProof/>
              <w:szCs w:val="24"/>
            </w:rPr>
          </w:pPr>
          <w:hyperlink w:anchor="_Toc165641057" w:history="1">
            <w:r w:rsidR="002158D5" w:rsidRPr="00EC12AF">
              <w:rPr>
                <w:rStyle w:val="Hyperlink"/>
                <w:noProof/>
              </w:rPr>
              <w:t>2.2.5 Bifunctional Mechanism</w:t>
            </w:r>
            <w:r w:rsidR="002158D5">
              <w:rPr>
                <w:noProof/>
                <w:webHidden/>
              </w:rPr>
              <w:tab/>
            </w:r>
            <w:r w:rsidR="002158D5">
              <w:rPr>
                <w:noProof/>
                <w:webHidden/>
              </w:rPr>
              <w:fldChar w:fldCharType="begin"/>
            </w:r>
            <w:r w:rsidR="002158D5">
              <w:rPr>
                <w:noProof/>
                <w:webHidden/>
              </w:rPr>
              <w:instrText xml:space="preserve"> PAGEREF _Toc165641057 \h </w:instrText>
            </w:r>
            <w:r w:rsidR="002158D5">
              <w:rPr>
                <w:noProof/>
                <w:webHidden/>
              </w:rPr>
            </w:r>
            <w:r w:rsidR="002158D5">
              <w:rPr>
                <w:noProof/>
                <w:webHidden/>
              </w:rPr>
              <w:fldChar w:fldCharType="separate"/>
            </w:r>
            <w:r w:rsidR="002158D5">
              <w:rPr>
                <w:noProof/>
                <w:webHidden/>
              </w:rPr>
              <w:t>18</w:t>
            </w:r>
            <w:r w:rsidR="002158D5">
              <w:rPr>
                <w:noProof/>
                <w:webHidden/>
              </w:rPr>
              <w:fldChar w:fldCharType="end"/>
            </w:r>
          </w:hyperlink>
        </w:p>
        <w:p w14:paraId="51BE5059" w14:textId="1AF1BDD1" w:rsidR="002158D5" w:rsidRDefault="00924E48">
          <w:pPr>
            <w:pStyle w:val="TOC3"/>
            <w:tabs>
              <w:tab w:val="right" w:leader="dot" w:pos="9350"/>
            </w:tabs>
            <w:rPr>
              <w:rFonts w:eastAsiaTheme="minorEastAsia"/>
              <w:noProof/>
              <w:szCs w:val="24"/>
            </w:rPr>
          </w:pPr>
          <w:hyperlink w:anchor="_Toc165641058" w:history="1">
            <w:r w:rsidR="002158D5" w:rsidRPr="00EC12AF">
              <w:rPr>
                <w:rStyle w:val="Hyperlink"/>
                <w:noProof/>
              </w:rPr>
              <w:t>2.2.6 Modeling the MDA Reaction</w:t>
            </w:r>
            <w:r w:rsidR="002158D5">
              <w:rPr>
                <w:noProof/>
                <w:webHidden/>
              </w:rPr>
              <w:tab/>
            </w:r>
            <w:r w:rsidR="002158D5">
              <w:rPr>
                <w:noProof/>
                <w:webHidden/>
              </w:rPr>
              <w:fldChar w:fldCharType="begin"/>
            </w:r>
            <w:r w:rsidR="002158D5">
              <w:rPr>
                <w:noProof/>
                <w:webHidden/>
              </w:rPr>
              <w:instrText xml:space="preserve"> PAGEREF _Toc165641058 \h </w:instrText>
            </w:r>
            <w:r w:rsidR="002158D5">
              <w:rPr>
                <w:noProof/>
                <w:webHidden/>
              </w:rPr>
            </w:r>
            <w:r w:rsidR="002158D5">
              <w:rPr>
                <w:noProof/>
                <w:webHidden/>
              </w:rPr>
              <w:fldChar w:fldCharType="separate"/>
            </w:r>
            <w:r w:rsidR="002158D5">
              <w:rPr>
                <w:noProof/>
                <w:webHidden/>
              </w:rPr>
              <w:t>19</w:t>
            </w:r>
            <w:r w:rsidR="002158D5">
              <w:rPr>
                <w:noProof/>
                <w:webHidden/>
              </w:rPr>
              <w:fldChar w:fldCharType="end"/>
            </w:r>
          </w:hyperlink>
        </w:p>
        <w:p w14:paraId="0D1D5632" w14:textId="1A3EBB0E" w:rsidR="002158D5" w:rsidRDefault="00924E48">
          <w:pPr>
            <w:pStyle w:val="TOC3"/>
            <w:tabs>
              <w:tab w:val="right" w:leader="dot" w:pos="9350"/>
            </w:tabs>
            <w:rPr>
              <w:rFonts w:eastAsiaTheme="minorEastAsia"/>
              <w:noProof/>
              <w:szCs w:val="24"/>
            </w:rPr>
          </w:pPr>
          <w:hyperlink w:anchor="_Toc165641059" w:history="1">
            <w:r w:rsidR="002158D5" w:rsidRPr="00EC12AF">
              <w:rPr>
                <w:rStyle w:val="Hyperlink"/>
                <w:noProof/>
              </w:rPr>
              <w:t>2.2.7 Catalyst Breakdown</w:t>
            </w:r>
            <w:r w:rsidR="002158D5">
              <w:rPr>
                <w:noProof/>
                <w:webHidden/>
              </w:rPr>
              <w:tab/>
            </w:r>
            <w:r w:rsidR="002158D5">
              <w:rPr>
                <w:noProof/>
                <w:webHidden/>
              </w:rPr>
              <w:fldChar w:fldCharType="begin"/>
            </w:r>
            <w:r w:rsidR="002158D5">
              <w:rPr>
                <w:noProof/>
                <w:webHidden/>
              </w:rPr>
              <w:instrText xml:space="preserve"> PAGEREF _Toc165641059 \h </w:instrText>
            </w:r>
            <w:r w:rsidR="002158D5">
              <w:rPr>
                <w:noProof/>
                <w:webHidden/>
              </w:rPr>
            </w:r>
            <w:r w:rsidR="002158D5">
              <w:rPr>
                <w:noProof/>
                <w:webHidden/>
              </w:rPr>
              <w:fldChar w:fldCharType="separate"/>
            </w:r>
            <w:r w:rsidR="002158D5">
              <w:rPr>
                <w:noProof/>
                <w:webHidden/>
              </w:rPr>
              <w:t>22</w:t>
            </w:r>
            <w:r w:rsidR="002158D5">
              <w:rPr>
                <w:noProof/>
                <w:webHidden/>
              </w:rPr>
              <w:fldChar w:fldCharType="end"/>
            </w:r>
          </w:hyperlink>
        </w:p>
        <w:p w14:paraId="398067A0" w14:textId="5E217986" w:rsidR="002158D5" w:rsidRDefault="00924E48">
          <w:pPr>
            <w:pStyle w:val="TOC3"/>
            <w:tabs>
              <w:tab w:val="right" w:leader="dot" w:pos="9350"/>
            </w:tabs>
            <w:rPr>
              <w:rFonts w:eastAsiaTheme="minorEastAsia"/>
              <w:noProof/>
              <w:szCs w:val="24"/>
            </w:rPr>
          </w:pPr>
          <w:hyperlink w:anchor="_Toc165641060" w:history="1">
            <w:r w:rsidR="002158D5" w:rsidRPr="00EC12AF">
              <w:rPr>
                <w:rStyle w:val="Hyperlink"/>
                <w:noProof/>
              </w:rPr>
              <w:t>2.2.8 Industrial Challenges</w:t>
            </w:r>
            <w:r w:rsidR="002158D5">
              <w:rPr>
                <w:noProof/>
                <w:webHidden/>
              </w:rPr>
              <w:tab/>
            </w:r>
            <w:r w:rsidR="002158D5">
              <w:rPr>
                <w:noProof/>
                <w:webHidden/>
              </w:rPr>
              <w:fldChar w:fldCharType="begin"/>
            </w:r>
            <w:r w:rsidR="002158D5">
              <w:rPr>
                <w:noProof/>
                <w:webHidden/>
              </w:rPr>
              <w:instrText xml:space="preserve"> PAGEREF _Toc165641060 \h </w:instrText>
            </w:r>
            <w:r w:rsidR="002158D5">
              <w:rPr>
                <w:noProof/>
                <w:webHidden/>
              </w:rPr>
            </w:r>
            <w:r w:rsidR="002158D5">
              <w:rPr>
                <w:noProof/>
                <w:webHidden/>
              </w:rPr>
              <w:fldChar w:fldCharType="separate"/>
            </w:r>
            <w:r w:rsidR="002158D5">
              <w:rPr>
                <w:noProof/>
                <w:webHidden/>
              </w:rPr>
              <w:t>23</w:t>
            </w:r>
            <w:r w:rsidR="002158D5">
              <w:rPr>
                <w:noProof/>
                <w:webHidden/>
              </w:rPr>
              <w:fldChar w:fldCharType="end"/>
            </w:r>
          </w:hyperlink>
        </w:p>
        <w:p w14:paraId="0E142617" w14:textId="7638EE18" w:rsidR="002158D5" w:rsidRDefault="00924E48">
          <w:pPr>
            <w:pStyle w:val="TOC2"/>
            <w:rPr>
              <w:rFonts w:asciiTheme="minorHAnsi" w:eastAsiaTheme="minorEastAsia" w:hAnsiTheme="minorHAnsi"/>
              <w:noProof/>
              <w:szCs w:val="24"/>
            </w:rPr>
          </w:pPr>
          <w:hyperlink w:anchor="_Toc165641061" w:history="1">
            <w:r w:rsidR="002158D5" w:rsidRPr="00EC12AF">
              <w:rPr>
                <w:rStyle w:val="Hyperlink"/>
                <w:noProof/>
              </w:rPr>
              <w:t>2.3 Electro-catalysts for MDA</w:t>
            </w:r>
            <w:r w:rsidR="002158D5">
              <w:rPr>
                <w:noProof/>
                <w:webHidden/>
              </w:rPr>
              <w:tab/>
            </w:r>
            <w:r w:rsidR="002158D5">
              <w:rPr>
                <w:noProof/>
                <w:webHidden/>
              </w:rPr>
              <w:fldChar w:fldCharType="begin"/>
            </w:r>
            <w:r w:rsidR="002158D5">
              <w:rPr>
                <w:noProof/>
                <w:webHidden/>
              </w:rPr>
              <w:instrText xml:space="preserve"> PAGEREF _Toc165641061 \h </w:instrText>
            </w:r>
            <w:r w:rsidR="002158D5">
              <w:rPr>
                <w:noProof/>
                <w:webHidden/>
              </w:rPr>
            </w:r>
            <w:r w:rsidR="002158D5">
              <w:rPr>
                <w:noProof/>
                <w:webHidden/>
              </w:rPr>
              <w:fldChar w:fldCharType="separate"/>
            </w:r>
            <w:r w:rsidR="002158D5">
              <w:rPr>
                <w:noProof/>
                <w:webHidden/>
              </w:rPr>
              <w:t>23</w:t>
            </w:r>
            <w:r w:rsidR="002158D5">
              <w:rPr>
                <w:noProof/>
                <w:webHidden/>
              </w:rPr>
              <w:fldChar w:fldCharType="end"/>
            </w:r>
          </w:hyperlink>
        </w:p>
        <w:p w14:paraId="36060657" w14:textId="6A6502F9" w:rsidR="002158D5" w:rsidRDefault="00924E48">
          <w:pPr>
            <w:pStyle w:val="TOC3"/>
            <w:tabs>
              <w:tab w:val="right" w:leader="dot" w:pos="9350"/>
            </w:tabs>
            <w:rPr>
              <w:rFonts w:eastAsiaTheme="minorEastAsia"/>
              <w:noProof/>
              <w:szCs w:val="24"/>
            </w:rPr>
          </w:pPr>
          <w:hyperlink w:anchor="_Toc165641062" w:history="1">
            <w:r w:rsidR="002158D5" w:rsidRPr="00EC12AF">
              <w:rPr>
                <w:rStyle w:val="Hyperlink"/>
                <w:noProof/>
              </w:rPr>
              <w:t>2.3.1 Electrocatalyst Reaction Mechanism</w:t>
            </w:r>
            <w:r w:rsidR="002158D5">
              <w:rPr>
                <w:noProof/>
                <w:webHidden/>
              </w:rPr>
              <w:tab/>
            </w:r>
            <w:r w:rsidR="002158D5">
              <w:rPr>
                <w:noProof/>
                <w:webHidden/>
              </w:rPr>
              <w:fldChar w:fldCharType="begin"/>
            </w:r>
            <w:r w:rsidR="002158D5">
              <w:rPr>
                <w:noProof/>
                <w:webHidden/>
              </w:rPr>
              <w:instrText xml:space="preserve"> PAGEREF _Toc165641062 \h </w:instrText>
            </w:r>
            <w:r w:rsidR="002158D5">
              <w:rPr>
                <w:noProof/>
                <w:webHidden/>
              </w:rPr>
            </w:r>
            <w:r w:rsidR="002158D5">
              <w:rPr>
                <w:noProof/>
                <w:webHidden/>
              </w:rPr>
              <w:fldChar w:fldCharType="separate"/>
            </w:r>
            <w:r w:rsidR="002158D5">
              <w:rPr>
                <w:noProof/>
                <w:webHidden/>
              </w:rPr>
              <w:t>24</w:t>
            </w:r>
            <w:r w:rsidR="002158D5">
              <w:rPr>
                <w:noProof/>
                <w:webHidden/>
              </w:rPr>
              <w:fldChar w:fldCharType="end"/>
            </w:r>
          </w:hyperlink>
        </w:p>
        <w:p w14:paraId="202E041C" w14:textId="1222137D" w:rsidR="002158D5" w:rsidRDefault="00924E48">
          <w:pPr>
            <w:pStyle w:val="TOC3"/>
            <w:tabs>
              <w:tab w:val="right" w:leader="dot" w:pos="9350"/>
            </w:tabs>
            <w:rPr>
              <w:rFonts w:eastAsiaTheme="minorEastAsia"/>
              <w:noProof/>
              <w:szCs w:val="24"/>
            </w:rPr>
          </w:pPr>
          <w:hyperlink w:anchor="_Toc165641063" w:history="1">
            <w:r w:rsidR="002158D5" w:rsidRPr="00EC12AF">
              <w:rPr>
                <w:rStyle w:val="Hyperlink"/>
                <w:noProof/>
              </w:rPr>
              <w:t>2.3.2 PCERs with MDA</w:t>
            </w:r>
            <w:r w:rsidR="002158D5">
              <w:rPr>
                <w:noProof/>
                <w:webHidden/>
              </w:rPr>
              <w:tab/>
            </w:r>
            <w:r w:rsidR="002158D5">
              <w:rPr>
                <w:noProof/>
                <w:webHidden/>
              </w:rPr>
              <w:fldChar w:fldCharType="begin"/>
            </w:r>
            <w:r w:rsidR="002158D5">
              <w:rPr>
                <w:noProof/>
                <w:webHidden/>
              </w:rPr>
              <w:instrText xml:space="preserve"> PAGEREF _Toc165641063 \h </w:instrText>
            </w:r>
            <w:r w:rsidR="002158D5">
              <w:rPr>
                <w:noProof/>
                <w:webHidden/>
              </w:rPr>
            </w:r>
            <w:r w:rsidR="002158D5">
              <w:rPr>
                <w:noProof/>
                <w:webHidden/>
              </w:rPr>
              <w:fldChar w:fldCharType="separate"/>
            </w:r>
            <w:r w:rsidR="002158D5">
              <w:rPr>
                <w:noProof/>
                <w:webHidden/>
              </w:rPr>
              <w:t>25</w:t>
            </w:r>
            <w:r w:rsidR="002158D5">
              <w:rPr>
                <w:noProof/>
                <w:webHidden/>
              </w:rPr>
              <w:fldChar w:fldCharType="end"/>
            </w:r>
          </w:hyperlink>
        </w:p>
        <w:p w14:paraId="20606B1C" w14:textId="7F8E2CAB" w:rsidR="002158D5" w:rsidRDefault="00924E48">
          <w:pPr>
            <w:pStyle w:val="TOC1"/>
            <w:rPr>
              <w:rFonts w:asciiTheme="minorHAnsi" w:eastAsiaTheme="minorEastAsia" w:hAnsiTheme="minorHAnsi"/>
              <w:noProof/>
              <w:szCs w:val="24"/>
            </w:rPr>
          </w:pPr>
          <w:hyperlink w:anchor="_Toc165641064" w:history="1">
            <w:r w:rsidR="002158D5" w:rsidRPr="00EC12AF">
              <w:rPr>
                <w:rStyle w:val="Hyperlink"/>
                <w:noProof/>
              </w:rPr>
              <w:t>Chapter 3: Modelling the Tubular PCFC</w:t>
            </w:r>
            <w:r w:rsidR="002158D5">
              <w:rPr>
                <w:noProof/>
                <w:webHidden/>
              </w:rPr>
              <w:tab/>
            </w:r>
            <w:r w:rsidR="002158D5">
              <w:rPr>
                <w:noProof/>
                <w:webHidden/>
              </w:rPr>
              <w:fldChar w:fldCharType="begin"/>
            </w:r>
            <w:r w:rsidR="002158D5">
              <w:rPr>
                <w:noProof/>
                <w:webHidden/>
              </w:rPr>
              <w:instrText xml:space="preserve"> PAGEREF _Toc165641064 \h </w:instrText>
            </w:r>
            <w:r w:rsidR="002158D5">
              <w:rPr>
                <w:noProof/>
                <w:webHidden/>
              </w:rPr>
            </w:r>
            <w:r w:rsidR="002158D5">
              <w:rPr>
                <w:noProof/>
                <w:webHidden/>
              </w:rPr>
              <w:fldChar w:fldCharType="separate"/>
            </w:r>
            <w:r w:rsidR="002158D5">
              <w:rPr>
                <w:noProof/>
                <w:webHidden/>
              </w:rPr>
              <w:t>28</w:t>
            </w:r>
            <w:r w:rsidR="002158D5">
              <w:rPr>
                <w:noProof/>
                <w:webHidden/>
              </w:rPr>
              <w:fldChar w:fldCharType="end"/>
            </w:r>
          </w:hyperlink>
        </w:p>
        <w:p w14:paraId="2DF9C8D8" w14:textId="38ACABCF" w:rsidR="002158D5" w:rsidRDefault="00924E48">
          <w:pPr>
            <w:pStyle w:val="TOC2"/>
            <w:rPr>
              <w:rFonts w:asciiTheme="minorHAnsi" w:eastAsiaTheme="minorEastAsia" w:hAnsiTheme="minorHAnsi"/>
              <w:noProof/>
              <w:szCs w:val="24"/>
            </w:rPr>
          </w:pPr>
          <w:hyperlink w:anchor="_Toc165641065" w:history="1">
            <w:r w:rsidR="002158D5" w:rsidRPr="00EC12AF">
              <w:rPr>
                <w:rStyle w:val="Hyperlink"/>
                <w:noProof/>
              </w:rPr>
              <w:t>3.1 Modelling Overview</w:t>
            </w:r>
            <w:r w:rsidR="002158D5">
              <w:rPr>
                <w:noProof/>
                <w:webHidden/>
              </w:rPr>
              <w:tab/>
            </w:r>
            <w:r w:rsidR="002158D5">
              <w:rPr>
                <w:noProof/>
                <w:webHidden/>
              </w:rPr>
              <w:fldChar w:fldCharType="begin"/>
            </w:r>
            <w:r w:rsidR="002158D5">
              <w:rPr>
                <w:noProof/>
                <w:webHidden/>
              </w:rPr>
              <w:instrText xml:space="preserve"> PAGEREF _Toc165641065 \h </w:instrText>
            </w:r>
            <w:r w:rsidR="002158D5">
              <w:rPr>
                <w:noProof/>
                <w:webHidden/>
              </w:rPr>
            </w:r>
            <w:r w:rsidR="002158D5">
              <w:rPr>
                <w:noProof/>
                <w:webHidden/>
              </w:rPr>
              <w:fldChar w:fldCharType="separate"/>
            </w:r>
            <w:r w:rsidR="002158D5">
              <w:rPr>
                <w:noProof/>
                <w:webHidden/>
              </w:rPr>
              <w:t>28</w:t>
            </w:r>
            <w:r w:rsidR="002158D5">
              <w:rPr>
                <w:noProof/>
                <w:webHidden/>
              </w:rPr>
              <w:fldChar w:fldCharType="end"/>
            </w:r>
          </w:hyperlink>
        </w:p>
        <w:p w14:paraId="629ADEBC" w14:textId="431BCD80" w:rsidR="002158D5" w:rsidRDefault="00924E48">
          <w:pPr>
            <w:pStyle w:val="TOC2"/>
            <w:rPr>
              <w:rFonts w:asciiTheme="minorHAnsi" w:eastAsiaTheme="minorEastAsia" w:hAnsiTheme="minorHAnsi"/>
              <w:noProof/>
              <w:szCs w:val="24"/>
            </w:rPr>
          </w:pPr>
          <w:hyperlink w:anchor="_Toc165641066" w:history="1">
            <w:r w:rsidR="002158D5" w:rsidRPr="00EC12AF">
              <w:rPr>
                <w:rStyle w:val="Hyperlink"/>
                <w:noProof/>
              </w:rPr>
              <w:t>3.2 Reaction Mechanism</w:t>
            </w:r>
            <w:r w:rsidR="002158D5">
              <w:rPr>
                <w:noProof/>
                <w:webHidden/>
              </w:rPr>
              <w:tab/>
            </w:r>
            <w:r w:rsidR="002158D5">
              <w:rPr>
                <w:noProof/>
                <w:webHidden/>
              </w:rPr>
              <w:fldChar w:fldCharType="begin"/>
            </w:r>
            <w:r w:rsidR="002158D5">
              <w:rPr>
                <w:noProof/>
                <w:webHidden/>
              </w:rPr>
              <w:instrText xml:space="preserve"> PAGEREF _Toc165641066 \h </w:instrText>
            </w:r>
            <w:r w:rsidR="002158D5">
              <w:rPr>
                <w:noProof/>
                <w:webHidden/>
              </w:rPr>
            </w:r>
            <w:r w:rsidR="002158D5">
              <w:rPr>
                <w:noProof/>
                <w:webHidden/>
              </w:rPr>
              <w:fldChar w:fldCharType="separate"/>
            </w:r>
            <w:r w:rsidR="002158D5">
              <w:rPr>
                <w:noProof/>
                <w:webHidden/>
              </w:rPr>
              <w:t>29</w:t>
            </w:r>
            <w:r w:rsidR="002158D5">
              <w:rPr>
                <w:noProof/>
                <w:webHidden/>
              </w:rPr>
              <w:fldChar w:fldCharType="end"/>
            </w:r>
          </w:hyperlink>
        </w:p>
        <w:p w14:paraId="6A5FAB16" w14:textId="4E77D40A" w:rsidR="002158D5" w:rsidRDefault="00924E48">
          <w:pPr>
            <w:pStyle w:val="TOC3"/>
            <w:tabs>
              <w:tab w:val="right" w:leader="dot" w:pos="9350"/>
            </w:tabs>
            <w:rPr>
              <w:rFonts w:eastAsiaTheme="minorEastAsia"/>
              <w:noProof/>
              <w:szCs w:val="24"/>
            </w:rPr>
          </w:pPr>
          <w:hyperlink w:anchor="_Toc165641067" w:history="1">
            <w:r w:rsidR="002158D5" w:rsidRPr="00EC12AF">
              <w:rPr>
                <w:rStyle w:val="Hyperlink"/>
                <w:noProof/>
              </w:rPr>
              <w:t>3.2.1 Considered Reactions</w:t>
            </w:r>
            <w:r w:rsidR="002158D5">
              <w:rPr>
                <w:noProof/>
                <w:webHidden/>
              </w:rPr>
              <w:tab/>
            </w:r>
            <w:r w:rsidR="002158D5">
              <w:rPr>
                <w:noProof/>
                <w:webHidden/>
              </w:rPr>
              <w:fldChar w:fldCharType="begin"/>
            </w:r>
            <w:r w:rsidR="002158D5">
              <w:rPr>
                <w:noProof/>
                <w:webHidden/>
              </w:rPr>
              <w:instrText xml:space="preserve"> PAGEREF _Toc165641067 \h </w:instrText>
            </w:r>
            <w:r w:rsidR="002158D5">
              <w:rPr>
                <w:noProof/>
                <w:webHidden/>
              </w:rPr>
            </w:r>
            <w:r w:rsidR="002158D5">
              <w:rPr>
                <w:noProof/>
                <w:webHidden/>
              </w:rPr>
              <w:fldChar w:fldCharType="separate"/>
            </w:r>
            <w:r w:rsidR="002158D5">
              <w:rPr>
                <w:noProof/>
                <w:webHidden/>
              </w:rPr>
              <w:t>29</w:t>
            </w:r>
            <w:r w:rsidR="002158D5">
              <w:rPr>
                <w:noProof/>
                <w:webHidden/>
              </w:rPr>
              <w:fldChar w:fldCharType="end"/>
            </w:r>
          </w:hyperlink>
        </w:p>
        <w:p w14:paraId="73334E32" w14:textId="7F316B1F" w:rsidR="002158D5" w:rsidRDefault="00924E48">
          <w:pPr>
            <w:pStyle w:val="TOC3"/>
            <w:tabs>
              <w:tab w:val="right" w:leader="dot" w:pos="9350"/>
            </w:tabs>
            <w:rPr>
              <w:rFonts w:eastAsiaTheme="minorEastAsia"/>
              <w:noProof/>
              <w:szCs w:val="24"/>
            </w:rPr>
          </w:pPr>
          <w:hyperlink w:anchor="_Toc165641068" w:history="1">
            <w:r w:rsidR="002158D5" w:rsidRPr="00EC12AF">
              <w:rPr>
                <w:rStyle w:val="Hyperlink"/>
                <w:noProof/>
              </w:rPr>
              <w:t>3.2.2 Reaction Rates</w:t>
            </w:r>
            <w:r w:rsidR="002158D5">
              <w:rPr>
                <w:noProof/>
                <w:webHidden/>
              </w:rPr>
              <w:tab/>
            </w:r>
            <w:r w:rsidR="002158D5">
              <w:rPr>
                <w:noProof/>
                <w:webHidden/>
              </w:rPr>
              <w:fldChar w:fldCharType="begin"/>
            </w:r>
            <w:r w:rsidR="002158D5">
              <w:rPr>
                <w:noProof/>
                <w:webHidden/>
              </w:rPr>
              <w:instrText xml:space="preserve"> PAGEREF _Toc165641068 \h </w:instrText>
            </w:r>
            <w:r w:rsidR="002158D5">
              <w:rPr>
                <w:noProof/>
                <w:webHidden/>
              </w:rPr>
            </w:r>
            <w:r w:rsidR="002158D5">
              <w:rPr>
                <w:noProof/>
                <w:webHidden/>
              </w:rPr>
              <w:fldChar w:fldCharType="separate"/>
            </w:r>
            <w:r w:rsidR="002158D5">
              <w:rPr>
                <w:noProof/>
                <w:webHidden/>
              </w:rPr>
              <w:t>31</w:t>
            </w:r>
            <w:r w:rsidR="002158D5">
              <w:rPr>
                <w:noProof/>
                <w:webHidden/>
              </w:rPr>
              <w:fldChar w:fldCharType="end"/>
            </w:r>
          </w:hyperlink>
        </w:p>
        <w:p w14:paraId="124BC0E3" w14:textId="135ECE85" w:rsidR="002158D5" w:rsidRDefault="00924E48">
          <w:pPr>
            <w:pStyle w:val="TOC3"/>
            <w:tabs>
              <w:tab w:val="right" w:leader="dot" w:pos="9350"/>
            </w:tabs>
            <w:rPr>
              <w:rFonts w:eastAsiaTheme="minorEastAsia"/>
              <w:noProof/>
              <w:szCs w:val="24"/>
            </w:rPr>
          </w:pPr>
          <w:hyperlink w:anchor="_Toc165641069" w:history="1">
            <w:r w:rsidR="002158D5" w:rsidRPr="00EC12AF">
              <w:rPr>
                <w:rStyle w:val="Hyperlink"/>
                <w:noProof/>
              </w:rPr>
              <w:t>3.2.3 Reaction Constants</w:t>
            </w:r>
            <w:r w:rsidR="002158D5">
              <w:rPr>
                <w:noProof/>
                <w:webHidden/>
              </w:rPr>
              <w:tab/>
            </w:r>
            <w:r w:rsidR="002158D5">
              <w:rPr>
                <w:noProof/>
                <w:webHidden/>
              </w:rPr>
              <w:fldChar w:fldCharType="begin"/>
            </w:r>
            <w:r w:rsidR="002158D5">
              <w:rPr>
                <w:noProof/>
                <w:webHidden/>
              </w:rPr>
              <w:instrText xml:space="preserve"> PAGEREF _Toc165641069 \h </w:instrText>
            </w:r>
            <w:r w:rsidR="002158D5">
              <w:rPr>
                <w:noProof/>
                <w:webHidden/>
              </w:rPr>
            </w:r>
            <w:r w:rsidR="002158D5">
              <w:rPr>
                <w:noProof/>
                <w:webHidden/>
              </w:rPr>
              <w:fldChar w:fldCharType="separate"/>
            </w:r>
            <w:r w:rsidR="002158D5">
              <w:rPr>
                <w:noProof/>
                <w:webHidden/>
              </w:rPr>
              <w:t>33</w:t>
            </w:r>
            <w:r w:rsidR="002158D5">
              <w:rPr>
                <w:noProof/>
                <w:webHidden/>
              </w:rPr>
              <w:fldChar w:fldCharType="end"/>
            </w:r>
          </w:hyperlink>
        </w:p>
        <w:p w14:paraId="7F338D84" w14:textId="50978F3A" w:rsidR="002158D5" w:rsidRDefault="00924E48">
          <w:pPr>
            <w:pStyle w:val="TOC2"/>
            <w:rPr>
              <w:rFonts w:asciiTheme="minorHAnsi" w:eastAsiaTheme="minorEastAsia" w:hAnsiTheme="minorHAnsi"/>
              <w:noProof/>
              <w:szCs w:val="24"/>
            </w:rPr>
          </w:pPr>
          <w:hyperlink w:anchor="_Toc165641070" w:history="1">
            <w:r w:rsidR="002158D5" w:rsidRPr="00EC12AF">
              <w:rPr>
                <w:rStyle w:val="Hyperlink"/>
                <w:noProof/>
              </w:rPr>
              <w:t>3.3 Mass Balance</w:t>
            </w:r>
            <w:r w:rsidR="002158D5">
              <w:rPr>
                <w:noProof/>
                <w:webHidden/>
              </w:rPr>
              <w:tab/>
            </w:r>
            <w:r w:rsidR="002158D5">
              <w:rPr>
                <w:noProof/>
                <w:webHidden/>
              </w:rPr>
              <w:fldChar w:fldCharType="begin"/>
            </w:r>
            <w:r w:rsidR="002158D5">
              <w:rPr>
                <w:noProof/>
                <w:webHidden/>
              </w:rPr>
              <w:instrText xml:space="preserve"> PAGEREF _Toc165641070 \h </w:instrText>
            </w:r>
            <w:r w:rsidR="002158D5">
              <w:rPr>
                <w:noProof/>
                <w:webHidden/>
              </w:rPr>
            </w:r>
            <w:r w:rsidR="002158D5">
              <w:rPr>
                <w:noProof/>
                <w:webHidden/>
              </w:rPr>
              <w:fldChar w:fldCharType="separate"/>
            </w:r>
            <w:r w:rsidR="002158D5">
              <w:rPr>
                <w:noProof/>
                <w:webHidden/>
              </w:rPr>
              <w:t>36</w:t>
            </w:r>
            <w:r w:rsidR="002158D5">
              <w:rPr>
                <w:noProof/>
                <w:webHidden/>
              </w:rPr>
              <w:fldChar w:fldCharType="end"/>
            </w:r>
          </w:hyperlink>
        </w:p>
        <w:p w14:paraId="77C904F9" w14:textId="353D819C" w:rsidR="002158D5" w:rsidRDefault="00924E48">
          <w:pPr>
            <w:pStyle w:val="TOC3"/>
            <w:tabs>
              <w:tab w:val="right" w:leader="dot" w:pos="9350"/>
            </w:tabs>
            <w:rPr>
              <w:rFonts w:eastAsiaTheme="minorEastAsia"/>
              <w:noProof/>
              <w:szCs w:val="24"/>
            </w:rPr>
          </w:pPr>
          <w:hyperlink w:anchor="_Toc165641071" w:history="1">
            <w:r w:rsidR="002158D5" w:rsidRPr="00EC12AF">
              <w:rPr>
                <w:rStyle w:val="Hyperlink"/>
                <w:noProof/>
              </w:rPr>
              <w:t>3.3.1 Model Discretization</w:t>
            </w:r>
            <w:r w:rsidR="002158D5">
              <w:rPr>
                <w:noProof/>
                <w:webHidden/>
              </w:rPr>
              <w:tab/>
            </w:r>
            <w:r w:rsidR="002158D5">
              <w:rPr>
                <w:noProof/>
                <w:webHidden/>
              </w:rPr>
              <w:fldChar w:fldCharType="begin"/>
            </w:r>
            <w:r w:rsidR="002158D5">
              <w:rPr>
                <w:noProof/>
                <w:webHidden/>
              </w:rPr>
              <w:instrText xml:space="preserve"> PAGEREF _Toc165641071 \h </w:instrText>
            </w:r>
            <w:r w:rsidR="002158D5">
              <w:rPr>
                <w:noProof/>
                <w:webHidden/>
              </w:rPr>
            </w:r>
            <w:r w:rsidR="002158D5">
              <w:rPr>
                <w:noProof/>
                <w:webHidden/>
              </w:rPr>
              <w:fldChar w:fldCharType="separate"/>
            </w:r>
            <w:r w:rsidR="002158D5">
              <w:rPr>
                <w:noProof/>
                <w:webHidden/>
              </w:rPr>
              <w:t>36</w:t>
            </w:r>
            <w:r w:rsidR="002158D5">
              <w:rPr>
                <w:noProof/>
                <w:webHidden/>
              </w:rPr>
              <w:fldChar w:fldCharType="end"/>
            </w:r>
          </w:hyperlink>
        </w:p>
        <w:p w14:paraId="75D0C6C1" w14:textId="283903D2" w:rsidR="002158D5" w:rsidRDefault="00924E48">
          <w:pPr>
            <w:pStyle w:val="TOC3"/>
            <w:tabs>
              <w:tab w:val="right" w:leader="dot" w:pos="9350"/>
            </w:tabs>
            <w:rPr>
              <w:rFonts w:eastAsiaTheme="minorEastAsia"/>
              <w:noProof/>
              <w:szCs w:val="24"/>
            </w:rPr>
          </w:pPr>
          <w:hyperlink w:anchor="_Toc165641072" w:history="1">
            <w:r w:rsidR="002158D5" w:rsidRPr="00EC12AF">
              <w:rPr>
                <w:rStyle w:val="Hyperlink"/>
                <w:noProof/>
              </w:rPr>
              <w:t>3.3.2 Discretized Mass Balance</w:t>
            </w:r>
            <w:r w:rsidR="002158D5">
              <w:rPr>
                <w:noProof/>
                <w:webHidden/>
              </w:rPr>
              <w:tab/>
            </w:r>
            <w:r w:rsidR="002158D5">
              <w:rPr>
                <w:noProof/>
                <w:webHidden/>
              </w:rPr>
              <w:fldChar w:fldCharType="begin"/>
            </w:r>
            <w:r w:rsidR="002158D5">
              <w:rPr>
                <w:noProof/>
                <w:webHidden/>
              </w:rPr>
              <w:instrText xml:space="preserve"> PAGEREF _Toc165641072 \h </w:instrText>
            </w:r>
            <w:r w:rsidR="002158D5">
              <w:rPr>
                <w:noProof/>
                <w:webHidden/>
              </w:rPr>
            </w:r>
            <w:r w:rsidR="002158D5">
              <w:rPr>
                <w:noProof/>
                <w:webHidden/>
              </w:rPr>
              <w:fldChar w:fldCharType="separate"/>
            </w:r>
            <w:r w:rsidR="002158D5">
              <w:rPr>
                <w:noProof/>
                <w:webHidden/>
              </w:rPr>
              <w:t>38</w:t>
            </w:r>
            <w:r w:rsidR="002158D5">
              <w:rPr>
                <w:noProof/>
                <w:webHidden/>
              </w:rPr>
              <w:fldChar w:fldCharType="end"/>
            </w:r>
          </w:hyperlink>
        </w:p>
        <w:p w14:paraId="6565D585" w14:textId="070E50C4" w:rsidR="002158D5" w:rsidRDefault="00924E48">
          <w:pPr>
            <w:pStyle w:val="TOC2"/>
            <w:rPr>
              <w:rFonts w:asciiTheme="minorHAnsi" w:eastAsiaTheme="minorEastAsia" w:hAnsiTheme="minorHAnsi"/>
              <w:noProof/>
              <w:szCs w:val="24"/>
            </w:rPr>
          </w:pPr>
          <w:hyperlink w:anchor="_Toc165641073" w:history="1">
            <w:r w:rsidR="002158D5" w:rsidRPr="00EC12AF">
              <w:rPr>
                <w:rStyle w:val="Hyperlink"/>
                <w:noProof/>
              </w:rPr>
              <w:t>3.4 Electrochemical Model</w:t>
            </w:r>
            <w:r w:rsidR="002158D5">
              <w:rPr>
                <w:noProof/>
                <w:webHidden/>
              </w:rPr>
              <w:tab/>
            </w:r>
            <w:r w:rsidR="002158D5">
              <w:rPr>
                <w:noProof/>
                <w:webHidden/>
              </w:rPr>
              <w:fldChar w:fldCharType="begin"/>
            </w:r>
            <w:r w:rsidR="002158D5">
              <w:rPr>
                <w:noProof/>
                <w:webHidden/>
              </w:rPr>
              <w:instrText xml:space="preserve"> PAGEREF _Toc165641073 \h </w:instrText>
            </w:r>
            <w:r w:rsidR="002158D5">
              <w:rPr>
                <w:noProof/>
                <w:webHidden/>
              </w:rPr>
            </w:r>
            <w:r w:rsidR="002158D5">
              <w:rPr>
                <w:noProof/>
                <w:webHidden/>
              </w:rPr>
              <w:fldChar w:fldCharType="separate"/>
            </w:r>
            <w:r w:rsidR="002158D5">
              <w:rPr>
                <w:noProof/>
                <w:webHidden/>
              </w:rPr>
              <w:t>40</w:t>
            </w:r>
            <w:r w:rsidR="002158D5">
              <w:rPr>
                <w:noProof/>
                <w:webHidden/>
              </w:rPr>
              <w:fldChar w:fldCharType="end"/>
            </w:r>
          </w:hyperlink>
        </w:p>
        <w:p w14:paraId="0EBD2F74" w14:textId="3BD8FC5D" w:rsidR="002158D5" w:rsidRDefault="00924E48">
          <w:pPr>
            <w:pStyle w:val="TOC3"/>
            <w:tabs>
              <w:tab w:val="right" w:leader="dot" w:pos="9350"/>
            </w:tabs>
            <w:rPr>
              <w:rFonts w:eastAsiaTheme="minorEastAsia"/>
              <w:noProof/>
              <w:szCs w:val="24"/>
            </w:rPr>
          </w:pPr>
          <w:hyperlink w:anchor="_Toc165641074" w:history="1">
            <w:r w:rsidR="002158D5" w:rsidRPr="00EC12AF">
              <w:rPr>
                <w:rStyle w:val="Hyperlink"/>
                <w:noProof/>
              </w:rPr>
              <w:t>3.4.1 Nernst Equation</w:t>
            </w:r>
            <w:r w:rsidR="002158D5">
              <w:rPr>
                <w:noProof/>
                <w:webHidden/>
              </w:rPr>
              <w:tab/>
            </w:r>
            <w:r w:rsidR="002158D5">
              <w:rPr>
                <w:noProof/>
                <w:webHidden/>
              </w:rPr>
              <w:fldChar w:fldCharType="begin"/>
            </w:r>
            <w:r w:rsidR="002158D5">
              <w:rPr>
                <w:noProof/>
                <w:webHidden/>
              </w:rPr>
              <w:instrText xml:space="preserve"> PAGEREF _Toc165641074 \h </w:instrText>
            </w:r>
            <w:r w:rsidR="002158D5">
              <w:rPr>
                <w:noProof/>
                <w:webHidden/>
              </w:rPr>
            </w:r>
            <w:r w:rsidR="002158D5">
              <w:rPr>
                <w:noProof/>
                <w:webHidden/>
              </w:rPr>
              <w:fldChar w:fldCharType="separate"/>
            </w:r>
            <w:r w:rsidR="002158D5">
              <w:rPr>
                <w:noProof/>
                <w:webHidden/>
              </w:rPr>
              <w:t>40</w:t>
            </w:r>
            <w:r w:rsidR="002158D5">
              <w:rPr>
                <w:noProof/>
                <w:webHidden/>
              </w:rPr>
              <w:fldChar w:fldCharType="end"/>
            </w:r>
          </w:hyperlink>
        </w:p>
        <w:p w14:paraId="0AD22A58" w14:textId="37CFC51D" w:rsidR="002158D5" w:rsidRDefault="00924E48">
          <w:pPr>
            <w:pStyle w:val="TOC3"/>
            <w:tabs>
              <w:tab w:val="right" w:leader="dot" w:pos="9350"/>
            </w:tabs>
            <w:rPr>
              <w:rFonts w:eastAsiaTheme="minorEastAsia"/>
              <w:noProof/>
              <w:szCs w:val="24"/>
            </w:rPr>
          </w:pPr>
          <w:hyperlink w:anchor="_Toc165641075" w:history="1">
            <w:r w:rsidR="002158D5" w:rsidRPr="00EC12AF">
              <w:rPr>
                <w:rStyle w:val="Hyperlink"/>
                <w:noProof/>
              </w:rPr>
              <w:t>3.4.2 Ohmic Overpotential</w:t>
            </w:r>
            <w:r w:rsidR="002158D5">
              <w:rPr>
                <w:noProof/>
                <w:webHidden/>
              </w:rPr>
              <w:tab/>
            </w:r>
            <w:r w:rsidR="002158D5">
              <w:rPr>
                <w:noProof/>
                <w:webHidden/>
              </w:rPr>
              <w:fldChar w:fldCharType="begin"/>
            </w:r>
            <w:r w:rsidR="002158D5">
              <w:rPr>
                <w:noProof/>
                <w:webHidden/>
              </w:rPr>
              <w:instrText xml:space="preserve"> PAGEREF _Toc165641075 \h </w:instrText>
            </w:r>
            <w:r w:rsidR="002158D5">
              <w:rPr>
                <w:noProof/>
                <w:webHidden/>
              </w:rPr>
            </w:r>
            <w:r w:rsidR="002158D5">
              <w:rPr>
                <w:noProof/>
                <w:webHidden/>
              </w:rPr>
              <w:fldChar w:fldCharType="separate"/>
            </w:r>
            <w:r w:rsidR="002158D5">
              <w:rPr>
                <w:noProof/>
                <w:webHidden/>
              </w:rPr>
              <w:t>41</w:t>
            </w:r>
            <w:r w:rsidR="002158D5">
              <w:rPr>
                <w:noProof/>
                <w:webHidden/>
              </w:rPr>
              <w:fldChar w:fldCharType="end"/>
            </w:r>
          </w:hyperlink>
        </w:p>
        <w:p w14:paraId="3BAF2419" w14:textId="76C695A1" w:rsidR="002158D5" w:rsidRDefault="00924E48">
          <w:pPr>
            <w:pStyle w:val="TOC3"/>
            <w:tabs>
              <w:tab w:val="right" w:leader="dot" w:pos="9350"/>
            </w:tabs>
            <w:rPr>
              <w:rFonts w:eastAsiaTheme="minorEastAsia"/>
              <w:noProof/>
              <w:szCs w:val="24"/>
            </w:rPr>
          </w:pPr>
          <w:hyperlink w:anchor="_Toc165641076" w:history="1">
            <w:r w:rsidR="002158D5" w:rsidRPr="00EC12AF">
              <w:rPr>
                <w:rStyle w:val="Hyperlink"/>
                <w:noProof/>
              </w:rPr>
              <w:t>3.4.3 Activation Overpotential</w:t>
            </w:r>
            <w:r w:rsidR="002158D5">
              <w:rPr>
                <w:noProof/>
                <w:webHidden/>
              </w:rPr>
              <w:tab/>
            </w:r>
            <w:r w:rsidR="002158D5">
              <w:rPr>
                <w:noProof/>
                <w:webHidden/>
              </w:rPr>
              <w:fldChar w:fldCharType="begin"/>
            </w:r>
            <w:r w:rsidR="002158D5">
              <w:rPr>
                <w:noProof/>
                <w:webHidden/>
              </w:rPr>
              <w:instrText xml:space="preserve"> PAGEREF _Toc165641076 \h </w:instrText>
            </w:r>
            <w:r w:rsidR="002158D5">
              <w:rPr>
                <w:noProof/>
                <w:webHidden/>
              </w:rPr>
            </w:r>
            <w:r w:rsidR="002158D5">
              <w:rPr>
                <w:noProof/>
                <w:webHidden/>
              </w:rPr>
              <w:fldChar w:fldCharType="separate"/>
            </w:r>
            <w:r w:rsidR="002158D5">
              <w:rPr>
                <w:noProof/>
                <w:webHidden/>
              </w:rPr>
              <w:t>43</w:t>
            </w:r>
            <w:r w:rsidR="002158D5">
              <w:rPr>
                <w:noProof/>
                <w:webHidden/>
              </w:rPr>
              <w:fldChar w:fldCharType="end"/>
            </w:r>
          </w:hyperlink>
        </w:p>
        <w:p w14:paraId="49089A6A" w14:textId="35CEEC9D" w:rsidR="002158D5" w:rsidRDefault="00924E48">
          <w:pPr>
            <w:pStyle w:val="TOC3"/>
            <w:tabs>
              <w:tab w:val="right" w:leader="dot" w:pos="9350"/>
            </w:tabs>
            <w:rPr>
              <w:rFonts w:eastAsiaTheme="minorEastAsia"/>
              <w:noProof/>
              <w:szCs w:val="24"/>
            </w:rPr>
          </w:pPr>
          <w:hyperlink w:anchor="_Toc165641077" w:history="1">
            <w:r w:rsidR="002158D5" w:rsidRPr="00EC12AF">
              <w:rPr>
                <w:rStyle w:val="Hyperlink"/>
                <w:noProof/>
              </w:rPr>
              <w:t>3.4.4 Concentration Overpotential</w:t>
            </w:r>
            <w:r w:rsidR="002158D5">
              <w:rPr>
                <w:noProof/>
                <w:webHidden/>
              </w:rPr>
              <w:tab/>
            </w:r>
            <w:r w:rsidR="002158D5">
              <w:rPr>
                <w:noProof/>
                <w:webHidden/>
              </w:rPr>
              <w:fldChar w:fldCharType="begin"/>
            </w:r>
            <w:r w:rsidR="002158D5">
              <w:rPr>
                <w:noProof/>
                <w:webHidden/>
              </w:rPr>
              <w:instrText xml:space="preserve"> PAGEREF _Toc165641077 \h </w:instrText>
            </w:r>
            <w:r w:rsidR="002158D5">
              <w:rPr>
                <w:noProof/>
                <w:webHidden/>
              </w:rPr>
            </w:r>
            <w:r w:rsidR="002158D5">
              <w:rPr>
                <w:noProof/>
                <w:webHidden/>
              </w:rPr>
              <w:fldChar w:fldCharType="separate"/>
            </w:r>
            <w:r w:rsidR="002158D5">
              <w:rPr>
                <w:noProof/>
                <w:webHidden/>
              </w:rPr>
              <w:t>45</w:t>
            </w:r>
            <w:r w:rsidR="002158D5">
              <w:rPr>
                <w:noProof/>
                <w:webHidden/>
              </w:rPr>
              <w:fldChar w:fldCharType="end"/>
            </w:r>
          </w:hyperlink>
        </w:p>
        <w:p w14:paraId="6A18AB59" w14:textId="3D941A77" w:rsidR="002158D5" w:rsidRDefault="00924E48">
          <w:pPr>
            <w:pStyle w:val="TOC3"/>
            <w:tabs>
              <w:tab w:val="right" w:leader="dot" w:pos="9350"/>
            </w:tabs>
            <w:rPr>
              <w:rFonts w:eastAsiaTheme="minorEastAsia"/>
              <w:noProof/>
              <w:szCs w:val="24"/>
            </w:rPr>
          </w:pPr>
          <w:hyperlink w:anchor="_Toc165641078" w:history="1">
            <w:r w:rsidR="002158D5" w:rsidRPr="00EC12AF">
              <w:rPr>
                <w:rStyle w:val="Hyperlink"/>
                <w:noProof/>
              </w:rPr>
              <w:t>3.4.5 Electrochemical Model Setup</w:t>
            </w:r>
            <w:r w:rsidR="002158D5">
              <w:rPr>
                <w:noProof/>
                <w:webHidden/>
              </w:rPr>
              <w:tab/>
            </w:r>
            <w:r w:rsidR="002158D5">
              <w:rPr>
                <w:noProof/>
                <w:webHidden/>
              </w:rPr>
              <w:fldChar w:fldCharType="begin"/>
            </w:r>
            <w:r w:rsidR="002158D5">
              <w:rPr>
                <w:noProof/>
                <w:webHidden/>
              </w:rPr>
              <w:instrText xml:space="preserve"> PAGEREF _Toc165641078 \h </w:instrText>
            </w:r>
            <w:r w:rsidR="002158D5">
              <w:rPr>
                <w:noProof/>
                <w:webHidden/>
              </w:rPr>
            </w:r>
            <w:r w:rsidR="002158D5">
              <w:rPr>
                <w:noProof/>
                <w:webHidden/>
              </w:rPr>
              <w:fldChar w:fldCharType="separate"/>
            </w:r>
            <w:r w:rsidR="002158D5">
              <w:rPr>
                <w:noProof/>
                <w:webHidden/>
              </w:rPr>
              <w:t>47</w:t>
            </w:r>
            <w:r w:rsidR="002158D5">
              <w:rPr>
                <w:noProof/>
                <w:webHidden/>
              </w:rPr>
              <w:fldChar w:fldCharType="end"/>
            </w:r>
          </w:hyperlink>
        </w:p>
        <w:p w14:paraId="4F72632D" w14:textId="6369D2C9" w:rsidR="002158D5" w:rsidRDefault="00924E48">
          <w:pPr>
            <w:pStyle w:val="TOC2"/>
            <w:rPr>
              <w:rFonts w:asciiTheme="minorHAnsi" w:eastAsiaTheme="minorEastAsia" w:hAnsiTheme="minorHAnsi"/>
              <w:noProof/>
              <w:szCs w:val="24"/>
            </w:rPr>
          </w:pPr>
          <w:hyperlink w:anchor="_Toc165641079" w:history="1">
            <w:r w:rsidR="002158D5" w:rsidRPr="00EC12AF">
              <w:rPr>
                <w:rStyle w:val="Hyperlink"/>
                <w:noProof/>
              </w:rPr>
              <w:t>3.5 Energy Balance</w:t>
            </w:r>
            <w:r w:rsidR="002158D5">
              <w:rPr>
                <w:noProof/>
                <w:webHidden/>
              </w:rPr>
              <w:tab/>
            </w:r>
            <w:r w:rsidR="002158D5">
              <w:rPr>
                <w:noProof/>
                <w:webHidden/>
              </w:rPr>
              <w:fldChar w:fldCharType="begin"/>
            </w:r>
            <w:r w:rsidR="002158D5">
              <w:rPr>
                <w:noProof/>
                <w:webHidden/>
              </w:rPr>
              <w:instrText xml:space="preserve"> PAGEREF _Toc165641079 \h </w:instrText>
            </w:r>
            <w:r w:rsidR="002158D5">
              <w:rPr>
                <w:noProof/>
                <w:webHidden/>
              </w:rPr>
            </w:r>
            <w:r w:rsidR="002158D5">
              <w:rPr>
                <w:noProof/>
                <w:webHidden/>
              </w:rPr>
              <w:fldChar w:fldCharType="separate"/>
            </w:r>
            <w:r w:rsidR="002158D5">
              <w:rPr>
                <w:noProof/>
                <w:webHidden/>
              </w:rPr>
              <w:t>48</w:t>
            </w:r>
            <w:r w:rsidR="002158D5">
              <w:rPr>
                <w:noProof/>
                <w:webHidden/>
              </w:rPr>
              <w:fldChar w:fldCharType="end"/>
            </w:r>
          </w:hyperlink>
        </w:p>
        <w:p w14:paraId="72539A20" w14:textId="5C4B996B" w:rsidR="002158D5" w:rsidRDefault="00924E48">
          <w:pPr>
            <w:pStyle w:val="TOC3"/>
            <w:tabs>
              <w:tab w:val="right" w:leader="dot" w:pos="9350"/>
            </w:tabs>
            <w:rPr>
              <w:rFonts w:eastAsiaTheme="minorEastAsia"/>
              <w:noProof/>
              <w:szCs w:val="24"/>
            </w:rPr>
          </w:pPr>
          <w:hyperlink w:anchor="_Toc165641080" w:history="1">
            <w:r w:rsidR="002158D5" w:rsidRPr="00EC12AF">
              <w:rPr>
                <w:rStyle w:val="Hyperlink"/>
                <w:noProof/>
              </w:rPr>
              <w:t>3.5.1 Constants for Flowing Layers</w:t>
            </w:r>
            <w:r w:rsidR="002158D5">
              <w:rPr>
                <w:noProof/>
                <w:webHidden/>
              </w:rPr>
              <w:tab/>
            </w:r>
            <w:r w:rsidR="002158D5">
              <w:rPr>
                <w:noProof/>
                <w:webHidden/>
              </w:rPr>
              <w:fldChar w:fldCharType="begin"/>
            </w:r>
            <w:r w:rsidR="002158D5">
              <w:rPr>
                <w:noProof/>
                <w:webHidden/>
              </w:rPr>
              <w:instrText xml:space="preserve"> PAGEREF _Toc165641080 \h </w:instrText>
            </w:r>
            <w:r w:rsidR="002158D5">
              <w:rPr>
                <w:noProof/>
                <w:webHidden/>
              </w:rPr>
            </w:r>
            <w:r w:rsidR="002158D5">
              <w:rPr>
                <w:noProof/>
                <w:webHidden/>
              </w:rPr>
              <w:fldChar w:fldCharType="separate"/>
            </w:r>
            <w:r w:rsidR="002158D5">
              <w:rPr>
                <w:noProof/>
                <w:webHidden/>
              </w:rPr>
              <w:t>49</w:t>
            </w:r>
            <w:r w:rsidR="002158D5">
              <w:rPr>
                <w:noProof/>
                <w:webHidden/>
              </w:rPr>
              <w:fldChar w:fldCharType="end"/>
            </w:r>
          </w:hyperlink>
        </w:p>
        <w:p w14:paraId="0C4CA33B" w14:textId="6943EC3A" w:rsidR="002158D5" w:rsidRDefault="00924E48">
          <w:pPr>
            <w:pStyle w:val="TOC3"/>
            <w:tabs>
              <w:tab w:val="right" w:leader="dot" w:pos="9350"/>
            </w:tabs>
            <w:rPr>
              <w:rFonts w:eastAsiaTheme="minorEastAsia"/>
              <w:noProof/>
              <w:szCs w:val="24"/>
            </w:rPr>
          </w:pPr>
          <w:hyperlink w:anchor="_Toc165641081" w:history="1">
            <w:r w:rsidR="002158D5" w:rsidRPr="00EC12AF">
              <w:rPr>
                <w:rStyle w:val="Hyperlink"/>
                <w:noProof/>
              </w:rPr>
              <w:t>3.5.2 Energy Balance in Gas Flows</w:t>
            </w:r>
            <w:r w:rsidR="002158D5">
              <w:rPr>
                <w:noProof/>
                <w:webHidden/>
              </w:rPr>
              <w:tab/>
            </w:r>
            <w:r w:rsidR="002158D5">
              <w:rPr>
                <w:noProof/>
                <w:webHidden/>
              </w:rPr>
              <w:fldChar w:fldCharType="begin"/>
            </w:r>
            <w:r w:rsidR="002158D5">
              <w:rPr>
                <w:noProof/>
                <w:webHidden/>
              </w:rPr>
              <w:instrText xml:space="preserve"> PAGEREF _Toc165641081 \h </w:instrText>
            </w:r>
            <w:r w:rsidR="002158D5">
              <w:rPr>
                <w:noProof/>
                <w:webHidden/>
              </w:rPr>
            </w:r>
            <w:r w:rsidR="002158D5">
              <w:rPr>
                <w:noProof/>
                <w:webHidden/>
              </w:rPr>
              <w:fldChar w:fldCharType="separate"/>
            </w:r>
            <w:r w:rsidR="002158D5">
              <w:rPr>
                <w:noProof/>
                <w:webHidden/>
              </w:rPr>
              <w:t>51</w:t>
            </w:r>
            <w:r w:rsidR="002158D5">
              <w:rPr>
                <w:noProof/>
                <w:webHidden/>
              </w:rPr>
              <w:fldChar w:fldCharType="end"/>
            </w:r>
          </w:hyperlink>
        </w:p>
        <w:p w14:paraId="731ECD98" w14:textId="051E330F" w:rsidR="002158D5" w:rsidRDefault="00924E48">
          <w:pPr>
            <w:pStyle w:val="TOC3"/>
            <w:tabs>
              <w:tab w:val="right" w:leader="dot" w:pos="9350"/>
            </w:tabs>
            <w:rPr>
              <w:rFonts w:eastAsiaTheme="minorEastAsia"/>
              <w:noProof/>
              <w:szCs w:val="24"/>
            </w:rPr>
          </w:pPr>
          <w:hyperlink w:anchor="_Toc165641082" w:history="1">
            <w:r w:rsidR="002158D5" w:rsidRPr="00EC12AF">
              <w:rPr>
                <w:rStyle w:val="Hyperlink"/>
                <w:noProof/>
              </w:rPr>
              <w:t>3.5.3 Constants for Solid Layers</w:t>
            </w:r>
            <w:r w:rsidR="002158D5">
              <w:rPr>
                <w:noProof/>
                <w:webHidden/>
              </w:rPr>
              <w:tab/>
            </w:r>
            <w:r w:rsidR="002158D5">
              <w:rPr>
                <w:noProof/>
                <w:webHidden/>
              </w:rPr>
              <w:fldChar w:fldCharType="begin"/>
            </w:r>
            <w:r w:rsidR="002158D5">
              <w:rPr>
                <w:noProof/>
                <w:webHidden/>
              </w:rPr>
              <w:instrText xml:space="preserve"> PAGEREF _Toc165641082 \h </w:instrText>
            </w:r>
            <w:r w:rsidR="002158D5">
              <w:rPr>
                <w:noProof/>
                <w:webHidden/>
              </w:rPr>
            </w:r>
            <w:r w:rsidR="002158D5">
              <w:rPr>
                <w:noProof/>
                <w:webHidden/>
              </w:rPr>
              <w:fldChar w:fldCharType="separate"/>
            </w:r>
            <w:r w:rsidR="002158D5">
              <w:rPr>
                <w:noProof/>
                <w:webHidden/>
              </w:rPr>
              <w:t>53</w:t>
            </w:r>
            <w:r w:rsidR="002158D5">
              <w:rPr>
                <w:noProof/>
                <w:webHidden/>
              </w:rPr>
              <w:fldChar w:fldCharType="end"/>
            </w:r>
          </w:hyperlink>
        </w:p>
        <w:p w14:paraId="7FC24523" w14:textId="24CA0113" w:rsidR="002158D5" w:rsidRDefault="00924E48">
          <w:pPr>
            <w:pStyle w:val="TOC3"/>
            <w:tabs>
              <w:tab w:val="right" w:leader="dot" w:pos="9350"/>
            </w:tabs>
            <w:rPr>
              <w:rFonts w:eastAsiaTheme="minorEastAsia"/>
              <w:noProof/>
              <w:szCs w:val="24"/>
            </w:rPr>
          </w:pPr>
          <w:hyperlink w:anchor="_Toc165641083" w:history="1">
            <w:r w:rsidR="002158D5" w:rsidRPr="00EC12AF">
              <w:rPr>
                <w:rStyle w:val="Hyperlink"/>
                <w:noProof/>
              </w:rPr>
              <w:t>3.5.4 Energy Balance in Solid Structures</w:t>
            </w:r>
            <w:r w:rsidR="002158D5">
              <w:rPr>
                <w:noProof/>
                <w:webHidden/>
              </w:rPr>
              <w:tab/>
            </w:r>
            <w:r w:rsidR="002158D5">
              <w:rPr>
                <w:noProof/>
                <w:webHidden/>
              </w:rPr>
              <w:fldChar w:fldCharType="begin"/>
            </w:r>
            <w:r w:rsidR="002158D5">
              <w:rPr>
                <w:noProof/>
                <w:webHidden/>
              </w:rPr>
              <w:instrText xml:space="preserve"> PAGEREF _Toc165641083 \h </w:instrText>
            </w:r>
            <w:r w:rsidR="002158D5">
              <w:rPr>
                <w:noProof/>
                <w:webHidden/>
              </w:rPr>
            </w:r>
            <w:r w:rsidR="002158D5">
              <w:rPr>
                <w:noProof/>
                <w:webHidden/>
              </w:rPr>
              <w:fldChar w:fldCharType="separate"/>
            </w:r>
            <w:r w:rsidR="002158D5">
              <w:rPr>
                <w:noProof/>
                <w:webHidden/>
              </w:rPr>
              <w:t>55</w:t>
            </w:r>
            <w:r w:rsidR="002158D5">
              <w:rPr>
                <w:noProof/>
                <w:webHidden/>
              </w:rPr>
              <w:fldChar w:fldCharType="end"/>
            </w:r>
          </w:hyperlink>
        </w:p>
        <w:p w14:paraId="5AE358E8" w14:textId="13E78A81" w:rsidR="002158D5" w:rsidRDefault="00924E48">
          <w:pPr>
            <w:pStyle w:val="TOC1"/>
            <w:rPr>
              <w:rFonts w:asciiTheme="minorHAnsi" w:eastAsiaTheme="minorEastAsia" w:hAnsiTheme="minorHAnsi"/>
              <w:noProof/>
              <w:szCs w:val="24"/>
            </w:rPr>
          </w:pPr>
          <w:hyperlink w:anchor="_Toc165641084" w:history="1">
            <w:r w:rsidR="002158D5" w:rsidRPr="00EC12AF">
              <w:rPr>
                <w:rStyle w:val="Hyperlink"/>
                <w:noProof/>
              </w:rPr>
              <w:t>Chapter 4: Model Validation and Results</w:t>
            </w:r>
            <w:r w:rsidR="002158D5">
              <w:rPr>
                <w:noProof/>
                <w:webHidden/>
              </w:rPr>
              <w:tab/>
            </w:r>
            <w:r w:rsidR="002158D5">
              <w:rPr>
                <w:noProof/>
                <w:webHidden/>
              </w:rPr>
              <w:fldChar w:fldCharType="begin"/>
            </w:r>
            <w:r w:rsidR="002158D5">
              <w:rPr>
                <w:noProof/>
                <w:webHidden/>
              </w:rPr>
              <w:instrText xml:space="preserve"> PAGEREF _Toc165641084 \h </w:instrText>
            </w:r>
            <w:r w:rsidR="002158D5">
              <w:rPr>
                <w:noProof/>
                <w:webHidden/>
              </w:rPr>
            </w:r>
            <w:r w:rsidR="002158D5">
              <w:rPr>
                <w:noProof/>
                <w:webHidden/>
              </w:rPr>
              <w:fldChar w:fldCharType="separate"/>
            </w:r>
            <w:r w:rsidR="002158D5">
              <w:rPr>
                <w:noProof/>
                <w:webHidden/>
              </w:rPr>
              <w:t>58</w:t>
            </w:r>
            <w:r w:rsidR="002158D5">
              <w:rPr>
                <w:noProof/>
                <w:webHidden/>
              </w:rPr>
              <w:fldChar w:fldCharType="end"/>
            </w:r>
          </w:hyperlink>
        </w:p>
        <w:p w14:paraId="5ED6AC99" w14:textId="5684F4AD" w:rsidR="002158D5" w:rsidRDefault="00924E48">
          <w:pPr>
            <w:pStyle w:val="TOC2"/>
            <w:rPr>
              <w:rFonts w:asciiTheme="minorHAnsi" w:eastAsiaTheme="minorEastAsia" w:hAnsiTheme="minorHAnsi"/>
              <w:noProof/>
              <w:szCs w:val="24"/>
            </w:rPr>
          </w:pPr>
          <w:hyperlink w:anchor="_Toc165641085" w:history="1">
            <w:r w:rsidR="002158D5" w:rsidRPr="00EC12AF">
              <w:rPr>
                <w:rStyle w:val="Hyperlink"/>
                <w:noProof/>
              </w:rPr>
              <w:t>4.1 Model Validation</w:t>
            </w:r>
            <w:r w:rsidR="002158D5">
              <w:rPr>
                <w:noProof/>
                <w:webHidden/>
              </w:rPr>
              <w:tab/>
            </w:r>
            <w:r w:rsidR="002158D5">
              <w:rPr>
                <w:noProof/>
                <w:webHidden/>
              </w:rPr>
              <w:fldChar w:fldCharType="begin"/>
            </w:r>
            <w:r w:rsidR="002158D5">
              <w:rPr>
                <w:noProof/>
                <w:webHidden/>
              </w:rPr>
              <w:instrText xml:space="preserve"> PAGEREF _Toc165641085 \h </w:instrText>
            </w:r>
            <w:r w:rsidR="002158D5">
              <w:rPr>
                <w:noProof/>
                <w:webHidden/>
              </w:rPr>
            </w:r>
            <w:r w:rsidR="002158D5">
              <w:rPr>
                <w:noProof/>
                <w:webHidden/>
              </w:rPr>
              <w:fldChar w:fldCharType="separate"/>
            </w:r>
            <w:r w:rsidR="002158D5">
              <w:rPr>
                <w:noProof/>
                <w:webHidden/>
              </w:rPr>
              <w:t>58</w:t>
            </w:r>
            <w:r w:rsidR="002158D5">
              <w:rPr>
                <w:noProof/>
                <w:webHidden/>
              </w:rPr>
              <w:fldChar w:fldCharType="end"/>
            </w:r>
          </w:hyperlink>
        </w:p>
        <w:p w14:paraId="6CA84E22" w14:textId="53E43C6E" w:rsidR="002158D5" w:rsidRDefault="00924E48">
          <w:pPr>
            <w:pStyle w:val="TOC3"/>
            <w:tabs>
              <w:tab w:val="right" w:leader="dot" w:pos="9350"/>
            </w:tabs>
            <w:rPr>
              <w:rFonts w:eastAsiaTheme="minorEastAsia"/>
              <w:noProof/>
              <w:szCs w:val="24"/>
            </w:rPr>
          </w:pPr>
          <w:hyperlink w:anchor="_Toc165641086" w:history="1">
            <w:r w:rsidR="002158D5" w:rsidRPr="00EC12AF">
              <w:rPr>
                <w:rStyle w:val="Hyperlink"/>
                <w:noProof/>
              </w:rPr>
              <w:t>4.1.1 Mass Balance Validation</w:t>
            </w:r>
            <w:r w:rsidR="002158D5">
              <w:rPr>
                <w:noProof/>
                <w:webHidden/>
              </w:rPr>
              <w:tab/>
            </w:r>
            <w:r w:rsidR="002158D5">
              <w:rPr>
                <w:noProof/>
                <w:webHidden/>
              </w:rPr>
              <w:fldChar w:fldCharType="begin"/>
            </w:r>
            <w:r w:rsidR="002158D5">
              <w:rPr>
                <w:noProof/>
                <w:webHidden/>
              </w:rPr>
              <w:instrText xml:space="preserve"> PAGEREF _Toc165641086 \h </w:instrText>
            </w:r>
            <w:r w:rsidR="002158D5">
              <w:rPr>
                <w:noProof/>
                <w:webHidden/>
              </w:rPr>
            </w:r>
            <w:r w:rsidR="002158D5">
              <w:rPr>
                <w:noProof/>
                <w:webHidden/>
              </w:rPr>
              <w:fldChar w:fldCharType="separate"/>
            </w:r>
            <w:r w:rsidR="002158D5">
              <w:rPr>
                <w:noProof/>
                <w:webHidden/>
              </w:rPr>
              <w:t>58</w:t>
            </w:r>
            <w:r w:rsidR="002158D5">
              <w:rPr>
                <w:noProof/>
                <w:webHidden/>
              </w:rPr>
              <w:fldChar w:fldCharType="end"/>
            </w:r>
          </w:hyperlink>
        </w:p>
        <w:p w14:paraId="0FCA656A" w14:textId="097BCBC0" w:rsidR="002158D5" w:rsidRDefault="00924E48">
          <w:pPr>
            <w:pStyle w:val="TOC3"/>
            <w:tabs>
              <w:tab w:val="right" w:leader="dot" w:pos="9350"/>
            </w:tabs>
            <w:rPr>
              <w:rFonts w:eastAsiaTheme="minorEastAsia"/>
              <w:noProof/>
              <w:szCs w:val="24"/>
            </w:rPr>
          </w:pPr>
          <w:hyperlink w:anchor="_Toc165641087" w:history="1">
            <w:r w:rsidR="002158D5" w:rsidRPr="00EC12AF">
              <w:rPr>
                <w:rStyle w:val="Hyperlink"/>
                <w:noProof/>
              </w:rPr>
              <w:t>4.1.2 Reaction Kinetics Validation</w:t>
            </w:r>
            <w:r w:rsidR="002158D5">
              <w:rPr>
                <w:noProof/>
                <w:webHidden/>
              </w:rPr>
              <w:tab/>
            </w:r>
            <w:r w:rsidR="002158D5">
              <w:rPr>
                <w:noProof/>
                <w:webHidden/>
              </w:rPr>
              <w:fldChar w:fldCharType="begin"/>
            </w:r>
            <w:r w:rsidR="002158D5">
              <w:rPr>
                <w:noProof/>
                <w:webHidden/>
              </w:rPr>
              <w:instrText xml:space="preserve"> PAGEREF _Toc165641087 \h </w:instrText>
            </w:r>
            <w:r w:rsidR="002158D5">
              <w:rPr>
                <w:noProof/>
                <w:webHidden/>
              </w:rPr>
            </w:r>
            <w:r w:rsidR="002158D5">
              <w:rPr>
                <w:noProof/>
                <w:webHidden/>
              </w:rPr>
              <w:fldChar w:fldCharType="separate"/>
            </w:r>
            <w:r w:rsidR="002158D5">
              <w:rPr>
                <w:noProof/>
                <w:webHidden/>
              </w:rPr>
              <w:t>59</w:t>
            </w:r>
            <w:r w:rsidR="002158D5">
              <w:rPr>
                <w:noProof/>
                <w:webHidden/>
              </w:rPr>
              <w:fldChar w:fldCharType="end"/>
            </w:r>
          </w:hyperlink>
        </w:p>
        <w:p w14:paraId="62A15F1C" w14:textId="53E2BC61" w:rsidR="002158D5" w:rsidRDefault="00924E48">
          <w:pPr>
            <w:pStyle w:val="TOC3"/>
            <w:tabs>
              <w:tab w:val="right" w:leader="dot" w:pos="9350"/>
            </w:tabs>
            <w:rPr>
              <w:rFonts w:eastAsiaTheme="minorEastAsia"/>
              <w:noProof/>
              <w:szCs w:val="24"/>
            </w:rPr>
          </w:pPr>
          <w:hyperlink w:anchor="_Toc165641088" w:history="1">
            <w:r w:rsidR="002158D5" w:rsidRPr="00EC12AF">
              <w:rPr>
                <w:rStyle w:val="Hyperlink"/>
                <w:noProof/>
              </w:rPr>
              <w:t>4.1.3 Electrochemical Validation</w:t>
            </w:r>
            <w:r w:rsidR="002158D5">
              <w:rPr>
                <w:noProof/>
                <w:webHidden/>
              </w:rPr>
              <w:tab/>
            </w:r>
            <w:r w:rsidR="002158D5">
              <w:rPr>
                <w:noProof/>
                <w:webHidden/>
              </w:rPr>
              <w:fldChar w:fldCharType="begin"/>
            </w:r>
            <w:r w:rsidR="002158D5">
              <w:rPr>
                <w:noProof/>
                <w:webHidden/>
              </w:rPr>
              <w:instrText xml:space="preserve"> PAGEREF _Toc165641088 \h </w:instrText>
            </w:r>
            <w:r w:rsidR="002158D5">
              <w:rPr>
                <w:noProof/>
                <w:webHidden/>
              </w:rPr>
            </w:r>
            <w:r w:rsidR="002158D5">
              <w:rPr>
                <w:noProof/>
                <w:webHidden/>
              </w:rPr>
              <w:fldChar w:fldCharType="separate"/>
            </w:r>
            <w:r w:rsidR="002158D5">
              <w:rPr>
                <w:noProof/>
                <w:webHidden/>
              </w:rPr>
              <w:t>61</w:t>
            </w:r>
            <w:r w:rsidR="002158D5">
              <w:rPr>
                <w:noProof/>
                <w:webHidden/>
              </w:rPr>
              <w:fldChar w:fldCharType="end"/>
            </w:r>
          </w:hyperlink>
        </w:p>
        <w:p w14:paraId="63CA9993" w14:textId="60385326" w:rsidR="002158D5" w:rsidRDefault="00924E48">
          <w:pPr>
            <w:pStyle w:val="TOC2"/>
            <w:rPr>
              <w:rFonts w:asciiTheme="minorHAnsi" w:eastAsiaTheme="minorEastAsia" w:hAnsiTheme="minorHAnsi"/>
              <w:noProof/>
              <w:szCs w:val="24"/>
            </w:rPr>
          </w:pPr>
          <w:hyperlink w:anchor="_Toc165641089" w:history="1">
            <w:r w:rsidR="002158D5" w:rsidRPr="00EC12AF">
              <w:rPr>
                <w:rStyle w:val="Hyperlink"/>
                <w:noProof/>
              </w:rPr>
              <w:t>4.2 Model Results</w:t>
            </w:r>
            <w:r w:rsidR="002158D5">
              <w:rPr>
                <w:noProof/>
                <w:webHidden/>
              </w:rPr>
              <w:tab/>
            </w:r>
            <w:r w:rsidR="002158D5">
              <w:rPr>
                <w:noProof/>
                <w:webHidden/>
              </w:rPr>
              <w:fldChar w:fldCharType="begin"/>
            </w:r>
            <w:r w:rsidR="002158D5">
              <w:rPr>
                <w:noProof/>
                <w:webHidden/>
              </w:rPr>
              <w:instrText xml:space="preserve"> PAGEREF _Toc165641089 \h </w:instrText>
            </w:r>
            <w:r w:rsidR="002158D5">
              <w:rPr>
                <w:noProof/>
                <w:webHidden/>
              </w:rPr>
            </w:r>
            <w:r w:rsidR="002158D5">
              <w:rPr>
                <w:noProof/>
                <w:webHidden/>
              </w:rPr>
              <w:fldChar w:fldCharType="separate"/>
            </w:r>
            <w:r w:rsidR="002158D5">
              <w:rPr>
                <w:noProof/>
                <w:webHidden/>
              </w:rPr>
              <w:t>64</w:t>
            </w:r>
            <w:r w:rsidR="002158D5">
              <w:rPr>
                <w:noProof/>
                <w:webHidden/>
              </w:rPr>
              <w:fldChar w:fldCharType="end"/>
            </w:r>
          </w:hyperlink>
        </w:p>
        <w:p w14:paraId="6E728586" w14:textId="1BD1AE46" w:rsidR="002158D5" w:rsidRDefault="00924E48">
          <w:pPr>
            <w:pStyle w:val="TOC3"/>
            <w:tabs>
              <w:tab w:val="right" w:leader="dot" w:pos="9350"/>
            </w:tabs>
            <w:rPr>
              <w:rFonts w:eastAsiaTheme="minorEastAsia"/>
              <w:noProof/>
              <w:szCs w:val="24"/>
            </w:rPr>
          </w:pPr>
          <w:hyperlink w:anchor="_Toc165641090" w:history="1">
            <w:r w:rsidR="002158D5" w:rsidRPr="00EC12AF">
              <w:rPr>
                <w:rStyle w:val="Hyperlink"/>
                <w:noProof/>
              </w:rPr>
              <w:t>4.2.1 Model Parameters</w:t>
            </w:r>
            <w:r w:rsidR="002158D5">
              <w:rPr>
                <w:noProof/>
                <w:webHidden/>
              </w:rPr>
              <w:tab/>
            </w:r>
            <w:r w:rsidR="002158D5">
              <w:rPr>
                <w:noProof/>
                <w:webHidden/>
              </w:rPr>
              <w:fldChar w:fldCharType="begin"/>
            </w:r>
            <w:r w:rsidR="002158D5">
              <w:rPr>
                <w:noProof/>
                <w:webHidden/>
              </w:rPr>
              <w:instrText xml:space="preserve"> PAGEREF _Toc165641090 \h </w:instrText>
            </w:r>
            <w:r w:rsidR="002158D5">
              <w:rPr>
                <w:noProof/>
                <w:webHidden/>
              </w:rPr>
            </w:r>
            <w:r w:rsidR="002158D5">
              <w:rPr>
                <w:noProof/>
                <w:webHidden/>
              </w:rPr>
              <w:fldChar w:fldCharType="separate"/>
            </w:r>
            <w:r w:rsidR="002158D5">
              <w:rPr>
                <w:noProof/>
                <w:webHidden/>
              </w:rPr>
              <w:t>64</w:t>
            </w:r>
            <w:r w:rsidR="002158D5">
              <w:rPr>
                <w:noProof/>
                <w:webHidden/>
              </w:rPr>
              <w:fldChar w:fldCharType="end"/>
            </w:r>
          </w:hyperlink>
        </w:p>
        <w:p w14:paraId="3A795FD0" w14:textId="5ECC73A4" w:rsidR="002158D5" w:rsidRDefault="00924E48">
          <w:pPr>
            <w:pStyle w:val="TOC3"/>
            <w:tabs>
              <w:tab w:val="right" w:leader="dot" w:pos="9350"/>
            </w:tabs>
            <w:rPr>
              <w:rFonts w:eastAsiaTheme="minorEastAsia"/>
              <w:noProof/>
              <w:szCs w:val="24"/>
            </w:rPr>
          </w:pPr>
          <w:hyperlink w:anchor="_Toc165641091" w:history="1">
            <w:r w:rsidR="002158D5" w:rsidRPr="00EC12AF">
              <w:rPr>
                <w:rStyle w:val="Hyperlink"/>
                <w:noProof/>
              </w:rPr>
              <w:t>4.2.2 Combining MDA and PCFCs</w:t>
            </w:r>
            <w:r w:rsidR="002158D5">
              <w:rPr>
                <w:noProof/>
                <w:webHidden/>
              </w:rPr>
              <w:tab/>
            </w:r>
            <w:r w:rsidR="002158D5">
              <w:rPr>
                <w:noProof/>
                <w:webHidden/>
              </w:rPr>
              <w:fldChar w:fldCharType="begin"/>
            </w:r>
            <w:r w:rsidR="002158D5">
              <w:rPr>
                <w:noProof/>
                <w:webHidden/>
              </w:rPr>
              <w:instrText xml:space="preserve"> PAGEREF _Toc165641091 \h </w:instrText>
            </w:r>
            <w:r w:rsidR="002158D5">
              <w:rPr>
                <w:noProof/>
                <w:webHidden/>
              </w:rPr>
            </w:r>
            <w:r w:rsidR="002158D5">
              <w:rPr>
                <w:noProof/>
                <w:webHidden/>
              </w:rPr>
              <w:fldChar w:fldCharType="separate"/>
            </w:r>
            <w:r w:rsidR="002158D5">
              <w:rPr>
                <w:noProof/>
                <w:webHidden/>
              </w:rPr>
              <w:t>67</w:t>
            </w:r>
            <w:r w:rsidR="002158D5">
              <w:rPr>
                <w:noProof/>
                <w:webHidden/>
              </w:rPr>
              <w:fldChar w:fldCharType="end"/>
            </w:r>
          </w:hyperlink>
        </w:p>
        <w:p w14:paraId="5D5D8B66" w14:textId="5EAAB3E2" w:rsidR="002158D5" w:rsidRDefault="00924E48">
          <w:pPr>
            <w:pStyle w:val="TOC3"/>
            <w:tabs>
              <w:tab w:val="right" w:leader="dot" w:pos="9350"/>
            </w:tabs>
            <w:rPr>
              <w:rFonts w:eastAsiaTheme="minorEastAsia"/>
              <w:noProof/>
              <w:szCs w:val="24"/>
            </w:rPr>
          </w:pPr>
          <w:hyperlink w:anchor="_Toc165641092" w:history="1">
            <w:r w:rsidR="002158D5" w:rsidRPr="00EC12AF">
              <w:rPr>
                <w:rStyle w:val="Hyperlink"/>
                <w:noProof/>
              </w:rPr>
              <w:t>4.2.3 Achieving 30% Fuel Conversion</w:t>
            </w:r>
            <w:r w:rsidR="002158D5">
              <w:rPr>
                <w:noProof/>
                <w:webHidden/>
              </w:rPr>
              <w:tab/>
            </w:r>
            <w:r w:rsidR="002158D5">
              <w:rPr>
                <w:noProof/>
                <w:webHidden/>
              </w:rPr>
              <w:fldChar w:fldCharType="begin"/>
            </w:r>
            <w:r w:rsidR="002158D5">
              <w:rPr>
                <w:noProof/>
                <w:webHidden/>
              </w:rPr>
              <w:instrText xml:space="preserve"> PAGEREF _Toc165641092 \h </w:instrText>
            </w:r>
            <w:r w:rsidR="002158D5">
              <w:rPr>
                <w:noProof/>
                <w:webHidden/>
              </w:rPr>
            </w:r>
            <w:r w:rsidR="002158D5">
              <w:rPr>
                <w:noProof/>
                <w:webHidden/>
              </w:rPr>
              <w:fldChar w:fldCharType="separate"/>
            </w:r>
            <w:r w:rsidR="002158D5">
              <w:rPr>
                <w:noProof/>
                <w:webHidden/>
              </w:rPr>
              <w:t>69</w:t>
            </w:r>
            <w:r w:rsidR="002158D5">
              <w:rPr>
                <w:noProof/>
                <w:webHidden/>
              </w:rPr>
              <w:fldChar w:fldCharType="end"/>
            </w:r>
          </w:hyperlink>
        </w:p>
        <w:p w14:paraId="68B9A3EA" w14:textId="237E1011" w:rsidR="002158D5" w:rsidRDefault="00924E48">
          <w:pPr>
            <w:pStyle w:val="TOC3"/>
            <w:tabs>
              <w:tab w:val="right" w:leader="dot" w:pos="9350"/>
            </w:tabs>
            <w:rPr>
              <w:rFonts w:eastAsiaTheme="minorEastAsia"/>
              <w:noProof/>
              <w:szCs w:val="24"/>
            </w:rPr>
          </w:pPr>
          <w:hyperlink w:anchor="_Toc165641093" w:history="1">
            <w:r w:rsidR="002158D5" w:rsidRPr="00EC12AF">
              <w:rPr>
                <w:rStyle w:val="Hyperlink"/>
                <w:noProof/>
              </w:rPr>
              <w:t>4.2.3 Parametric Study of Input Parameters</w:t>
            </w:r>
            <w:r w:rsidR="002158D5">
              <w:rPr>
                <w:noProof/>
                <w:webHidden/>
              </w:rPr>
              <w:tab/>
            </w:r>
            <w:r w:rsidR="002158D5">
              <w:rPr>
                <w:noProof/>
                <w:webHidden/>
              </w:rPr>
              <w:fldChar w:fldCharType="begin"/>
            </w:r>
            <w:r w:rsidR="002158D5">
              <w:rPr>
                <w:noProof/>
                <w:webHidden/>
              </w:rPr>
              <w:instrText xml:space="preserve"> PAGEREF _Toc165641093 \h </w:instrText>
            </w:r>
            <w:r w:rsidR="002158D5">
              <w:rPr>
                <w:noProof/>
                <w:webHidden/>
              </w:rPr>
            </w:r>
            <w:r w:rsidR="002158D5">
              <w:rPr>
                <w:noProof/>
                <w:webHidden/>
              </w:rPr>
              <w:fldChar w:fldCharType="separate"/>
            </w:r>
            <w:r w:rsidR="002158D5">
              <w:rPr>
                <w:noProof/>
                <w:webHidden/>
              </w:rPr>
              <w:t>77</w:t>
            </w:r>
            <w:r w:rsidR="002158D5">
              <w:rPr>
                <w:noProof/>
                <w:webHidden/>
              </w:rPr>
              <w:fldChar w:fldCharType="end"/>
            </w:r>
          </w:hyperlink>
        </w:p>
        <w:p w14:paraId="34D23C5F" w14:textId="733603B7" w:rsidR="002158D5" w:rsidRDefault="00924E48">
          <w:pPr>
            <w:pStyle w:val="TOC3"/>
            <w:tabs>
              <w:tab w:val="right" w:leader="dot" w:pos="9350"/>
            </w:tabs>
            <w:rPr>
              <w:rFonts w:eastAsiaTheme="minorEastAsia"/>
              <w:noProof/>
              <w:szCs w:val="24"/>
            </w:rPr>
          </w:pPr>
          <w:hyperlink w:anchor="_Toc165641094" w:history="1">
            <w:r w:rsidR="002158D5" w:rsidRPr="00EC12AF">
              <w:rPr>
                <w:rStyle w:val="Hyperlink"/>
                <w:noProof/>
              </w:rPr>
              <w:t>4.2.4 Recycling and Optimization</w:t>
            </w:r>
            <w:r w:rsidR="002158D5">
              <w:rPr>
                <w:noProof/>
                <w:webHidden/>
              </w:rPr>
              <w:tab/>
            </w:r>
            <w:r w:rsidR="002158D5">
              <w:rPr>
                <w:noProof/>
                <w:webHidden/>
              </w:rPr>
              <w:fldChar w:fldCharType="begin"/>
            </w:r>
            <w:r w:rsidR="002158D5">
              <w:rPr>
                <w:noProof/>
                <w:webHidden/>
              </w:rPr>
              <w:instrText xml:space="preserve"> PAGEREF _Toc165641094 \h </w:instrText>
            </w:r>
            <w:r w:rsidR="002158D5">
              <w:rPr>
                <w:noProof/>
                <w:webHidden/>
              </w:rPr>
            </w:r>
            <w:r w:rsidR="002158D5">
              <w:rPr>
                <w:noProof/>
                <w:webHidden/>
              </w:rPr>
              <w:fldChar w:fldCharType="separate"/>
            </w:r>
            <w:r w:rsidR="002158D5">
              <w:rPr>
                <w:noProof/>
                <w:webHidden/>
              </w:rPr>
              <w:t>84</w:t>
            </w:r>
            <w:r w:rsidR="002158D5">
              <w:rPr>
                <w:noProof/>
                <w:webHidden/>
              </w:rPr>
              <w:fldChar w:fldCharType="end"/>
            </w:r>
          </w:hyperlink>
        </w:p>
        <w:p w14:paraId="0062E5BA" w14:textId="119C67A3" w:rsidR="002158D5" w:rsidRDefault="00924E48">
          <w:pPr>
            <w:pStyle w:val="TOC1"/>
            <w:rPr>
              <w:rFonts w:asciiTheme="minorHAnsi" w:eastAsiaTheme="minorEastAsia" w:hAnsiTheme="minorHAnsi"/>
              <w:noProof/>
              <w:szCs w:val="24"/>
            </w:rPr>
          </w:pPr>
          <w:hyperlink w:anchor="_Toc165641095" w:history="1">
            <w:r w:rsidR="002158D5" w:rsidRPr="00EC12AF">
              <w:rPr>
                <w:rStyle w:val="Hyperlink"/>
                <w:noProof/>
              </w:rPr>
              <w:t>Chapter 5: Evaluation and Comparison</w:t>
            </w:r>
            <w:r w:rsidR="002158D5">
              <w:rPr>
                <w:noProof/>
                <w:webHidden/>
              </w:rPr>
              <w:tab/>
            </w:r>
            <w:r w:rsidR="002158D5">
              <w:rPr>
                <w:noProof/>
                <w:webHidden/>
              </w:rPr>
              <w:fldChar w:fldCharType="begin"/>
            </w:r>
            <w:r w:rsidR="002158D5">
              <w:rPr>
                <w:noProof/>
                <w:webHidden/>
              </w:rPr>
              <w:instrText xml:space="preserve"> PAGEREF _Toc165641095 \h </w:instrText>
            </w:r>
            <w:r w:rsidR="002158D5">
              <w:rPr>
                <w:noProof/>
                <w:webHidden/>
              </w:rPr>
            </w:r>
            <w:r w:rsidR="002158D5">
              <w:rPr>
                <w:noProof/>
                <w:webHidden/>
              </w:rPr>
              <w:fldChar w:fldCharType="separate"/>
            </w:r>
            <w:r w:rsidR="002158D5">
              <w:rPr>
                <w:noProof/>
                <w:webHidden/>
              </w:rPr>
              <w:t>90</w:t>
            </w:r>
            <w:r w:rsidR="002158D5">
              <w:rPr>
                <w:noProof/>
                <w:webHidden/>
              </w:rPr>
              <w:fldChar w:fldCharType="end"/>
            </w:r>
          </w:hyperlink>
        </w:p>
        <w:p w14:paraId="6D13C28C" w14:textId="0B1DE464" w:rsidR="002158D5" w:rsidRDefault="00924E48">
          <w:pPr>
            <w:pStyle w:val="TOC2"/>
            <w:rPr>
              <w:rFonts w:asciiTheme="minorHAnsi" w:eastAsiaTheme="minorEastAsia" w:hAnsiTheme="minorHAnsi"/>
              <w:noProof/>
              <w:szCs w:val="24"/>
            </w:rPr>
          </w:pPr>
          <w:hyperlink w:anchor="_Toc165641096" w:history="1">
            <w:r w:rsidR="002158D5" w:rsidRPr="00EC12AF">
              <w:rPr>
                <w:rStyle w:val="Hyperlink"/>
                <w:noProof/>
              </w:rPr>
              <w:t>5.1 Methods</w:t>
            </w:r>
            <w:r w:rsidR="002158D5">
              <w:rPr>
                <w:noProof/>
                <w:webHidden/>
              </w:rPr>
              <w:tab/>
            </w:r>
            <w:r w:rsidR="002158D5">
              <w:rPr>
                <w:noProof/>
                <w:webHidden/>
              </w:rPr>
              <w:fldChar w:fldCharType="begin"/>
            </w:r>
            <w:r w:rsidR="002158D5">
              <w:rPr>
                <w:noProof/>
                <w:webHidden/>
              </w:rPr>
              <w:instrText xml:space="preserve"> PAGEREF _Toc165641096 \h </w:instrText>
            </w:r>
            <w:r w:rsidR="002158D5">
              <w:rPr>
                <w:noProof/>
                <w:webHidden/>
              </w:rPr>
            </w:r>
            <w:r w:rsidR="002158D5">
              <w:rPr>
                <w:noProof/>
                <w:webHidden/>
              </w:rPr>
              <w:fldChar w:fldCharType="separate"/>
            </w:r>
            <w:r w:rsidR="002158D5">
              <w:rPr>
                <w:noProof/>
                <w:webHidden/>
              </w:rPr>
              <w:t>90</w:t>
            </w:r>
            <w:r w:rsidR="002158D5">
              <w:rPr>
                <w:noProof/>
                <w:webHidden/>
              </w:rPr>
              <w:fldChar w:fldCharType="end"/>
            </w:r>
          </w:hyperlink>
        </w:p>
        <w:p w14:paraId="2A1B549F" w14:textId="1DE08150" w:rsidR="002158D5" w:rsidRDefault="00924E48">
          <w:pPr>
            <w:pStyle w:val="TOC3"/>
            <w:tabs>
              <w:tab w:val="right" w:leader="dot" w:pos="9350"/>
            </w:tabs>
            <w:rPr>
              <w:rFonts w:eastAsiaTheme="minorEastAsia"/>
              <w:noProof/>
              <w:szCs w:val="24"/>
            </w:rPr>
          </w:pPr>
          <w:hyperlink w:anchor="_Toc165641097" w:history="1">
            <w:r w:rsidR="002158D5" w:rsidRPr="00EC12AF">
              <w:rPr>
                <w:rStyle w:val="Hyperlink"/>
                <w:noProof/>
              </w:rPr>
              <w:t>5.1.1 Evaluation Overview</w:t>
            </w:r>
            <w:r w:rsidR="002158D5">
              <w:rPr>
                <w:noProof/>
                <w:webHidden/>
              </w:rPr>
              <w:tab/>
            </w:r>
            <w:r w:rsidR="002158D5">
              <w:rPr>
                <w:noProof/>
                <w:webHidden/>
              </w:rPr>
              <w:fldChar w:fldCharType="begin"/>
            </w:r>
            <w:r w:rsidR="002158D5">
              <w:rPr>
                <w:noProof/>
                <w:webHidden/>
              </w:rPr>
              <w:instrText xml:space="preserve"> PAGEREF _Toc165641097 \h </w:instrText>
            </w:r>
            <w:r w:rsidR="002158D5">
              <w:rPr>
                <w:noProof/>
                <w:webHidden/>
              </w:rPr>
            </w:r>
            <w:r w:rsidR="002158D5">
              <w:rPr>
                <w:noProof/>
                <w:webHidden/>
              </w:rPr>
              <w:fldChar w:fldCharType="separate"/>
            </w:r>
            <w:r w:rsidR="002158D5">
              <w:rPr>
                <w:noProof/>
                <w:webHidden/>
              </w:rPr>
              <w:t>90</w:t>
            </w:r>
            <w:r w:rsidR="002158D5">
              <w:rPr>
                <w:noProof/>
                <w:webHidden/>
              </w:rPr>
              <w:fldChar w:fldCharType="end"/>
            </w:r>
          </w:hyperlink>
        </w:p>
        <w:p w14:paraId="758A1EDE" w14:textId="0A0BFD86" w:rsidR="002158D5" w:rsidRDefault="00924E48">
          <w:pPr>
            <w:pStyle w:val="TOC3"/>
            <w:tabs>
              <w:tab w:val="right" w:leader="dot" w:pos="9350"/>
            </w:tabs>
            <w:rPr>
              <w:rFonts w:eastAsiaTheme="minorEastAsia"/>
              <w:noProof/>
              <w:szCs w:val="24"/>
            </w:rPr>
          </w:pPr>
          <w:hyperlink w:anchor="_Toc165641098" w:history="1">
            <w:r w:rsidR="002158D5" w:rsidRPr="00EC12AF">
              <w:rPr>
                <w:rStyle w:val="Hyperlink"/>
                <w:noProof/>
              </w:rPr>
              <w:t>5.1.2 Aspen-HYSYS Modeled Use Case</w:t>
            </w:r>
            <w:r w:rsidR="002158D5">
              <w:rPr>
                <w:noProof/>
                <w:webHidden/>
              </w:rPr>
              <w:tab/>
            </w:r>
            <w:r w:rsidR="002158D5">
              <w:rPr>
                <w:noProof/>
                <w:webHidden/>
              </w:rPr>
              <w:fldChar w:fldCharType="begin"/>
            </w:r>
            <w:r w:rsidR="002158D5">
              <w:rPr>
                <w:noProof/>
                <w:webHidden/>
              </w:rPr>
              <w:instrText xml:space="preserve"> PAGEREF _Toc165641098 \h </w:instrText>
            </w:r>
            <w:r w:rsidR="002158D5">
              <w:rPr>
                <w:noProof/>
                <w:webHidden/>
              </w:rPr>
            </w:r>
            <w:r w:rsidR="002158D5">
              <w:rPr>
                <w:noProof/>
                <w:webHidden/>
              </w:rPr>
              <w:fldChar w:fldCharType="separate"/>
            </w:r>
            <w:r w:rsidR="002158D5">
              <w:rPr>
                <w:noProof/>
                <w:webHidden/>
              </w:rPr>
              <w:t>92</w:t>
            </w:r>
            <w:r w:rsidR="002158D5">
              <w:rPr>
                <w:noProof/>
                <w:webHidden/>
              </w:rPr>
              <w:fldChar w:fldCharType="end"/>
            </w:r>
          </w:hyperlink>
        </w:p>
        <w:p w14:paraId="4ECF12F3" w14:textId="12CDDAA5" w:rsidR="002158D5" w:rsidRDefault="00924E48">
          <w:pPr>
            <w:pStyle w:val="TOC3"/>
            <w:tabs>
              <w:tab w:val="right" w:leader="dot" w:pos="9350"/>
            </w:tabs>
            <w:rPr>
              <w:rFonts w:eastAsiaTheme="minorEastAsia"/>
              <w:noProof/>
              <w:szCs w:val="24"/>
            </w:rPr>
          </w:pPr>
          <w:hyperlink w:anchor="_Toc165641099" w:history="1">
            <w:r w:rsidR="002158D5" w:rsidRPr="00EC12AF">
              <w:rPr>
                <w:rStyle w:val="Hyperlink"/>
                <w:noProof/>
              </w:rPr>
              <w:t>5.1.3 Costing Approach</w:t>
            </w:r>
            <w:r w:rsidR="002158D5">
              <w:rPr>
                <w:noProof/>
                <w:webHidden/>
              </w:rPr>
              <w:tab/>
            </w:r>
            <w:r w:rsidR="002158D5">
              <w:rPr>
                <w:noProof/>
                <w:webHidden/>
              </w:rPr>
              <w:fldChar w:fldCharType="begin"/>
            </w:r>
            <w:r w:rsidR="002158D5">
              <w:rPr>
                <w:noProof/>
                <w:webHidden/>
              </w:rPr>
              <w:instrText xml:space="preserve"> PAGEREF _Toc165641099 \h </w:instrText>
            </w:r>
            <w:r w:rsidR="002158D5">
              <w:rPr>
                <w:noProof/>
                <w:webHidden/>
              </w:rPr>
            </w:r>
            <w:r w:rsidR="002158D5">
              <w:rPr>
                <w:noProof/>
                <w:webHidden/>
              </w:rPr>
              <w:fldChar w:fldCharType="separate"/>
            </w:r>
            <w:r w:rsidR="002158D5">
              <w:rPr>
                <w:noProof/>
                <w:webHidden/>
              </w:rPr>
              <w:t>94</w:t>
            </w:r>
            <w:r w:rsidR="002158D5">
              <w:rPr>
                <w:noProof/>
                <w:webHidden/>
              </w:rPr>
              <w:fldChar w:fldCharType="end"/>
            </w:r>
          </w:hyperlink>
        </w:p>
        <w:p w14:paraId="7916C81E" w14:textId="422CFCCB" w:rsidR="002158D5" w:rsidRDefault="00924E48">
          <w:pPr>
            <w:pStyle w:val="TOC2"/>
            <w:rPr>
              <w:rFonts w:asciiTheme="minorHAnsi" w:eastAsiaTheme="minorEastAsia" w:hAnsiTheme="minorHAnsi"/>
              <w:noProof/>
              <w:szCs w:val="24"/>
            </w:rPr>
          </w:pPr>
          <w:hyperlink w:anchor="_Toc165641100" w:history="1">
            <w:r w:rsidR="002158D5" w:rsidRPr="00EC12AF">
              <w:rPr>
                <w:rStyle w:val="Hyperlink"/>
                <w:noProof/>
              </w:rPr>
              <w:t>5.2 Competing Technologies</w:t>
            </w:r>
            <w:r w:rsidR="002158D5">
              <w:rPr>
                <w:noProof/>
                <w:webHidden/>
              </w:rPr>
              <w:tab/>
            </w:r>
            <w:r w:rsidR="002158D5">
              <w:rPr>
                <w:noProof/>
                <w:webHidden/>
              </w:rPr>
              <w:fldChar w:fldCharType="begin"/>
            </w:r>
            <w:r w:rsidR="002158D5">
              <w:rPr>
                <w:noProof/>
                <w:webHidden/>
              </w:rPr>
              <w:instrText xml:space="preserve"> PAGEREF _Toc165641100 \h </w:instrText>
            </w:r>
            <w:r w:rsidR="002158D5">
              <w:rPr>
                <w:noProof/>
                <w:webHidden/>
              </w:rPr>
            </w:r>
            <w:r w:rsidR="002158D5">
              <w:rPr>
                <w:noProof/>
                <w:webHidden/>
              </w:rPr>
              <w:fldChar w:fldCharType="separate"/>
            </w:r>
            <w:r w:rsidR="002158D5">
              <w:rPr>
                <w:noProof/>
                <w:webHidden/>
              </w:rPr>
              <w:t>97</w:t>
            </w:r>
            <w:r w:rsidR="002158D5">
              <w:rPr>
                <w:noProof/>
                <w:webHidden/>
              </w:rPr>
              <w:fldChar w:fldCharType="end"/>
            </w:r>
          </w:hyperlink>
        </w:p>
        <w:p w14:paraId="7A0830EA" w14:textId="330EE2E8" w:rsidR="002158D5" w:rsidRDefault="00924E48">
          <w:pPr>
            <w:pStyle w:val="TOC3"/>
            <w:tabs>
              <w:tab w:val="right" w:leader="dot" w:pos="9350"/>
            </w:tabs>
            <w:rPr>
              <w:rFonts w:eastAsiaTheme="minorEastAsia"/>
              <w:noProof/>
              <w:szCs w:val="24"/>
            </w:rPr>
          </w:pPr>
          <w:hyperlink w:anchor="_Toc165641101" w:history="1">
            <w:r w:rsidR="002158D5" w:rsidRPr="00EC12AF">
              <w:rPr>
                <w:rStyle w:val="Hyperlink"/>
                <w:noProof/>
              </w:rPr>
              <w:t>5.2.1 Existing chemical production costs</w:t>
            </w:r>
            <w:r w:rsidR="002158D5">
              <w:rPr>
                <w:noProof/>
                <w:webHidden/>
              </w:rPr>
              <w:tab/>
            </w:r>
            <w:r w:rsidR="002158D5">
              <w:rPr>
                <w:noProof/>
                <w:webHidden/>
              </w:rPr>
              <w:fldChar w:fldCharType="begin"/>
            </w:r>
            <w:r w:rsidR="002158D5">
              <w:rPr>
                <w:noProof/>
                <w:webHidden/>
              </w:rPr>
              <w:instrText xml:space="preserve"> PAGEREF _Toc165641101 \h </w:instrText>
            </w:r>
            <w:r w:rsidR="002158D5">
              <w:rPr>
                <w:noProof/>
                <w:webHidden/>
              </w:rPr>
            </w:r>
            <w:r w:rsidR="002158D5">
              <w:rPr>
                <w:noProof/>
                <w:webHidden/>
              </w:rPr>
              <w:fldChar w:fldCharType="separate"/>
            </w:r>
            <w:r w:rsidR="002158D5">
              <w:rPr>
                <w:noProof/>
                <w:webHidden/>
              </w:rPr>
              <w:t>97</w:t>
            </w:r>
            <w:r w:rsidR="002158D5">
              <w:rPr>
                <w:noProof/>
                <w:webHidden/>
              </w:rPr>
              <w:fldChar w:fldCharType="end"/>
            </w:r>
          </w:hyperlink>
        </w:p>
        <w:p w14:paraId="27497154" w14:textId="6FB48169" w:rsidR="002158D5" w:rsidRDefault="00924E48">
          <w:pPr>
            <w:pStyle w:val="TOC3"/>
            <w:tabs>
              <w:tab w:val="right" w:leader="dot" w:pos="9350"/>
            </w:tabs>
            <w:rPr>
              <w:rFonts w:eastAsiaTheme="minorEastAsia"/>
              <w:noProof/>
              <w:szCs w:val="24"/>
            </w:rPr>
          </w:pPr>
          <w:hyperlink w:anchor="_Toc165641102" w:history="1">
            <w:r w:rsidR="002158D5" w:rsidRPr="00EC12AF">
              <w:rPr>
                <w:rStyle w:val="Hyperlink"/>
                <w:noProof/>
              </w:rPr>
              <w:t>5.2.2 Existing power production costs</w:t>
            </w:r>
            <w:r w:rsidR="002158D5">
              <w:rPr>
                <w:noProof/>
                <w:webHidden/>
              </w:rPr>
              <w:tab/>
            </w:r>
            <w:r w:rsidR="002158D5">
              <w:rPr>
                <w:noProof/>
                <w:webHidden/>
              </w:rPr>
              <w:fldChar w:fldCharType="begin"/>
            </w:r>
            <w:r w:rsidR="002158D5">
              <w:rPr>
                <w:noProof/>
                <w:webHidden/>
              </w:rPr>
              <w:instrText xml:space="preserve"> PAGEREF _Toc165641102 \h </w:instrText>
            </w:r>
            <w:r w:rsidR="002158D5">
              <w:rPr>
                <w:noProof/>
                <w:webHidden/>
              </w:rPr>
            </w:r>
            <w:r w:rsidR="002158D5">
              <w:rPr>
                <w:noProof/>
                <w:webHidden/>
              </w:rPr>
              <w:fldChar w:fldCharType="separate"/>
            </w:r>
            <w:r w:rsidR="002158D5">
              <w:rPr>
                <w:noProof/>
                <w:webHidden/>
              </w:rPr>
              <w:t>100</w:t>
            </w:r>
            <w:r w:rsidR="002158D5">
              <w:rPr>
                <w:noProof/>
                <w:webHidden/>
              </w:rPr>
              <w:fldChar w:fldCharType="end"/>
            </w:r>
          </w:hyperlink>
        </w:p>
        <w:p w14:paraId="478D61C8" w14:textId="0732B9A8" w:rsidR="002158D5" w:rsidRDefault="00924E48">
          <w:pPr>
            <w:pStyle w:val="TOC3"/>
            <w:tabs>
              <w:tab w:val="right" w:leader="dot" w:pos="9350"/>
            </w:tabs>
            <w:rPr>
              <w:rFonts w:eastAsiaTheme="minorEastAsia"/>
              <w:noProof/>
              <w:szCs w:val="24"/>
            </w:rPr>
          </w:pPr>
          <w:hyperlink w:anchor="_Toc165641103" w:history="1">
            <w:r w:rsidR="002158D5" w:rsidRPr="00EC12AF">
              <w:rPr>
                <w:rStyle w:val="Hyperlink"/>
                <w:noProof/>
              </w:rPr>
              <w:t>5.2.3 Efficiency Analysis of PCERs vs Competing Technology</w:t>
            </w:r>
            <w:r w:rsidR="002158D5">
              <w:rPr>
                <w:noProof/>
                <w:webHidden/>
              </w:rPr>
              <w:tab/>
            </w:r>
            <w:r w:rsidR="002158D5">
              <w:rPr>
                <w:noProof/>
                <w:webHidden/>
              </w:rPr>
              <w:fldChar w:fldCharType="begin"/>
            </w:r>
            <w:r w:rsidR="002158D5">
              <w:rPr>
                <w:noProof/>
                <w:webHidden/>
              </w:rPr>
              <w:instrText xml:space="preserve"> PAGEREF _Toc165641103 \h </w:instrText>
            </w:r>
            <w:r w:rsidR="002158D5">
              <w:rPr>
                <w:noProof/>
                <w:webHidden/>
              </w:rPr>
            </w:r>
            <w:r w:rsidR="002158D5">
              <w:rPr>
                <w:noProof/>
                <w:webHidden/>
              </w:rPr>
              <w:fldChar w:fldCharType="separate"/>
            </w:r>
            <w:r w:rsidR="002158D5">
              <w:rPr>
                <w:noProof/>
                <w:webHidden/>
              </w:rPr>
              <w:t>103</w:t>
            </w:r>
            <w:r w:rsidR="002158D5">
              <w:rPr>
                <w:noProof/>
                <w:webHidden/>
              </w:rPr>
              <w:fldChar w:fldCharType="end"/>
            </w:r>
          </w:hyperlink>
        </w:p>
        <w:p w14:paraId="15ED0D53" w14:textId="2665837D" w:rsidR="002158D5" w:rsidRDefault="00924E48">
          <w:pPr>
            <w:pStyle w:val="TOC2"/>
            <w:rPr>
              <w:rFonts w:asciiTheme="minorHAnsi" w:eastAsiaTheme="minorEastAsia" w:hAnsiTheme="minorHAnsi"/>
              <w:noProof/>
              <w:szCs w:val="24"/>
            </w:rPr>
          </w:pPr>
          <w:hyperlink w:anchor="_Toc165641104" w:history="1">
            <w:r w:rsidR="002158D5" w:rsidRPr="00EC12AF">
              <w:rPr>
                <w:rStyle w:val="Hyperlink"/>
                <w:noProof/>
              </w:rPr>
              <w:t>5.3 Cost analysis of the protonic ceramic modular reactor technology</w:t>
            </w:r>
            <w:r w:rsidR="002158D5">
              <w:rPr>
                <w:noProof/>
                <w:webHidden/>
              </w:rPr>
              <w:tab/>
            </w:r>
            <w:r w:rsidR="002158D5">
              <w:rPr>
                <w:noProof/>
                <w:webHidden/>
              </w:rPr>
              <w:fldChar w:fldCharType="begin"/>
            </w:r>
            <w:r w:rsidR="002158D5">
              <w:rPr>
                <w:noProof/>
                <w:webHidden/>
              </w:rPr>
              <w:instrText xml:space="preserve"> PAGEREF _Toc165641104 \h </w:instrText>
            </w:r>
            <w:r w:rsidR="002158D5">
              <w:rPr>
                <w:noProof/>
                <w:webHidden/>
              </w:rPr>
            </w:r>
            <w:r w:rsidR="002158D5">
              <w:rPr>
                <w:noProof/>
                <w:webHidden/>
              </w:rPr>
              <w:fldChar w:fldCharType="separate"/>
            </w:r>
            <w:r w:rsidR="002158D5">
              <w:rPr>
                <w:noProof/>
                <w:webHidden/>
              </w:rPr>
              <w:t>107</w:t>
            </w:r>
            <w:r w:rsidR="002158D5">
              <w:rPr>
                <w:noProof/>
                <w:webHidden/>
              </w:rPr>
              <w:fldChar w:fldCharType="end"/>
            </w:r>
          </w:hyperlink>
        </w:p>
        <w:p w14:paraId="4224F08F" w14:textId="629795B7" w:rsidR="002158D5" w:rsidRDefault="00924E48">
          <w:pPr>
            <w:pStyle w:val="TOC3"/>
            <w:tabs>
              <w:tab w:val="right" w:leader="dot" w:pos="9350"/>
            </w:tabs>
            <w:rPr>
              <w:rFonts w:eastAsiaTheme="minorEastAsia"/>
              <w:noProof/>
              <w:szCs w:val="24"/>
            </w:rPr>
          </w:pPr>
          <w:hyperlink w:anchor="_Toc165641105" w:history="1">
            <w:r w:rsidR="002158D5" w:rsidRPr="00EC12AF">
              <w:rPr>
                <w:rStyle w:val="Hyperlink"/>
                <w:noProof/>
              </w:rPr>
              <w:t>5.3.1 Estimating the MDA PCFC manufacturing cost</w:t>
            </w:r>
            <w:r w:rsidR="002158D5">
              <w:rPr>
                <w:noProof/>
                <w:webHidden/>
              </w:rPr>
              <w:tab/>
            </w:r>
            <w:r w:rsidR="002158D5">
              <w:rPr>
                <w:noProof/>
                <w:webHidden/>
              </w:rPr>
              <w:fldChar w:fldCharType="begin"/>
            </w:r>
            <w:r w:rsidR="002158D5">
              <w:rPr>
                <w:noProof/>
                <w:webHidden/>
              </w:rPr>
              <w:instrText xml:space="preserve"> PAGEREF _Toc165641105 \h </w:instrText>
            </w:r>
            <w:r w:rsidR="002158D5">
              <w:rPr>
                <w:noProof/>
                <w:webHidden/>
              </w:rPr>
            </w:r>
            <w:r w:rsidR="002158D5">
              <w:rPr>
                <w:noProof/>
                <w:webHidden/>
              </w:rPr>
              <w:fldChar w:fldCharType="separate"/>
            </w:r>
            <w:r w:rsidR="002158D5">
              <w:rPr>
                <w:noProof/>
                <w:webHidden/>
              </w:rPr>
              <w:t>107</w:t>
            </w:r>
            <w:r w:rsidR="002158D5">
              <w:rPr>
                <w:noProof/>
                <w:webHidden/>
              </w:rPr>
              <w:fldChar w:fldCharType="end"/>
            </w:r>
          </w:hyperlink>
        </w:p>
        <w:p w14:paraId="1E2D7BC3" w14:textId="1DEA3669" w:rsidR="002158D5" w:rsidRDefault="00924E48">
          <w:pPr>
            <w:pStyle w:val="TOC3"/>
            <w:tabs>
              <w:tab w:val="right" w:leader="dot" w:pos="9350"/>
            </w:tabs>
            <w:rPr>
              <w:rFonts w:eastAsiaTheme="minorEastAsia"/>
              <w:noProof/>
              <w:szCs w:val="24"/>
            </w:rPr>
          </w:pPr>
          <w:hyperlink w:anchor="_Toc165641106" w:history="1">
            <w:r w:rsidR="002158D5" w:rsidRPr="00EC12AF">
              <w:rPr>
                <w:rStyle w:val="Hyperlink"/>
                <w:noProof/>
              </w:rPr>
              <w:t>5.3.2 Cost analysis results</w:t>
            </w:r>
            <w:r w:rsidR="002158D5">
              <w:rPr>
                <w:noProof/>
                <w:webHidden/>
              </w:rPr>
              <w:tab/>
            </w:r>
            <w:r w:rsidR="002158D5">
              <w:rPr>
                <w:noProof/>
                <w:webHidden/>
              </w:rPr>
              <w:fldChar w:fldCharType="begin"/>
            </w:r>
            <w:r w:rsidR="002158D5">
              <w:rPr>
                <w:noProof/>
                <w:webHidden/>
              </w:rPr>
              <w:instrText xml:space="preserve"> PAGEREF _Toc165641106 \h </w:instrText>
            </w:r>
            <w:r w:rsidR="002158D5">
              <w:rPr>
                <w:noProof/>
                <w:webHidden/>
              </w:rPr>
            </w:r>
            <w:r w:rsidR="002158D5">
              <w:rPr>
                <w:noProof/>
                <w:webHidden/>
              </w:rPr>
              <w:fldChar w:fldCharType="separate"/>
            </w:r>
            <w:r w:rsidR="002158D5">
              <w:rPr>
                <w:noProof/>
                <w:webHidden/>
              </w:rPr>
              <w:t>110</w:t>
            </w:r>
            <w:r w:rsidR="002158D5">
              <w:rPr>
                <w:noProof/>
                <w:webHidden/>
              </w:rPr>
              <w:fldChar w:fldCharType="end"/>
            </w:r>
          </w:hyperlink>
        </w:p>
        <w:p w14:paraId="51F1AB33" w14:textId="5AC1DE37" w:rsidR="002158D5" w:rsidRDefault="00924E48">
          <w:pPr>
            <w:pStyle w:val="TOC3"/>
            <w:tabs>
              <w:tab w:val="right" w:leader="dot" w:pos="9350"/>
            </w:tabs>
            <w:rPr>
              <w:rFonts w:eastAsiaTheme="minorEastAsia"/>
              <w:noProof/>
              <w:szCs w:val="24"/>
            </w:rPr>
          </w:pPr>
          <w:hyperlink w:anchor="_Toc165641107" w:history="1">
            <w:r w:rsidR="002158D5" w:rsidRPr="00EC12AF">
              <w:rPr>
                <w:rStyle w:val="Hyperlink"/>
                <w:noProof/>
              </w:rPr>
              <w:t>5.3.4 Environmental Considerations</w:t>
            </w:r>
            <w:r w:rsidR="002158D5">
              <w:rPr>
                <w:noProof/>
                <w:webHidden/>
              </w:rPr>
              <w:tab/>
            </w:r>
            <w:r w:rsidR="002158D5">
              <w:rPr>
                <w:noProof/>
                <w:webHidden/>
              </w:rPr>
              <w:fldChar w:fldCharType="begin"/>
            </w:r>
            <w:r w:rsidR="002158D5">
              <w:rPr>
                <w:noProof/>
                <w:webHidden/>
              </w:rPr>
              <w:instrText xml:space="preserve"> PAGEREF _Toc165641107 \h </w:instrText>
            </w:r>
            <w:r w:rsidR="002158D5">
              <w:rPr>
                <w:noProof/>
                <w:webHidden/>
              </w:rPr>
            </w:r>
            <w:r w:rsidR="002158D5">
              <w:rPr>
                <w:noProof/>
                <w:webHidden/>
              </w:rPr>
              <w:fldChar w:fldCharType="separate"/>
            </w:r>
            <w:r w:rsidR="002158D5">
              <w:rPr>
                <w:noProof/>
                <w:webHidden/>
              </w:rPr>
              <w:t>117</w:t>
            </w:r>
            <w:r w:rsidR="002158D5">
              <w:rPr>
                <w:noProof/>
                <w:webHidden/>
              </w:rPr>
              <w:fldChar w:fldCharType="end"/>
            </w:r>
          </w:hyperlink>
        </w:p>
        <w:p w14:paraId="3F41A8AE" w14:textId="6841B235" w:rsidR="002158D5" w:rsidRDefault="00924E48">
          <w:pPr>
            <w:pStyle w:val="TOC3"/>
            <w:tabs>
              <w:tab w:val="right" w:leader="dot" w:pos="9350"/>
            </w:tabs>
            <w:rPr>
              <w:rFonts w:eastAsiaTheme="minorEastAsia"/>
              <w:noProof/>
              <w:szCs w:val="24"/>
            </w:rPr>
          </w:pPr>
          <w:hyperlink w:anchor="_Toc165641108" w:history="1">
            <w:r w:rsidR="002158D5" w:rsidRPr="00EC12AF">
              <w:rPr>
                <w:rStyle w:val="Hyperlink"/>
                <w:noProof/>
              </w:rPr>
              <w:t>5.3.3 Safety and risk assessment</w:t>
            </w:r>
            <w:r w:rsidR="002158D5">
              <w:rPr>
                <w:noProof/>
                <w:webHidden/>
              </w:rPr>
              <w:tab/>
            </w:r>
            <w:r w:rsidR="002158D5">
              <w:rPr>
                <w:noProof/>
                <w:webHidden/>
              </w:rPr>
              <w:fldChar w:fldCharType="begin"/>
            </w:r>
            <w:r w:rsidR="002158D5">
              <w:rPr>
                <w:noProof/>
                <w:webHidden/>
              </w:rPr>
              <w:instrText xml:space="preserve"> PAGEREF _Toc165641108 \h </w:instrText>
            </w:r>
            <w:r w:rsidR="002158D5">
              <w:rPr>
                <w:noProof/>
                <w:webHidden/>
              </w:rPr>
            </w:r>
            <w:r w:rsidR="002158D5">
              <w:rPr>
                <w:noProof/>
                <w:webHidden/>
              </w:rPr>
              <w:fldChar w:fldCharType="separate"/>
            </w:r>
            <w:r w:rsidR="002158D5">
              <w:rPr>
                <w:noProof/>
                <w:webHidden/>
              </w:rPr>
              <w:t>117</w:t>
            </w:r>
            <w:r w:rsidR="002158D5">
              <w:rPr>
                <w:noProof/>
                <w:webHidden/>
              </w:rPr>
              <w:fldChar w:fldCharType="end"/>
            </w:r>
          </w:hyperlink>
        </w:p>
        <w:p w14:paraId="54F0FD4B" w14:textId="116B36F4" w:rsidR="002158D5" w:rsidRDefault="00924E48">
          <w:pPr>
            <w:pStyle w:val="TOC3"/>
            <w:tabs>
              <w:tab w:val="right" w:leader="dot" w:pos="9350"/>
            </w:tabs>
            <w:rPr>
              <w:rFonts w:eastAsiaTheme="minorEastAsia"/>
              <w:noProof/>
              <w:szCs w:val="24"/>
            </w:rPr>
          </w:pPr>
          <w:hyperlink w:anchor="_Toc165641109" w:history="1">
            <w:r w:rsidR="002158D5" w:rsidRPr="00EC12AF">
              <w:rPr>
                <w:rStyle w:val="Hyperlink"/>
                <w:noProof/>
              </w:rPr>
              <w:t>5.3.4 Evaluation Conclusion</w:t>
            </w:r>
            <w:r w:rsidR="002158D5">
              <w:rPr>
                <w:noProof/>
                <w:webHidden/>
              </w:rPr>
              <w:tab/>
            </w:r>
            <w:r w:rsidR="002158D5">
              <w:rPr>
                <w:noProof/>
                <w:webHidden/>
              </w:rPr>
              <w:fldChar w:fldCharType="begin"/>
            </w:r>
            <w:r w:rsidR="002158D5">
              <w:rPr>
                <w:noProof/>
                <w:webHidden/>
              </w:rPr>
              <w:instrText xml:space="preserve"> PAGEREF _Toc165641109 \h </w:instrText>
            </w:r>
            <w:r w:rsidR="002158D5">
              <w:rPr>
                <w:noProof/>
                <w:webHidden/>
              </w:rPr>
            </w:r>
            <w:r w:rsidR="002158D5">
              <w:rPr>
                <w:noProof/>
                <w:webHidden/>
              </w:rPr>
              <w:fldChar w:fldCharType="separate"/>
            </w:r>
            <w:r w:rsidR="002158D5">
              <w:rPr>
                <w:noProof/>
                <w:webHidden/>
              </w:rPr>
              <w:t>118</w:t>
            </w:r>
            <w:r w:rsidR="002158D5">
              <w:rPr>
                <w:noProof/>
                <w:webHidden/>
              </w:rPr>
              <w:fldChar w:fldCharType="end"/>
            </w:r>
          </w:hyperlink>
        </w:p>
        <w:p w14:paraId="3C31F72B" w14:textId="68B3D27B" w:rsidR="002158D5" w:rsidRDefault="00924E48">
          <w:pPr>
            <w:pStyle w:val="TOC1"/>
            <w:rPr>
              <w:rFonts w:asciiTheme="minorHAnsi" w:eastAsiaTheme="minorEastAsia" w:hAnsiTheme="minorHAnsi"/>
              <w:noProof/>
              <w:szCs w:val="24"/>
            </w:rPr>
          </w:pPr>
          <w:hyperlink w:anchor="_Toc165641110" w:history="1">
            <w:r w:rsidR="002158D5" w:rsidRPr="00EC12AF">
              <w:rPr>
                <w:rStyle w:val="Hyperlink"/>
                <w:noProof/>
              </w:rPr>
              <w:t>Chapter 6: Conclusion</w:t>
            </w:r>
            <w:r w:rsidR="002158D5">
              <w:rPr>
                <w:noProof/>
                <w:webHidden/>
              </w:rPr>
              <w:tab/>
            </w:r>
            <w:r w:rsidR="002158D5">
              <w:rPr>
                <w:noProof/>
                <w:webHidden/>
              </w:rPr>
              <w:fldChar w:fldCharType="begin"/>
            </w:r>
            <w:r w:rsidR="002158D5">
              <w:rPr>
                <w:noProof/>
                <w:webHidden/>
              </w:rPr>
              <w:instrText xml:space="preserve"> PAGEREF _Toc165641110 \h </w:instrText>
            </w:r>
            <w:r w:rsidR="002158D5">
              <w:rPr>
                <w:noProof/>
                <w:webHidden/>
              </w:rPr>
            </w:r>
            <w:r w:rsidR="002158D5">
              <w:rPr>
                <w:noProof/>
                <w:webHidden/>
              </w:rPr>
              <w:fldChar w:fldCharType="separate"/>
            </w:r>
            <w:r w:rsidR="002158D5">
              <w:rPr>
                <w:noProof/>
                <w:webHidden/>
              </w:rPr>
              <w:t>121</w:t>
            </w:r>
            <w:r w:rsidR="002158D5">
              <w:rPr>
                <w:noProof/>
                <w:webHidden/>
              </w:rPr>
              <w:fldChar w:fldCharType="end"/>
            </w:r>
          </w:hyperlink>
        </w:p>
        <w:p w14:paraId="63E40D0D" w14:textId="6F358F49" w:rsidR="002158D5" w:rsidRDefault="00924E48">
          <w:pPr>
            <w:pStyle w:val="TOC2"/>
            <w:rPr>
              <w:rFonts w:asciiTheme="minorHAnsi" w:eastAsiaTheme="minorEastAsia" w:hAnsiTheme="minorHAnsi"/>
              <w:noProof/>
              <w:szCs w:val="24"/>
            </w:rPr>
          </w:pPr>
          <w:hyperlink w:anchor="_Toc165641111" w:history="1">
            <w:r w:rsidR="002158D5" w:rsidRPr="00EC12AF">
              <w:rPr>
                <w:rStyle w:val="Hyperlink"/>
                <w:noProof/>
              </w:rPr>
              <w:t>6.1 Conclusions</w:t>
            </w:r>
            <w:r w:rsidR="002158D5">
              <w:rPr>
                <w:noProof/>
                <w:webHidden/>
              </w:rPr>
              <w:tab/>
            </w:r>
            <w:r w:rsidR="002158D5">
              <w:rPr>
                <w:noProof/>
                <w:webHidden/>
              </w:rPr>
              <w:fldChar w:fldCharType="begin"/>
            </w:r>
            <w:r w:rsidR="002158D5">
              <w:rPr>
                <w:noProof/>
                <w:webHidden/>
              </w:rPr>
              <w:instrText xml:space="preserve"> PAGEREF _Toc165641111 \h </w:instrText>
            </w:r>
            <w:r w:rsidR="002158D5">
              <w:rPr>
                <w:noProof/>
                <w:webHidden/>
              </w:rPr>
            </w:r>
            <w:r w:rsidR="002158D5">
              <w:rPr>
                <w:noProof/>
                <w:webHidden/>
              </w:rPr>
              <w:fldChar w:fldCharType="separate"/>
            </w:r>
            <w:r w:rsidR="002158D5">
              <w:rPr>
                <w:noProof/>
                <w:webHidden/>
              </w:rPr>
              <w:t>121</w:t>
            </w:r>
            <w:r w:rsidR="002158D5">
              <w:rPr>
                <w:noProof/>
                <w:webHidden/>
              </w:rPr>
              <w:fldChar w:fldCharType="end"/>
            </w:r>
          </w:hyperlink>
        </w:p>
        <w:p w14:paraId="3ED5A329" w14:textId="3CCFDF17" w:rsidR="002158D5" w:rsidRDefault="00924E48">
          <w:pPr>
            <w:pStyle w:val="TOC2"/>
            <w:rPr>
              <w:rFonts w:asciiTheme="minorHAnsi" w:eastAsiaTheme="minorEastAsia" w:hAnsiTheme="minorHAnsi"/>
              <w:noProof/>
              <w:szCs w:val="24"/>
            </w:rPr>
          </w:pPr>
          <w:hyperlink w:anchor="_Toc165641112" w:history="1">
            <w:r w:rsidR="002158D5" w:rsidRPr="00EC12AF">
              <w:rPr>
                <w:rStyle w:val="Hyperlink"/>
                <w:noProof/>
              </w:rPr>
              <w:t>6.2 Future Work</w:t>
            </w:r>
            <w:r w:rsidR="002158D5">
              <w:rPr>
                <w:noProof/>
                <w:webHidden/>
              </w:rPr>
              <w:tab/>
            </w:r>
            <w:r w:rsidR="002158D5">
              <w:rPr>
                <w:noProof/>
                <w:webHidden/>
              </w:rPr>
              <w:fldChar w:fldCharType="begin"/>
            </w:r>
            <w:r w:rsidR="002158D5">
              <w:rPr>
                <w:noProof/>
                <w:webHidden/>
              </w:rPr>
              <w:instrText xml:space="preserve"> PAGEREF _Toc165641112 \h </w:instrText>
            </w:r>
            <w:r w:rsidR="002158D5">
              <w:rPr>
                <w:noProof/>
                <w:webHidden/>
              </w:rPr>
            </w:r>
            <w:r w:rsidR="002158D5">
              <w:rPr>
                <w:noProof/>
                <w:webHidden/>
              </w:rPr>
              <w:fldChar w:fldCharType="separate"/>
            </w:r>
            <w:r w:rsidR="002158D5">
              <w:rPr>
                <w:noProof/>
                <w:webHidden/>
              </w:rPr>
              <w:t>122</w:t>
            </w:r>
            <w:r w:rsidR="002158D5">
              <w:rPr>
                <w:noProof/>
                <w:webHidden/>
              </w:rPr>
              <w:fldChar w:fldCharType="end"/>
            </w:r>
          </w:hyperlink>
        </w:p>
        <w:p w14:paraId="24E123E7" w14:textId="7B987C5E" w:rsidR="002158D5" w:rsidRDefault="00924E48">
          <w:pPr>
            <w:pStyle w:val="TOC1"/>
            <w:rPr>
              <w:rFonts w:asciiTheme="minorHAnsi" w:eastAsiaTheme="minorEastAsia" w:hAnsiTheme="minorHAnsi"/>
              <w:noProof/>
              <w:szCs w:val="24"/>
            </w:rPr>
          </w:pPr>
          <w:hyperlink w:anchor="_Toc165641113" w:history="1">
            <w:r w:rsidR="002158D5" w:rsidRPr="00EC12AF">
              <w:rPr>
                <w:rStyle w:val="Hyperlink"/>
                <w:noProof/>
              </w:rPr>
              <w:t>References</w:t>
            </w:r>
            <w:r w:rsidR="002158D5">
              <w:rPr>
                <w:noProof/>
                <w:webHidden/>
              </w:rPr>
              <w:tab/>
            </w:r>
            <w:r w:rsidR="002158D5">
              <w:rPr>
                <w:noProof/>
                <w:webHidden/>
              </w:rPr>
              <w:fldChar w:fldCharType="begin"/>
            </w:r>
            <w:r w:rsidR="002158D5">
              <w:rPr>
                <w:noProof/>
                <w:webHidden/>
              </w:rPr>
              <w:instrText xml:space="preserve"> PAGEREF _Toc165641113 \h </w:instrText>
            </w:r>
            <w:r w:rsidR="002158D5">
              <w:rPr>
                <w:noProof/>
                <w:webHidden/>
              </w:rPr>
            </w:r>
            <w:r w:rsidR="002158D5">
              <w:rPr>
                <w:noProof/>
                <w:webHidden/>
              </w:rPr>
              <w:fldChar w:fldCharType="separate"/>
            </w:r>
            <w:r w:rsidR="002158D5">
              <w:rPr>
                <w:noProof/>
                <w:webHidden/>
              </w:rPr>
              <w:t>125</w:t>
            </w:r>
            <w:r w:rsidR="002158D5">
              <w:rPr>
                <w:noProof/>
                <w:webHidden/>
              </w:rPr>
              <w:fldChar w:fldCharType="end"/>
            </w:r>
          </w:hyperlink>
        </w:p>
        <w:p w14:paraId="1868E3DB" w14:textId="6C2B1DBF" w:rsidR="00A01ED8" w:rsidRDefault="00A01ED8">
          <w:r>
            <w:rPr>
              <w:b/>
              <w:bCs/>
              <w:noProof/>
            </w:rPr>
            <w:fldChar w:fldCharType="end"/>
          </w:r>
        </w:p>
      </w:sdtContent>
    </w:sdt>
    <w:p w14:paraId="73A4EA1A" w14:textId="18B5DF42" w:rsidR="004A768C" w:rsidRDefault="004A768C">
      <w:pPr>
        <w:spacing w:after="160" w:line="259" w:lineRule="auto"/>
        <w:ind w:firstLine="0"/>
      </w:pPr>
      <w:r>
        <w:br w:type="page"/>
      </w:r>
    </w:p>
    <w:p w14:paraId="0995AAAF" w14:textId="7248C650" w:rsidR="003B70DA" w:rsidRDefault="003B70DA" w:rsidP="003B70DA">
      <w:pPr>
        <w:spacing w:after="160" w:line="259" w:lineRule="auto"/>
        <w:ind w:firstLine="0"/>
        <w:jc w:val="center"/>
        <w:rPr>
          <w:b/>
          <w:bCs/>
          <w:sz w:val="36"/>
          <w:szCs w:val="36"/>
        </w:rPr>
      </w:pPr>
      <w:r w:rsidRPr="003B70DA">
        <w:rPr>
          <w:b/>
          <w:bCs/>
          <w:sz w:val="36"/>
          <w:szCs w:val="36"/>
        </w:rPr>
        <w:lastRenderedPageBreak/>
        <w:t xml:space="preserve">LIST OF </w:t>
      </w:r>
      <w:r>
        <w:rPr>
          <w:b/>
          <w:bCs/>
          <w:sz w:val="36"/>
          <w:szCs w:val="36"/>
        </w:rPr>
        <w:t>TABLES</w:t>
      </w:r>
    </w:p>
    <w:p w14:paraId="14D8F43A" w14:textId="77777777" w:rsidR="00490E1D" w:rsidRDefault="00490E1D" w:rsidP="003B70DA">
      <w:pPr>
        <w:spacing w:after="160" w:line="259" w:lineRule="auto"/>
        <w:ind w:firstLine="0"/>
        <w:jc w:val="center"/>
        <w:rPr>
          <w:b/>
          <w:bCs/>
          <w:sz w:val="36"/>
          <w:szCs w:val="36"/>
        </w:rPr>
      </w:pPr>
    </w:p>
    <w:p w14:paraId="192B0D71" w14:textId="644F40E7" w:rsidR="00960609" w:rsidRDefault="004243AD">
      <w:pPr>
        <w:pStyle w:val="TableofFigures"/>
        <w:tabs>
          <w:tab w:val="right" w:leader="dot" w:pos="9350"/>
        </w:tabs>
        <w:rPr>
          <w:rFonts w:eastAsiaTheme="minorEastAsia"/>
          <w:noProof/>
          <w:szCs w:val="24"/>
        </w:rPr>
      </w:pPr>
      <w:r>
        <w:rPr>
          <w:b/>
          <w:bCs/>
          <w:sz w:val="36"/>
          <w:szCs w:val="36"/>
        </w:rPr>
        <w:fldChar w:fldCharType="begin"/>
      </w:r>
      <w:r>
        <w:rPr>
          <w:b/>
          <w:bCs/>
          <w:sz w:val="36"/>
          <w:szCs w:val="36"/>
        </w:rPr>
        <w:instrText xml:space="preserve"> TOC \h \z \c "Table" </w:instrText>
      </w:r>
      <w:r>
        <w:rPr>
          <w:b/>
          <w:bCs/>
          <w:sz w:val="36"/>
          <w:szCs w:val="36"/>
        </w:rPr>
        <w:fldChar w:fldCharType="separate"/>
      </w:r>
      <w:hyperlink w:anchor="_Toc165641114" w:history="1">
        <w:r w:rsidR="00960609" w:rsidRPr="003A0DD0">
          <w:rPr>
            <w:rStyle w:val="Hyperlink"/>
            <w:noProof/>
          </w:rPr>
          <w:t>Table 1.1: Notable recent works in PCFC experimental studies</w:t>
        </w:r>
        <w:r w:rsidR="00960609">
          <w:rPr>
            <w:noProof/>
            <w:webHidden/>
          </w:rPr>
          <w:tab/>
        </w:r>
        <w:r w:rsidR="00960609">
          <w:rPr>
            <w:noProof/>
            <w:webHidden/>
          </w:rPr>
          <w:fldChar w:fldCharType="begin"/>
        </w:r>
        <w:r w:rsidR="00960609">
          <w:rPr>
            <w:noProof/>
            <w:webHidden/>
          </w:rPr>
          <w:instrText xml:space="preserve"> PAGEREF _Toc165641114 \h </w:instrText>
        </w:r>
        <w:r w:rsidR="00960609">
          <w:rPr>
            <w:noProof/>
            <w:webHidden/>
          </w:rPr>
        </w:r>
        <w:r w:rsidR="00960609">
          <w:rPr>
            <w:noProof/>
            <w:webHidden/>
          </w:rPr>
          <w:fldChar w:fldCharType="separate"/>
        </w:r>
        <w:r w:rsidR="00960609">
          <w:rPr>
            <w:noProof/>
            <w:webHidden/>
          </w:rPr>
          <w:t>10</w:t>
        </w:r>
        <w:r w:rsidR="00960609">
          <w:rPr>
            <w:noProof/>
            <w:webHidden/>
          </w:rPr>
          <w:fldChar w:fldCharType="end"/>
        </w:r>
      </w:hyperlink>
    </w:p>
    <w:p w14:paraId="23AF5E87" w14:textId="5A67FA4A" w:rsidR="00960609" w:rsidRDefault="00924E48">
      <w:pPr>
        <w:pStyle w:val="TableofFigures"/>
        <w:tabs>
          <w:tab w:val="right" w:leader="dot" w:pos="9350"/>
        </w:tabs>
        <w:rPr>
          <w:rFonts w:eastAsiaTheme="minorEastAsia"/>
          <w:noProof/>
          <w:szCs w:val="24"/>
        </w:rPr>
      </w:pPr>
      <w:hyperlink w:anchor="_Toc165641115" w:history="1">
        <w:r w:rsidR="00960609" w:rsidRPr="003A0DD0">
          <w:rPr>
            <w:rStyle w:val="Hyperlink"/>
            <w:noProof/>
          </w:rPr>
          <w:t>Table 3.1: Kinetic data used in model</w:t>
        </w:r>
        <w:r w:rsidR="00960609">
          <w:rPr>
            <w:noProof/>
            <w:webHidden/>
          </w:rPr>
          <w:tab/>
        </w:r>
        <w:r w:rsidR="00960609">
          <w:rPr>
            <w:noProof/>
            <w:webHidden/>
          </w:rPr>
          <w:fldChar w:fldCharType="begin"/>
        </w:r>
        <w:r w:rsidR="00960609">
          <w:rPr>
            <w:noProof/>
            <w:webHidden/>
          </w:rPr>
          <w:instrText xml:space="preserve"> PAGEREF _Toc165641115 \h </w:instrText>
        </w:r>
        <w:r w:rsidR="00960609">
          <w:rPr>
            <w:noProof/>
            <w:webHidden/>
          </w:rPr>
        </w:r>
        <w:r w:rsidR="00960609">
          <w:rPr>
            <w:noProof/>
            <w:webHidden/>
          </w:rPr>
          <w:fldChar w:fldCharType="separate"/>
        </w:r>
        <w:r w:rsidR="00960609">
          <w:rPr>
            <w:noProof/>
            <w:webHidden/>
          </w:rPr>
          <w:t>34</w:t>
        </w:r>
        <w:r w:rsidR="00960609">
          <w:rPr>
            <w:noProof/>
            <w:webHidden/>
          </w:rPr>
          <w:fldChar w:fldCharType="end"/>
        </w:r>
      </w:hyperlink>
    </w:p>
    <w:p w14:paraId="19CA168B" w14:textId="68C8647B" w:rsidR="00960609" w:rsidRDefault="00924E48">
      <w:pPr>
        <w:pStyle w:val="TableofFigures"/>
        <w:tabs>
          <w:tab w:val="right" w:leader="dot" w:pos="9350"/>
        </w:tabs>
        <w:rPr>
          <w:rFonts w:eastAsiaTheme="minorEastAsia"/>
          <w:noProof/>
          <w:szCs w:val="24"/>
        </w:rPr>
      </w:pPr>
      <w:hyperlink w:anchor="_Toc165641116" w:history="1">
        <w:r w:rsidR="00960609" w:rsidRPr="003A0DD0">
          <w:rPr>
            <w:rStyle w:val="Hyperlink"/>
            <w:noProof/>
          </w:rPr>
          <w:t>Table 3.2: Constants used for the calculation of the activation overpotential</w:t>
        </w:r>
        <w:r w:rsidR="00960609">
          <w:rPr>
            <w:noProof/>
            <w:webHidden/>
          </w:rPr>
          <w:tab/>
        </w:r>
        <w:r w:rsidR="00960609">
          <w:rPr>
            <w:noProof/>
            <w:webHidden/>
          </w:rPr>
          <w:fldChar w:fldCharType="begin"/>
        </w:r>
        <w:r w:rsidR="00960609">
          <w:rPr>
            <w:noProof/>
            <w:webHidden/>
          </w:rPr>
          <w:instrText xml:space="preserve"> PAGEREF _Toc165641116 \h </w:instrText>
        </w:r>
        <w:r w:rsidR="00960609">
          <w:rPr>
            <w:noProof/>
            <w:webHidden/>
          </w:rPr>
        </w:r>
        <w:r w:rsidR="00960609">
          <w:rPr>
            <w:noProof/>
            <w:webHidden/>
          </w:rPr>
          <w:fldChar w:fldCharType="separate"/>
        </w:r>
        <w:r w:rsidR="00960609">
          <w:rPr>
            <w:noProof/>
            <w:webHidden/>
          </w:rPr>
          <w:t>44</w:t>
        </w:r>
        <w:r w:rsidR="00960609">
          <w:rPr>
            <w:noProof/>
            <w:webHidden/>
          </w:rPr>
          <w:fldChar w:fldCharType="end"/>
        </w:r>
      </w:hyperlink>
    </w:p>
    <w:p w14:paraId="78CFA07E" w14:textId="67FB8FC2" w:rsidR="00960609" w:rsidRDefault="00924E48">
      <w:pPr>
        <w:pStyle w:val="TableofFigures"/>
        <w:tabs>
          <w:tab w:val="right" w:leader="dot" w:pos="9350"/>
        </w:tabs>
        <w:rPr>
          <w:rFonts w:eastAsiaTheme="minorEastAsia"/>
          <w:noProof/>
          <w:szCs w:val="24"/>
        </w:rPr>
      </w:pPr>
      <w:hyperlink w:anchor="_Toc165641117" w:history="1">
        <w:r w:rsidR="00960609" w:rsidRPr="003A0DD0">
          <w:rPr>
            <w:rStyle w:val="Hyperlink"/>
            <w:noProof/>
          </w:rPr>
          <w:t>Table 3.3: Thermal Conductivities of Solid Layers</w:t>
        </w:r>
        <w:r w:rsidR="00960609">
          <w:rPr>
            <w:noProof/>
            <w:webHidden/>
          </w:rPr>
          <w:tab/>
        </w:r>
        <w:r w:rsidR="00960609">
          <w:rPr>
            <w:noProof/>
            <w:webHidden/>
          </w:rPr>
          <w:fldChar w:fldCharType="begin"/>
        </w:r>
        <w:r w:rsidR="00960609">
          <w:rPr>
            <w:noProof/>
            <w:webHidden/>
          </w:rPr>
          <w:instrText xml:space="preserve"> PAGEREF _Toc165641117 \h </w:instrText>
        </w:r>
        <w:r w:rsidR="00960609">
          <w:rPr>
            <w:noProof/>
            <w:webHidden/>
          </w:rPr>
        </w:r>
        <w:r w:rsidR="00960609">
          <w:rPr>
            <w:noProof/>
            <w:webHidden/>
          </w:rPr>
          <w:fldChar w:fldCharType="separate"/>
        </w:r>
        <w:r w:rsidR="00960609">
          <w:rPr>
            <w:noProof/>
            <w:webHidden/>
          </w:rPr>
          <w:t>53</w:t>
        </w:r>
        <w:r w:rsidR="00960609">
          <w:rPr>
            <w:noProof/>
            <w:webHidden/>
          </w:rPr>
          <w:fldChar w:fldCharType="end"/>
        </w:r>
      </w:hyperlink>
    </w:p>
    <w:p w14:paraId="504D0559" w14:textId="50CE81CD" w:rsidR="00960609" w:rsidRDefault="00924E48">
      <w:pPr>
        <w:pStyle w:val="TableofFigures"/>
        <w:tabs>
          <w:tab w:val="right" w:leader="dot" w:pos="9350"/>
        </w:tabs>
        <w:rPr>
          <w:rFonts w:eastAsiaTheme="minorEastAsia"/>
          <w:noProof/>
          <w:szCs w:val="24"/>
        </w:rPr>
      </w:pPr>
      <w:hyperlink w:anchor="_Toc165641118" w:history="1">
        <w:r w:rsidR="00960609" w:rsidRPr="003A0DD0">
          <w:rPr>
            <w:rStyle w:val="Hyperlink"/>
            <w:noProof/>
          </w:rPr>
          <w:t>Table 4.1: Model adjustable input parameters</w:t>
        </w:r>
        <w:r w:rsidR="00960609">
          <w:rPr>
            <w:noProof/>
            <w:webHidden/>
          </w:rPr>
          <w:tab/>
        </w:r>
        <w:r w:rsidR="00960609">
          <w:rPr>
            <w:noProof/>
            <w:webHidden/>
          </w:rPr>
          <w:fldChar w:fldCharType="begin"/>
        </w:r>
        <w:r w:rsidR="00960609">
          <w:rPr>
            <w:noProof/>
            <w:webHidden/>
          </w:rPr>
          <w:instrText xml:space="preserve"> PAGEREF _Toc165641118 \h </w:instrText>
        </w:r>
        <w:r w:rsidR="00960609">
          <w:rPr>
            <w:noProof/>
            <w:webHidden/>
          </w:rPr>
        </w:r>
        <w:r w:rsidR="00960609">
          <w:rPr>
            <w:noProof/>
            <w:webHidden/>
          </w:rPr>
          <w:fldChar w:fldCharType="separate"/>
        </w:r>
        <w:r w:rsidR="00960609">
          <w:rPr>
            <w:noProof/>
            <w:webHidden/>
          </w:rPr>
          <w:t>64</w:t>
        </w:r>
        <w:r w:rsidR="00960609">
          <w:rPr>
            <w:noProof/>
            <w:webHidden/>
          </w:rPr>
          <w:fldChar w:fldCharType="end"/>
        </w:r>
      </w:hyperlink>
    </w:p>
    <w:p w14:paraId="35D2FFAC" w14:textId="3B40DC37" w:rsidR="00960609" w:rsidRDefault="00924E48">
      <w:pPr>
        <w:pStyle w:val="TableofFigures"/>
        <w:tabs>
          <w:tab w:val="right" w:leader="dot" w:pos="9350"/>
        </w:tabs>
        <w:rPr>
          <w:rFonts w:eastAsiaTheme="minorEastAsia"/>
          <w:noProof/>
          <w:szCs w:val="24"/>
        </w:rPr>
      </w:pPr>
      <w:hyperlink w:anchor="_Toc165641119" w:history="1">
        <w:r w:rsidR="00960609" w:rsidRPr="003A0DD0">
          <w:rPr>
            <w:rStyle w:val="Hyperlink"/>
            <w:noProof/>
          </w:rPr>
          <w:t>Table 4.2: Input parameters</w:t>
        </w:r>
        <w:r w:rsidR="00960609">
          <w:rPr>
            <w:noProof/>
            <w:webHidden/>
          </w:rPr>
          <w:tab/>
        </w:r>
        <w:r w:rsidR="00960609">
          <w:rPr>
            <w:noProof/>
            <w:webHidden/>
          </w:rPr>
          <w:fldChar w:fldCharType="begin"/>
        </w:r>
        <w:r w:rsidR="00960609">
          <w:rPr>
            <w:noProof/>
            <w:webHidden/>
          </w:rPr>
          <w:instrText xml:space="preserve"> PAGEREF _Toc165641119 \h </w:instrText>
        </w:r>
        <w:r w:rsidR="00960609">
          <w:rPr>
            <w:noProof/>
            <w:webHidden/>
          </w:rPr>
        </w:r>
        <w:r w:rsidR="00960609">
          <w:rPr>
            <w:noProof/>
            <w:webHidden/>
          </w:rPr>
          <w:fldChar w:fldCharType="separate"/>
        </w:r>
        <w:r w:rsidR="00960609">
          <w:rPr>
            <w:noProof/>
            <w:webHidden/>
          </w:rPr>
          <w:t>66</w:t>
        </w:r>
        <w:r w:rsidR="00960609">
          <w:rPr>
            <w:noProof/>
            <w:webHidden/>
          </w:rPr>
          <w:fldChar w:fldCharType="end"/>
        </w:r>
      </w:hyperlink>
    </w:p>
    <w:p w14:paraId="7AA7493D" w14:textId="77236147" w:rsidR="00960609" w:rsidRDefault="00924E48">
      <w:pPr>
        <w:pStyle w:val="TableofFigures"/>
        <w:tabs>
          <w:tab w:val="right" w:leader="dot" w:pos="9350"/>
        </w:tabs>
        <w:rPr>
          <w:rFonts w:eastAsiaTheme="minorEastAsia"/>
          <w:noProof/>
          <w:szCs w:val="24"/>
        </w:rPr>
      </w:pPr>
      <w:hyperlink w:anchor="_Toc165641120" w:history="1">
        <w:r w:rsidR="00960609" w:rsidRPr="003A0DD0">
          <w:rPr>
            <w:rStyle w:val="Hyperlink"/>
            <w:noProof/>
          </w:rPr>
          <w:t>Table 5.1: Inlet molar concentration for Aspen-HYSYS model</w:t>
        </w:r>
        <w:r w:rsidR="00960609">
          <w:rPr>
            <w:noProof/>
            <w:webHidden/>
          </w:rPr>
          <w:tab/>
        </w:r>
        <w:r w:rsidR="00960609">
          <w:rPr>
            <w:noProof/>
            <w:webHidden/>
          </w:rPr>
          <w:fldChar w:fldCharType="begin"/>
        </w:r>
        <w:r w:rsidR="00960609">
          <w:rPr>
            <w:noProof/>
            <w:webHidden/>
          </w:rPr>
          <w:instrText xml:space="preserve"> PAGEREF _Toc165641120 \h </w:instrText>
        </w:r>
        <w:r w:rsidR="00960609">
          <w:rPr>
            <w:noProof/>
            <w:webHidden/>
          </w:rPr>
        </w:r>
        <w:r w:rsidR="00960609">
          <w:rPr>
            <w:noProof/>
            <w:webHidden/>
          </w:rPr>
          <w:fldChar w:fldCharType="separate"/>
        </w:r>
        <w:r w:rsidR="00960609">
          <w:rPr>
            <w:noProof/>
            <w:webHidden/>
          </w:rPr>
          <w:t>92</w:t>
        </w:r>
        <w:r w:rsidR="00960609">
          <w:rPr>
            <w:noProof/>
            <w:webHidden/>
          </w:rPr>
          <w:fldChar w:fldCharType="end"/>
        </w:r>
      </w:hyperlink>
    </w:p>
    <w:p w14:paraId="7EB1AE9B" w14:textId="75EE9F6E" w:rsidR="00960609" w:rsidRDefault="00924E48">
      <w:pPr>
        <w:pStyle w:val="TableofFigures"/>
        <w:tabs>
          <w:tab w:val="right" w:leader="dot" w:pos="9350"/>
        </w:tabs>
        <w:rPr>
          <w:rFonts w:eastAsiaTheme="minorEastAsia"/>
          <w:noProof/>
          <w:szCs w:val="24"/>
        </w:rPr>
      </w:pPr>
      <w:hyperlink w:anchor="_Toc165641121" w:history="1">
        <w:r w:rsidR="00960609" w:rsidRPr="003A0DD0">
          <w:rPr>
            <w:rStyle w:val="Hyperlink"/>
            <w:noProof/>
          </w:rPr>
          <w:t>Table 5.2: Transportation Cost Factors</w:t>
        </w:r>
        <w:r w:rsidR="00960609">
          <w:rPr>
            <w:noProof/>
            <w:webHidden/>
          </w:rPr>
          <w:tab/>
        </w:r>
        <w:r w:rsidR="00960609">
          <w:rPr>
            <w:noProof/>
            <w:webHidden/>
          </w:rPr>
          <w:fldChar w:fldCharType="begin"/>
        </w:r>
        <w:r w:rsidR="00960609">
          <w:rPr>
            <w:noProof/>
            <w:webHidden/>
          </w:rPr>
          <w:instrText xml:space="preserve"> PAGEREF _Toc165641121 \h </w:instrText>
        </w:r>
        <w:r w:rsidR="00960609">
          <w:rPr>
            <w:noProof/>
            <w:webHidden/>
          </w:rPr>
        </w:r>
        <w:r w:rsidR="00960609">
          <w:rPr>
            <w:noProof/>
            <w:webHidden/>
          </w:rPr>
          <w:fldChar w:fldCharType="separate"/>
        </w:r>
        <w:r w:rsidR="00960609">
          <w:rPr>
            <w:noProof/>
            <w:webHidden/>
          </w:rPr>
          <w:t>97</w:t>
        </w:r>
        <w:r w:rsidR="00960609">
          <w:rPr>
            <w:noProof/>
            <w:webHidden/>
          </w:rPr>
          <w:fldChar w:fldCharType="end"/>
        </w:r>
      </w:hyperlink>
    </w:p>
    <w:p w14:paraId="01845D7C" w14:textId="2CC5D389" w:rsidR="00960609" w:rsidRDefault="00924E48">
      <w:pPr>
        <w:pStyle w:val="TableofFigures"/>
        <w:tabs>
          <w:tab w:val="right" w:leader="dot" w:pos="9350"/>
        </w:tabs>
        <w:rPr>
          <w:rFonts w:eastAsiaTheme="minorEastAsia"/>
          <w:noProof/>
          <w:szCs w:val="24"/>
        </w:rPr>
      </w:pPr>
      <w:hyperlink w:anchor="_Toc165641122" w:history="1">
        <w:r w:rsidR="00960609" w:rsidRPr="003A0DD0">
          <w:rPr>
            <w:rStyle w:val="Hyperlink"/>
            <w:noProof/>
          </w:rPr>
          <w:t xml:space="preserve">Table 5.3: Recent protonic ceramic electrochemical studies for methane to aromatic chemical conversion </w:t>
        </w:r>
        <w:r w:rsidR="00960609" w:rsidRPr="003A0DD0">
          <w:rPr>
            <w:rStyle w:val="Hyperlink"/>
            <w:rFonts w:ascii="Aptos" w:hAnsi="Aptos" w:cs="Times New Roman"/>
            <w:noProof/>
            <w:kern w:val="0"/>
          </w:rPr>
          <w:t>[13]</w:t>
        </w:r>
        <w:r w:rsidR="00960609">
          <w:rPr>
            <w:noProof/>
            <w:webHidden/>
          </w:rPr>
          <w:tab/>
        </w:r>
        <w:r w:rsidR="00960609">
          <w:rPr>
            <w:noProof/>
            <w:webHidden/>
          </w:rPr>
          <w:fldChar w:fldCharType="begin"/>
        </w:r>
        <w:r w:rsidR="00960609">
          <w:rPr>
            <w:noProof/>
            <w:webHidden/>
          </w:rPr>
          <w:instrText xml:space="preserve"> PAGEREF _Toc165641122 \h </w:instrText>
        </w:r>
        <w:r w:rsidR="00960609">
          <w:rPr>
            <w:noProof/>
            <w:webHidden/>
          </w:rPr>
        </w:r>
        <w:r w:rsidR="00960609">
          <w:rPr>
            <w:noProof/>
            <w:webHidden/>
          </w:rPr>
          <w:fldChar w:fldCharType="separate"/>
        </w:r>
        <w:r w:rsidR="00960609">
          <w:rPr>
            <w:noProof/>
            <w:webHidden/>
          </w:rPr>
          <w:t>104</w:t>
        </w:r>
        <w:r w:rsidR="00960609">
          <w:rPr>
            <w:noProof/>
            <w:webHidden/>
          </w:rPr>
          <w:fldChar w:fldCharType="end"/>
        </w:r>
      </w:hyperlink>
    </w:p>
    <w:p w14:paraId="4E03042F" w14:textId="42ED9E60" w:rsidR="00960609" w:rsidRDefault="00924E48">
      <w:pPr>
        <w:pStyle w:val="TableofFigures"/>
        <w:tabs>
          <w:tab w:val="right" w:leader="dot" w:pos="9350"/>
        </w:tabs>
        <w:rPr>
          <w:rFonts w:eastAsiaTheme="minorEastAsia"/>
          <w:noProof/>
          <w:szCs w:val="24"/>
        </w:rPr>
      </w:pPr>
      <w:hyperlink w:anchor="_Toc165641123" w:history="1">
        <w:r w:rsidR="00960609" w:rsidRPr="003A0DD0">
          <w:rPr>
            <w:rStyle w:val="Hyperlink"/>
            <w:noProof/>
          </w:rPr>
          <w:t>Table 5.4: Sample cell for Dubois cost analysis</w:t>
        </w:r>
        <w:r w:rsidR="00960609">
          <w:rPr>
            <w:noProof/>
            <w:webHidden/>
          </w:rPr>
          <w:tab/>
        </w:r>
        <w:r w:rsidR="00960609">
          <w:rPr>
            <w:noProof/>
            <w:webHidden/>
          </w:rPr>
          <w:fldChar w:fldCharType="begin"/>
        </w:r>
        <w:r w:rsidR="00960609">
          <w:rPr>
            <w:noProof/>
            <w:webHidden/>
          </w:rPr>
          <w:instrText xml:space="preserve"> PAGEREF _Toc165641123 \h </w:instrText>
        </w:r>
        <w:r w:rsidR="00960609">
          <w:rPr>
            <w:noProof/>
            <w:webHidden/>
          </w:rPr>
        </w:r>
        <w:r w:rsidR="00960609">
          <w:rPr>
            <w:noProof/>
            <w:webHidden/>
          </w:rPr>
          <w:fldChar w:fldCharType="separate"/>
        </w:r>
        <w:r w:rsidR="00960609">
          <w:rPr>
            <w:noProof/>
            <w:webHidden/>
          </w:rPr>
          <w:t>108</w:t>
        </w:r>
        <w:r w:rsidR="00960609">
          <w:rPr>
            <w:noProof/>
            <w:webHidden/>
          </w:rPr>
          <w:fldChar w:fldCharType="end"/>
        </w:r>
      </w:hyperlink>
    </w:p>
    <w:p w14:paraId="64C46A5F" w14:textId="10F71BA9" w:rsidR="00960609" w:rsidRDefault="00924E48">
      <w:pPr>
        <w:pStyle w:val="TableofFigures"/>
        <w:tabs>
          <w:tab w:val="right" w:leader="dot" w:pos="9350"/>
        </w:tabs>
        <w:rPr>
          <w:rFonts w:eastAsiaTheme="minorEastAsia"/>
          <w:noProof/>
          <w:szCs w:val="24"/>
        </w:rPr>
      </w:pPr>
      <w:hyperlink w:anchor="_Toc165641124" w:history="1">
        <w:r w:rsidR="00960609" w:rsidRPr="003A0DD0">
          <w:rPr>
            <w:rStyle w:val="Hyperlink"/>
            <w:noProof/>
          </w:rPr>
          <w:t xml:space="preserve">Table 5.5: Specific PCFC manufacturing costs in $/kW assuming a power density of .156 </w:t>
        </w:r>
        <m:oMath>
          <m:r>
            <w:rPr>
              <w:rStyle w:val="Hyperlink"/>
              <w:rFonts w:ascii="Cambria Math" w:hAnsi="Cambria Math"/>
              <w:noProof/>
            </w:rPr>
            <m:t>W</m:t>
          </m:r>
          <m:r>
            <m:rPr>
              <m:sty m:val="p"/>
            </m:rPr>
            <w:rPr>
              <w:rStyle w:val="Hyperlink"/>
              <w:rFonts w:ascii="Cambria Math" w:hAnsi="Cambria Math"/>
              <w:noProof/>
            </w:rPr>
            <m:t>/</m:t>
          </m:r>
          <m:r>
            <w:rPr>
              <w:rStyle w:val="Hyperlink"/>
              <w:rFonts w:ascii="Cambria Math" w:hAnsi="Cambria Math"/>
              <w:noProof/>
            </w:rPr>
            <m:t>cm</m:t>
          </m:r>
          <m:r>
            <m:rPr>
              <m:sty m:val="p"/>
            </m:rPr>
            <w:rPr>
              <w:rStyle w:val="Hyperlink"/>
              <w:rFonts w:ascii="Cambria Math" w:hAnsi="Cambria Math"/>
              <w:noProof/>
            </w:rPr>
            <m:t>2</m:t>
          </m:r>
        </m:oMath>
        <w:r w:rsidR="00960609" w:rsidRPr="003A0DD0">
          <w:rPr>
            <w:rStyle w:val="Hyperlink"/>
            <w:rFonts w:ascii="Aptos" w:hAnsi="Aptos"/>
            <w:noProof/>
          </w:rPr>
          <w:t>[20]</w:t>
        </w:r>
        <w:r w:rsidR="00960609">
          <w:rPr>
            <w:noProof/>
            <w:webHidden/>
          </w:rPr>
          <w:tab/>
        </w:r>
        <w:r w:rsidR="00960609">
          <w:rPr>
            <w:noProof/>
            <w:webHidden/>
          </w:rPr>
          <w:fldChar w:fldCharType="begin"/>
        </w:r>
        <w:r w:rsidR="00960609">
          <w:rPr>
            <w:noProof/>
            <w:webHidden/>
          </w:rPr>
          <w:instrText xml:space="preserve"> PAGEREF _Toc165641124 \h </w:instrText>
        </w:r>
        <w:r w:rsidR="00960609">
          <w:rPr>
            <w:noProof/>
            <w:webHidden/>
          </w:rPr>
        </w:r>
        <w:r w:rsidR="00960609">
          <w:rPr>
            <w:noProof/>
            <w:webHidden/>
          </w:rPr>
          <w:fldChar w:fldCharType="separate"/>
        </w:r>
        <w:r w:rsidR="00960609">
          <w:rPr>
            <w:noProof/>
            <w:webHidden/>
          </w:rPr>
          <w:t>108</w:t>
        </w:r>
        <w:r w:rsidR="00960609">
          <w:rPr>
            <w:noProof/>
            <w:webHidden/>
          </w:rPr>
          <w:fldChar w:fldCharType="end"/>
        </w:r>
      </w:hyperlink>
    </w:p>
    <w:p w14:paraId="5E31A802" w14:textId="3276D19E" w:rsidR="00960609" w:rsidRDefault="00924E48">
      <w:pPr>
        <w:pStyle w:val="TableofFigures"/>
        <w:tabs>
          <w:tab w:val="right" w:leader="dot" w:pos="9350"/>
        </w:tabs>
        <w:rPr>
          <w:rFonts w:eastAsiaTheme="minorEastAsia"/>
          <w:noProof/>
          <w:szCs w:val="24"/>
        </w:rPr>
      </w:pPr>
      <w:hyperlink w:anchor="_Toc165641125" w:history="1">
        <w:r w:rsidR="00960609" w:rsidRPr="003A0DD0">
          <w:rPr>
            <w:rStyle w:val="Hyperlink"/>
            <w:noProof/>
          </w:rPr>
          <w:t>Table 5.6:Summary of capital cost breakdown</w:t>
        </w:r>
        <w:r w:rsidR="00960609">
          <w:rPr>
            <w:noProof/>
            <w:webHidden/>
          </w:rPr>
          <w:tab/>
        </w:r>
        <w:r w:rsidR="00960609">
          <w:rPr>
            <w:noProof/>
            <w:webHidden/>
          </w:rPr>
          <w:fldChar w:fldCharType="begin"/>
        </w:r>
        <w:r w:rsidR="00960609">
          <w:rPr>
            <w:noProof/>
            <w:webHidden/>
          </w:rPr>
          <w:instrText xml:space="preserve"> PAGEREF _Toc165641125 \h </w:instrText>
        </w:r>
        <w:r w:rsidR="00960609">
          <w:rPr>
            <w:noProof/>
            <w:webHidden/>
          </w:rPr>
        </w:r>
        <w:r w:rsidR="00960609">
          <w:rPr>
            <w:noProof/>
            <w:webHidden/>
          </w:rPr>
          <w:fldChar w:fldCharType="separate"/>
        </w:r>
        <w:r w:rsidR="00960609">
          <w:rPr>
            <w:noProof/>
            <w:webHidden/>
          </w:rPr>
          <w:t>111</w:t>
        </w:r>
        <w:r w:rsidR="00960609">
          <w:rPr>
            <w:noProof/>
            <w:webHidden/>
          </w:rPr>
          <w:fldChar w:fldCharType="end"/>
        </w:r>
      </w:hyperlink>
    </w:p>
    <w:p w14:paraId="32074B57" w14:textId="59316FE0" w:rsidR="00960609" w:rsidRDefault="00924E48">
      <w:pPr>
        <w:pStyle w:val="TableofFigures"/>
        <w:tabs>
          <w:tab w:val="right" w:leader="dot" w:pos="9350"/>
        </w:tabs>
        <w:rPr>
          <w:rFonts w:eastAsiaTheme="minorEastAsia"/>
          <w:noProof/>
          <w:szCs w:val="24"/>
        </w:rPr>
      </w:pPr>
      <w:hyperlink w:anchor="_Toc165641126" w:history="1">
        <w:r w:rsidR="00960609" w:rsidRPr="003A0DD0">
          <w:rPr>
            <w:rStyle w:val="Hyperlink"/>
            <w:noProof/>
          </w:rPr>
          <w:t>Table 5.8: Comparing results with competitive target values</w:t>
        </w:r>
        <w:r w:rsidR="00960609">
          <w:rPr>
            <w:noProof/>
            <w:webHidden/>
          </w:rPr>
          <w:tab/>
        </w:r>
        <w:r w:rsidR="00960609">
          <w:rPr>
            <w:noProof/>
            <w:webHidden/>
          </w:rPr>
          <w:fldChar w:fldCharType="begin"/>
        </w:r>
        <w:r w:rsidR="00960609">
          <w:rPr>
            <w:noProof/>
            <w:webHidden/>
          </w:rPr>
          <w:instrText xml:space="preserve"> PAGEREF _Toc165641126 \h </w:instrText>
        </w:r>
        <w:r w:rsidR="00960609">
          <w:rPr>
            <w:noProof/>
            <w:webHidden/>
          </w:rPr>
        </w:r>
        <w:r w:rsidR="00960609">
          <w:rPr>
            <w:noProof/>
            <w:webHidden/>
          </w:rPr>
          <w:fldChar w:fldCharType="separate"/>
        </w:r>
        <w:r w:rsidR="00960609">
          <w:rPr>
            <w:noProof/>
            <w:webHidden/>
          </w:rPr>
          <w:t>113</w:t>
        </w:r>
        <w:r w:rsidR="00960609">
          <w:rPr>
            <w:noProof/>
            <w:webHidden/>
          </w:rPr>
          <w:fldChar w:fldCharType="end"/>
        </w:r>
      </w:hyperlink>
    </w:p>
    <w:p w14:paraId="1AD115E6" w14:textId="5CE210AF" w:rsidR="003B70DA" w:rsidRDefault="004243AD">
      <w:pPr>
        <w:spacing w:after="160" w:line="259" w:lineRule="auto"/>
        <w:ind w:firstLine="0"/>
        <w:rPr>
          <w:b/>
          <w:bCs/>
          <w:sz w:val="36"/>
          <w:szCs w:val="36"/>
        </w:rPr>
      </w:pPr>
      <w:r>
        <w:rPr>
          <w:b/>
          <w:bCs/>
          <w:sz w:val="36"/>
          <w:szCs w:val="36"/>
        </w:rPr>
        <w:fldChar w:fldCharType="end"/>
      </w:r>
      <w:r w:rsidR="003B70DA">
        <w:rPr>
          <w:b/>
          <w:bCs/>
          <w:sz w:val="36"/>
          <w:szCs w:val="36"/>
        </w:rPr>
        <w:br w:type="page"/>
      </w:r>
    </w:p>
    <w:p w14:paraId="26AEB448" w14:textId="17470680" w:rsidR="003B70DA" w:rsidRDefault="003B70DA" w:rsidP="004A768C">
      <w:pPr>
        <w:spacing w:after="160" w:line="259" w:lineRule="auto"/>
        <w:ind w:firstLine="0"/>
        <w:jc w:val="center"/>
        <w:rPr>
          <w:b/>
          <w:bCs/>
          <w:sz w:val="36"/>
          <w:szCs w:val="36"/>
        </w:rPr>
      </w:pPr>
      <w:r w:rsidRPr="003B70DA">
        <w:rPr>
          <w:b/>
          <w:bCs/>
          <w:sz w:val="36"/>
          <w:szCs w:val="36"/>
        </w:rPr>
        <w:lastRenderedPageBreak/>
        <w:t>LIST OF FIGURES</w:t>
      </w:r>
    </w:p>
    <w:p w14:paraId="561E3A0A" w14:textId="0D9A4528" w:rsidR="00960609" w:rsidRDefault="0079112E">
      <w:pPr>
        <w:pStyle w:val="TableofFigures"/>
        <w:tabs>
          <w:tab w:val="right" w:leader="dot" w:pos="9350"/>
        </w:tabs>
        <w:rPr>
          <w:rFonts w:eastAsiaTheme="minorEastAsia"/>
          <w:noProof/>
          <w:szCs w:val="24"/>
        </w:rPr>
      </w:pPr>
      <w:r>
        <w:rPr>
          <w:b/>
          <w:bCs/>
          <w:sz w:val="36"/>
          <w:szCs w:val="36"/>
        </w:rPr>
        <w:fldChar w:fldCharType="begin"/>
      </w:r>
      <w:r w:rsidRPr="003B70DA">
        <w:rPr>
          <w:b/>
          <w:bCs/>
          <w:sz w:val="36"/>
          <w:szCs w:val="36"/>
        </w:rPr>
        <w:instrText xml:space="preserve"> TOC \h \z \c "Figure" </w:instrText>
      </w:r>
      <w:r>
        <w:rPr>
          <w:b/>
          <w:bCs/>
          <w:sz w:val="36"/>
          <w:szCs w:val="36"/>
        </w:rPr>
        <w:fldChar w:fldCharType="separate"/>
      </w:r>
      <w:hyperlink w:anchor="_Toc165641127" w:history="1">
        <w:r w:rsidR="00960609" w:rsidRPr="007550C4">
          <w:rPr>
            <w:rStyle w:val="Hyperlink"/>
            <w:rFonts w:cs="Times New Roman"/>
            <w:noProof/>
          </w:rPr>
          <w:t>Figure 1.1: Current U.S. Flaring and Venting Rates gathered from U.S. Energy Information Administration [7]. Note: this data is gathered from the federally reported flaring and venting. Some states do not collect or report this data.</w:t>
        </w:r>
        <w:r w:rsidR="00960609">
          <w:rPr>
            <w:noProof/>
            <w:webHidden/>
          </w:rPr>
          <w:tab/>
        </w:r>
        <w:r w:rsidR="00960609">
          <w:rPr>
            <w:noProof/>
            <w:webHidden/>
          </w:rPr>
          <w:fldChar w:fldCharType="begin"/>
        </w:r>
        <w:r w:rsidR="00960609">
          <w:rPr>
            <w:noProof/>
            <w:webHidden/>
          </w:rPr>
          <w:instrText xml:space="preserve"> PAGEREF _Toc165641127 \h </w:instrText>
        </w:r>
        <w:r w:rsidR="00960609">
          <w:rPr>
            <w:noProof/>
            <w:webHidden/>
          </w:rPr>
        </w:r>
        <w:r w:rsidR="00960609">
          <w:rPr>
            <w:noProof/>
            <w:webHidden/>
          </w:rPr>
          <w:fldChar w:fldCharType="separate"/>
        </w:r>
        <w:r w:rsidR="00960609">
          <w:rPr>
            <w:noProof/>
            <w:webHidden/>
          </w:rPr>
          <w:t>3</w:t>
        </w:r>
        <w:r w:rsidR="00960609">
          <w:rPr>
            <w:noProof/>
            <w:webHidden/>
          </w:rPr>
          <w:fldChar w:fldCharType="end"/>
        </w:r>
      </w:hyperlink>
    </w:p>
    <w:p w14:paraId="60A57489" w14:textId="3D749C8B" w:rsidR="00960609" w:rsidRDefault="00924E48">
      <w:pPr>
        <w:pStyle w:val="TableofFigures"/>
        <w:tabs>
          <w:tab w:val="right" w:leader="dot" w:pos="9350"/>
        </w:tabs>
        <w:rPr>
          <w:rFonts w:eastAsiaTheme="minorEastAsia"/>
          <w:noProof/>
          <w:szCs w:val="24"/>
        </w:rPr>
      </w:pPr>
      <w:hyperlink w:anchor="_Toc165641128" w:history="1">
        <w:r w:rsidR="00960609" w:rsidRPr="007550C4">
          <w:rPr>
            <w:rStyle w:val="Hyperlink"/>
            <w:noProof/>
          </w:rPr>
          <w:t>Figure 1.2: Implementation of PCER for flaring mitigation</w:t>
        </w:r>
        <w:r w:rsidR="00960609">
          <w:rPr>
            <w:noProof/>
            <w:webHidden/>
          </w:rPr>
          <w:tab/>
        </w:r>
        <w:r w:rsidR="00960609">
          <w:rPr>
            <w:noProof/>
            <w:webHidden/>
          </w:rPr>
          <w:fldChar w:fldCharType="begin"/>
        </w:r>
        <w:r w:rsidR="00960609">
          <w:rPr>
            <w:noProof/>
            <w:webHidden/>
          </w:rPr>
          <w:instrText xml:space="preserve"> PAGEREF _Toc165641128 \h </w:instrText>
        </w:r>
        <w:r w:rsidR="00960609">
          <w:rPr>
            <w:noProof/>
            <w:webHidden/>
          </w:rPr>
        </w:r>
        <w:r w:rsidR="00960609">
          <w:rPr>
            <w:noProof/>
            <w:webHidden/>
          </w:rPr>
          <w:fldChar w:fldCharType="separate"/>
        </w:r>
        <w:r w:rsidR="00960609">
          <w:rPr>
            <w:noProof/>
            <w:webHidden/>
          </w:rPr>
          <w:t>4</w:t>
        </w:r>
        <w:r w:rsidR="00960609">
          <w:rPr>
            <w:noProof/>
            <w:webHidden/>
          </w:rPr>
          <w:fldChar w:fldCharType="end"/>
        </w:r>
      </w:hyperlink>
    </w:p>
    <w:p w14:paraId="4674A2FB" w14:textId="04EBCFB2" w:rsidR="00960609" w:rsidRDefault="00924E48">
      <w:pPr>
        <w:pStyle w:val="TableofFigures"/>
        <w:tabs>
          <w:tab w:val="right" w:leader="dot" w:pos="9350"/>
        </w:tabs>
        <w:rPr>
          <w:rFonts w:eastAsiaTheme="minorEastAsia"/>
          <w:noProof/>
          <w:szCs w:val="24"/>
        </w:rPr>
      </w:pPr>
      <w:hyperlink w:anchor="_Toc165641129" w:history="1">
        <w:r w:rsidR="00960609" w:rsidRPr="007550C4">
          <w:rPr>
            <w:rStyle w:val="Hyperlink"/>
            <w:noProof/>
          </w:rPr>
          <w:t>Figure 2.1: Standard hydrogen-fed PCFC mechanism</w:t>
        </w:r>
        <w:r w:rsidR="00960609">
          <w:rPr>
            <w:noProof/>
            <w:webHidden/>
          </w:rPr>
          <w:tab/>
        </w:r>
        <w:r w:rsidR="00960609">
          <w:rPr>
            <w:noProof/>
            <w:webHidden/>
          </w:rPr>
          <w:fldChar w:fldCharType="begin"/>
        </w:r>
        <w:r w:rsidR="00960609">
          <w:rPr>
            <w:noProof/>
            <w:webHidden/>
          </w:rPr>
          <w:instrText xml:space="preserve"> PAGEREF _Toc165641129 \h </w:instrText>
        </w:r>
        <w:r w:rsidR="00960609">
          <w:rPr>
            <w:noProof/>
            <w:webHidden/>
          </w:rPr>
        </w:r>
        <w:r w:rsidR="00960609">
          <w:rPr>
            <w:noProof/>
            <w:webHidden/>
          </w:rPr>
          <w:fldChar w:fldCharType="separate"/>
        </w:r>
        <w:r w:rsidR="00960609">
          <w:rPr>
            <w:noProof/>
            <w:webHidden/>
          </w:rPr>
          <w:t>9</w:t>
        </w:r>
        <w:r w:rsidR="00960609">
          <w:rPr>
            <w:noProof/>
            <w:webHidden/>
          </w:rPr>
          <w:fldChar w:fldCharType="end"/>
        </w:r>
      </w:hyperlink>
    </w:p>
    <w:p w14:paraId="039D50A7" w14:textId="4D348793" w:rsidR="00960609" w:rsidRDefault="00924E48">
      <w:pPr>
        <w:pStyle w:val="TableofFigures"/>
        <w:tabs>
          <w:tab w:val="right" w:leader="dot" w:pos="9350"/>
        </w:tabs>
        <w:rPr>
          <w:rFonts w:eastAsiaTheme="minorEastAsia"/>
          <w:noProof/>
          <w:szCs w:val="24"/>
        </w:rPr>
      </w:pPr>
      <w:hyperlink w:anchor="_Toc165641130" w:history="1">
        <w:r w:rsidR="00960609" w:rsidRPr="007550C4">
          <w:rPr>
            <w:rStyle w:val="Hyperlink"/>
            <w:noProof/>
          </w:rPr>
          <w:t>Figure 2.2: Published research articles related to MDA.</w:t>
        </w:r>
        <w:r w:rsidR="00960609">
          <w:rPr>
            <w:noProof/>
            <w:webHidden/>
          </w:rPr>
          <w:tab/>
        </w:r>
        <w:r w:rsidR="00960609">
          <w:rPr>
            <w:noProof/>
            <w:webHidden/>
          </w:rPr>
          <w:fldChar w:fldCharType="begin"/>
        </w:r>
        <w:r w:rsidR="00960609">
          <w:rPr>
            <w:noProof/>
            <w:webHidden/>
          </w:rPr>
          <w:instrText xml:space="preserve"> PAGEREF _Toc165641130 \h </w:instrText>
        </w:r>
        <w:r w:rsidR="00960609">
          <w:rPr>
            <w:noProof/>
            <w:webHidden/>
          </w:rPr>
        </w:r>
        <w:r w:rsidR="00960609">
          <w:rPr>
            <w:noProof/>
            <w:webHidden/>
          </w:rPr>
          <w:fldChar w:fldCharType="separate"/>
        </w:r>
        <w:r w:rsidR="00960609">
          <w:rPr>
            <w:noProof/>
            <w:webHidden/>
          </w:rPr>
          <w:t>12</w:t>
        </w:r>
        <w:r w:rsidR="00960609">
          <w:rPr>
            <w:noProof/>
            <w:webHidden/>
          </w:rPr>
          <w:fldChar w:fldCharType="end"/>
        </w:r>
      </w:hyperlink>
    </w:p>
    <w:p w14:paraId="452BC580" w14:textId="4AEFD7C5" w:rsidR="00960609" w:rsidRDefault="00924E48">
      <w:pPr>
        <w:pStyle w:val="TableofFigures"/>
        <w:tabs>
          <w:tab w:val="right" w:leader="dot" w:pos="9350"/>
        </w:tabs>
        <w:rPr>
          <w:rFonts w:eastAsiaTheme="minorEastAsia"/>
          <w:noProof/>
          <w:szCs w:val="24"/>
        </w:rPr>
      </w:pPr>
      <w:hyperlink w:anchor="_Toc165641131" w:history="1">
        <w:r w:rsidR="00960609" w:rsidRPr="007550C4">
          <w:rPr>
            <w:rStyle w:val="Hyperlink"/>
            <w:noProof/>
          </w:rPr>
          <w:t>Figure 2.3: Proposed MDA reaction pathways</w:t>
        </w:r>
        <w:r w:rsidR="00960609">
          <w:rPr>
            <w:noProof/>
            <w:webHidden/>
          </w:rPr>
          <w:tab/>
        </w:r>
        <w:r w:rsidR="00960609">
          <w:rPr>
            <w:noProof/>
            <w:webHidden/>
          </w:rPr>
          <w:fldChar w:fldCharType="begin"/>
        </w:r>
        <w:r w:rsidR="00960609">
          <w:rPr>
            <w:noProof/>
            <w:webHidden/>
          </w:rPr>
          <w:instrText xml:space="preserve"> PAGEREF _Toc165641131 \h </w:instrText>
        </w:r>
        <w:r w:rsidR="00960609">
          <w:rPr>
            <w:noProof/>
            <w:webHidden/>
          </w:rPr>
        </w:r>
        <w:r w:rsidR="00960609">
          <w:rPr>
            <w:noProof/>
            <w:webHidden/>
          </w:rPr>
          <w:fldChar w:fldCharType="separate"/>
        </w:r>
        <w:r w:rsidR="00960609">
          <w:rPr>
            <w:noProof/>
            <w:webHidden/>
          </w:rPr>
          <w:t>17</w:t>
        </w:r>
        <w:r w:rsidR="00960609">
          <w:rPr>
            <w:noProof/>
            <w:webHidden/>
          </w:rPr>
          <w:fldChar w:fldCharType="end"/>
        </w:r>
      </w:hyperlink>
    </w:p>
    <w:p w14:paraId="3B448722" w14:textId="1D1BF418" w:rsidR="00960609" w:rsidRDefault="00924E48">
      <w:pPr>
        <w:pStyle w:val="TableofFigures"/>
        <w:tabs>
          <w:tab w:val="right" w:leader="dot" w:pos="9350"/>
        </w:tabs>
        <w:rPr>
          <w:rFonts w:eastAsiaTheme="minorEastAsia"/>
          <w:noProof/>
          <w:szCs w:val="24"/>
        </w:rPr>
      </w:pPr>
      <w:hyperlink w:anchor="_Toc165641132" w:history="1">
        <w:r w:rsidR="00960609" w:rsidRPr="007550C4">
          <w:rPr>
            <w:rStyle w:val="Hyperlink"/>
            <w:noProof/>
          </w:rPr>
          <w:t xml:space="preserve">Figure 2.4: Kinetic model setup from Jeong et al. </w:t>
        </w:r>
        <w:r w:rsidR="00960609" w:rsidRPr="007550C4">
          <w:rPr>
            <w:rStyle w:val="Hyperlink"/>
            <w:rFonts w:ascii="Aptos" w:hAnsi="Aptos"/>
            <w:noProof/>
          </w:rPr>
          <w:t>[64]</w:t>
        </w:r>
        <w:r w:rsidR="00960609">
          <w:rPr>
            <w:noProof/>
            <w:webHidden/>
          </w:rPr>
          <w:tab/>
        </w:r>
        <w:r w:rsidR="00960609">
          <w:rPr>
            <w:noProof/>
            <w:webHidden/>
          </w:rPr>
          <w:fldChar w:fldCharType="begin"/>
        </w:r>
        <w:r w:rsidR="00960609">
          <w:rPr>
            <w:noProof/>
            <w:webHidden/>
          </w:rPr>
          <w:instrText xml:space="preserve"> PAGEREF _Toc165641132 \h </w:instrText>
        </w:r>
        <w:r w:rsidR="00960609">
          <w:rPr>
            <w:noProof/>
            <w:webHidden/>
          </w:rPr>
        </w:r>
        <w:r w:rsidR="00960609">
          <w:rPr>
            <w:noProof/>
            <w:webHidden/>
          </w:rPr>
          <w:fldChar w:fldCharType="separate"/>
        </w:r>
        <w:r w:rsidR="00960609">
          <w:rPr>
            <w:noProof/>
            <w:webHidden/>
          </w:rPr>
          <w:t>21</w:t>
        </w:r>
        <w:r w:rsidR="00960609">
          <w:rPr>
            <w:noProof/>
            <w:webHidden/>
          </w:rPr>
          <w:fldChar w:fldCharType="end"/>
        </w:r>
      </w:hyperlink>
    </w:p>
    <w:p w14:paraId="4F00EFB4" w14:textId="49EEFA56" w:rsidR="00960609" w:rsidRDefault="00924E48">
      <w:pPr>
        <w:pStyle w:val="TableofFigures"/>
        <w:tabs>
          <w:tab w:val="right" w:leader="dot" w:pos="9350"/>
        </w:tabs>
        <w:rPr>
          <w:rFonts w:eastAsiaTheme="minorEastAsia"/>
          <w:noProof/>
          <w:szCs w:val="24"/>
        </w:rPr>
      </w:pPr>
      <w:hyperlink w:anchor="_Toc165641133" w:history="1">
        <w:r w:rsidR="00960609" w:rsidRPr="007550C4">
          <w:rPr>
            <w:rStyle w:val="Hyperlink"/>
            <w:noProof/>
          </w:rPr>
          <w:t>Figure 2.5: MDA reaction mechanism in a protonic ceramic electrochemical cell, using a co-ionic membrane.</w:t>
        </w:r>
        <w:r w:rsidR="00960609">
          <w:rPr>
            <w:noProof/>
            <w:webHidden/>
          </w:rPr>
          <w:tab/>
        </w:r>
        <w:r w:rsidR="00960609">
          <w:rPr>
            <w:noProof/>
            <w:webHidden/>
          </w:rPr>
          <w:fldChar w:fldCharType="begin"/>
        </w:r>
        <w:r w:rsidR="00960609">
          <w:rPr>
            <w:noProof/>
            <w:webHidden/>
          </w:rPr>
          <w:instrText xml:space="preserve"> PAGEREF _Toc165641133 \h </w:instrText>
        </w:r>
        <w:r w:rsidR="00960609">
          <w:rPr>
            <w:noProof/>
            <w:webHidden/>
          </w:rPr>
        </w:r>
        <w:r w:rsidR="00960609">
          <w:rPr>
            <w:noProof/>
            <w:webHidden/>
          </w:rPr>
          <w:fldChar w:fldCharType="separate"/>
        </w:r>
        <w:r w:rsidR="00960609">
          <w:rPr>
            <w:noProof/>
            <w:webHidden/>
          </w:rPr>
          <w:t>25</w:t>
        </w:r>
        <w:r w:rsidR="00960609">
          <w:rPr>
            <w:noProof/>
            <w:webHidden/>
          </w:rPr>
          <w:fldChar w:fldCharType="end"/>
        </w:r>
      </w:hyperlink>
    </w:p>
    <w:p w14:paraId="71F8A9C0" w14:textId="2E89E556" w:rsidR="00960609" w:rsidRDefault="00924E48">
      <w:pPr>
        <w:pStyle w:val="TableofFigures"/>
        <w:tabs>
          <w:tab w:val="right" w:leader="dot" w:pos="9350"/>
        </w:tabs>
        <w:rPr>
          <w:rFonts w:eastAsiaTheme="minorEastAsia"/>
          <w:noProof/>
          <w:szCs w:val="24"/>
        </w:rPr>
      </w:pPr>
      <w:hyperlink w:anchor="_Toc165641134" w:history="1">
        <w:r w:rsidR="00960609" w:rsidRPr="007550C4">
          <w:rPr>
            <w:rStyle w:val="Hyperlink"/>
            <w:noProof/>
          </w:rPr>
          <w:t xml:space="preserve">Figure 2.6: Comparing a protonic cell membrane reactor (PCEC) with the standard practice of a fixed bed reactor (FBR) for aromatics yield and catalyst durability </w:t>
        </w:r>
        <w:r w:rsidR="00960609" w:rsidRPr="007550C4">
          <w:rPr>
            <w:rStyle w:val="Hyperlink"/>
            <w:rFonts w:ascii="Aptos" w:hAnsi="Aptos"/>
            <w:noProof/>
          </w:rPr>
          <w:t>[73]</w:t>
        </w:r>
        <w:r w:rsidR="00960609">
          <w:rPr>
            <w:noProof/>
            <w:webHidden/>
          </w:rPr>
          <w:tab/>
        </w:r>
        <w:r w:rsidR="00960609">
          <w:rPr>
            <w:noProof/>
            <w:webHidden/>
          </w:rPr>
          <w:fldChar w:fldCharType="begin"/>
        </w:r>
        <w:r w:rsidR="00960609">
          <w:rPr>
            <w:noProof/>
            <w:webHidden/>
          </w:rPr>
          <w:instrText xml:space="preserve"> PAGEREF _Toc165641134 \h </w:instrText>
        </w:r>
        <w:r w:rsidR="00960609">
          <w:rPr>
            <w:noProof/>
            <w:webHidden/>
          </w:rPr>
        </w:r>
        <w:r w:rsidR="00960609">
          <w:rPr>
            <w:noProof/>
            <w:webHidden/>
          </w:rPr>
          <w:fldChar w:fldCharType="separate"/>
        </w:r>
        <w:r w:rsidR="00960609">
          <w:rPr>
            <w:noProof/>
            <w:webHidden/>
          </w:rPr>
          <w:t>26</w:t>
        </w:r>
        <w:r w:rsidR="00960609">
          <w:rPr>
            <w:noProof/>
            <w:webHidden/>
          </w:rPr>
          <w:fldChar w:fldCharType="end"/>
        </w:r>
      </w:hyperlink>
    </w:p>
    <w:p w14:paraId="6B951106" w14:textId="15B8973B" w:rsidR="00960609" w:rsidRDefault="00924E48">
      <w:pPr>
        <w:pStyle w:val="TableofFigures"/>
        <w:tabs>
          <w:tab w:val="right" w:leader="dot" w:pos="9350"/>
        </w:tabs>
        <w:rPr>
          <w:rFonts w:eastAsiaTheme="minorEastAsia"/>
          <w:noProof/>
          <w:szCs w:val="24"/>
        </w:rPr>
      </w:pPr>
      <w:hyperlink w:anchor="_Toc165641135" w:history="1">
        <w:r w:rsidR="00960609" w:rsidRPr="007550C4">
          <w:rPr>
            <w:rStyle w:val="Hyperlink"/>
            <w:noProof/>
          </w:rPr>
          <w:t>Figure 3.1: Model reaction system</w:t>
        </w:r>
        <w:r w:rsidR="00960609">
          <w:rPr>
            <w:noProof/>
            <w:webHidden/>
          </w:rPr>
          <w:tab/>
        </w:r>
        <w:r w:rsidR="00960609">
          <w:rPr>
            <w:noProof/>
            <w:webHidden/>
          </w:rPr>
          <w:fldChar w:fldCharType="begin"/>
        </w:r>
        <w:r w:rsidR="00960609">
          <w:rPr>
            <w:noProof/>
            <w:webHidden/>
          </w:rPr>
          <w:instrText xml:space="preserve"> PAGEREF _Toc165641135 \h </w:instrText>
        </w:r>
        <w:r w:rsidR="00960609">
          <w:rPr>
            <w:noProof/>
            <w:webHidden/>
          </w:rPr>
        </w:r>
        <w:r w:rsidR="00960609">
          <w:rPr>
            <w:noProof/>
            <w:webHidden/>
          </w:rPr>
          <w:fldChar w:fldCharType="separate"/>
        </w:r>
        <w:r w:rsidR="00960609">
          <w:rPr>
            <w:noProof/>
            <w:webHidden/>
          </w:rPr>
          <w:t>30</w:t>
        </w:r>
        <w:r w:rsidR="00960609">
          <w:rPr>
            <w:noProof/>
            <w:webHidden/>
          </w:rPr>
          <w:fldChar w:fldCharType="end"/>
        </w:r>
      </w:hyperlink>
    </w:p>
    <w:p w14:paraId="50BB1122" w14:textId="1DAEF07D" w:rsidR="00960609" w:rsidRDefault="00924E48">
      <w:pPr>
        <w:pStyle w:val="TableofFigures"/>
        <w:tabs>
          <w:tab w:val="right" w:leader="dot" w:pos="9350"/>
        </w:tabs>
        <w:rPr>
          <w:rFonts w:eastAsiaTheme="minorEastAsia"/>
          <w:noProof/>
          <w:szCs w:val="24"/>
        </w:rPr>
      </w:pPr>
      <w:hyperlink w:anchor="_Toc165641136" w:history="1">
        <w:r w:rsidR="00960609" w:rsidRPr="007550C4">
          <w:rPr>
            <w:rStyle w:val="Hyperlink"/>
            <w:noProof/>
          </w:rPr>
          <w:t>Figure 3.2: Discretization of the tubular PCFC. Seven sections are considered for the radial direction, while the height (Z-axis) is also discretized.</w:t>
        </w:r>
        <w:r w:rsidR="00960609">
          <w:rPr>
            <w:noProof/>
            <w:webHidden/>
          </w:rPr>
          <w:tab/>
        </w:r>
        <w:r w:rsidR="00960609">
          <w:rPr>
            <w:noProof/>
            <w:webHidden/>
          </w:rPr>
          <w:fldChar w:fldCharType="begin"/>
        </w:r>
        <w:r w:rsidR="00960609">
          <w:rPr>
            <w:noProof/>
            <w:webHidden/>
          </w:rPr>
          <w:instrText xml:space="preserve"> PAGEREF _Toc165641136 \h </w:instrText>
        </w:r>
        <w:r w:rsidR="00960609">
          <w:rPr>
            <w:noProof/>
            <w:webHidden/>
          </w:rPr>
        </w:r>
        <w:r w:rsidR="00960609">
          <w:rPr>
            <w:noProof/>
            <w:webHidden/>
          </w:rPr>
          <w:fldChar w:fldCharType="separate"/>
        </w:r>
        <w:r w:rsidR="00960609">
          <w:rPr>
            <w:noProof/>
            <w:webHidden/>
          </w:rPr>
          <w:t>37</w:t>
        </w:r>
        <w:r w:rsidR="00960609">
          <w:rPr>
            <w:noProof/>
            <w:webHidden/>
          </w:rPr>
          <w:fldChar w:fldCharType="end"/>
        </w:r>
      </w:hyperlink>
    </w:p>
    <w:p w14:paraId="338D2C3B" w14:textId="49643459" w:rsidR="00960609" w:rsidRDefault="00924E48">
      <w:pPr>
        <w:pStyle w:val="TableofFigures"/>
        <w:tabs>
          <w:tab w:val="right" w:leader="dot" w:pos="9350"/>
        </w:tabs>
        <w:rPr>
          <w:rFonts w:eastAsiaTheme="minorEastAsia"/>
          <w:noProof/>
          <w:szCs w:val="24"/>
        </w:rPr>
      </w:pPr>
      <w:hyperlink w:anchor="_Toc165641137" w:history="1">
        <w:r w:rsidR="00960609" w:rsidRPr="007550C4">
          <w:rPr>
            <w:rStyle w:val="Hyperlink"/>
            <w:noProof/>
          </w:rPr>
          <w:t>Figure 3.3: Energy balance for a whole discretized unit of the cell</w:t>
        </w:r>
        <w:r w:rsidR="00960609">
          <w:rPr>
            <w:noProof/>
            <w:webHidden/>
          </w:rPr>
          <w:tab/>
        </w:r>
        <w:r w:rsidR="00960609">
          <w:rPr>
            <w:noProof/>
            <w:webHidden/>
          </w:rPr>
          <w:fldChar w:fldCharType="begin"/>
        </w:r>
        <w:r w:rsidR="00960609">
          <w:rPr>
            <w:noProof/>
            <w:webHidden/>
          </w:rPr>
          <w:instrText xml:space="preserve"> PAGEREF _Toc165641137 \h </w:instrText>
        </w:r>
        <w:r w:rsidR="00960609">
          <w:rPr>
            <w:noProof/>
            <w:webHidden/>
          </w:rPr>
        </w:r>
        <w:r w:rsidR="00960609">
          <w:rPr>
            <w:noProof/>
            <w:webHidden/>
          </w:rPr>
          <w:fldChar w:fldCharType="separate"/>
        </w:r>
        <w:r w:rsidR="00960609">
          <w:rPr>
            <w:noProof/>
            <w:webHidden/>
          </w:rPr>
          <w:t>48</w:t>
        </w:r>
        <w:r w:rsidR="00960609">
          <w:rPr>
            <w:noProof/>
            <w:webHidden/>
          </w:rPr>
          <w:fldChar w:fldCharType="end"/>
        </w:r>
      </w:hyperlink>
    </w:p>
    <w:p w14:paraId="49E695F8" w14:textId="10C1C38B" w:rsidR="00960609" w:rsidRDefault="00924E48">
      <w:pPr>
        <w:pStyle w:val="TableofFigures"/>
        <w:tabs>
          <w:tab w:val="right" w:leader="dot" w:pos="9350"/>
        </w:tabs>
        <w:rPr>
          <w:rFonts w:eastAsiaTheme="minorEastAsia"/>
          <w:noProof/>
          <w:szCs w:val="24"/>
        </w:rPr>
      </w:pPr>
      <w:hyperlink w:anchor="_Toc165641138" w:history="1">
        <w:r w:rsidR="00960609" w:rsidRPr="007550C4">
          <w:rPr>
            <w:rStyle w:val="Hyperlink"/>
            <w:noProof/>
          </w:rPr>
          <w:t xml:space="preserve">Figure 4.1: FBR model comparison to experimental data from </w:t>
        </w:r>
        <w:r w:rsidR="00960609" w:rsidRPr="007550C4">
          <w:rPr>
            <w:rStyle w:val="Hyperlink"/>
            <w:rFonts w:ascii="Aptos" w:hAnsi="Aptos"/>
            <w:noProof/>
          </w:rPr>
          <w:t>[65]</w:t>
        </w:r>
        <w:r w:rsidR="00960609">
          <w:rPr>
            <w:noProof/>
            <w:webHidden/>
          </w:rPr>
          <w:tab/>
        </w:r>
        <w:r w:rsidR="00960609">
          <w:rPr>
            <w:noProof/>
            <w:webHidden/>
          </w:rPr>
          <w:fldChar w:fldCharType="begin"/>
        </w:r>
        <w:r w:rsidR="00960609">
          <w:rPr>
            <w:noProof/>
            <w:webHidden/>
          </w:rPr>
          <w:instrText xml:space="preserve"> PAGEREF _Toc165641138 \h </w:instrText>
        </w:r>
        <w:r w:rsidR="00960609">
          <w:rPr>
            <w:noProof/>
            <w:webHidden/>
          </w:rPr>
        </w:r>
        <w:r w:rsidR="00960609">
          <w:rPr>
            <w:noProof/>
            <w:webHidden/>
          </w:rPr>
          <w:fldChar w:fldCharType="separate"/>
        </w:r>
        <w:r w:rsidR="00960609">
          <w:rPr>
            <w:noProof/>
            <w:webHidden/>
          </w:rPr>
          <w:t>61</w:t>
        </w:r>
        <w:r w:rsidR="00960609">
          <w:rPr>
            <w:noProof/>
            <w:webHidden/>
          </w:rPr>
          <w:fldChar w:fldCharType="end"/>
        </w:r>
      </w:hyperlink>
    </w:p>
    <w:p w14:paraId="2E143053" w14:textId="296BDB08" w:rsidR="00960609" w:rsidRDefault="00924E48">
      <w:pPr>
        <w:pStyle w:val="TableofFigures"/>
        <w:tabs>
          <w:tab w:val="right" w:leader="dot" w:pos="9350"/>
        </w:tabs>
        <w:rPr>
          <w:rFonts w:eastAsiaTheme="minorEastAsia"/>
          <w:noProof/>
          <w:szCs w:val="24"/>
        </w:rPr>
      </w:pPr>
      <w:hyperlink w:anchor="_Toc165641139" w:history="1">
        <w:r w:rsidR="00960609" w:rsidRPr="007550C4">
          <w:rPr>
            <w:rStyle w:val="Hyperlink"/>
            <w:noProof/>
          </w:rPr>
          <w:t>Figure 4.2: Electrochemical validation data using hydrogen</w:t>
        </w:r>
        <w:r w:rsidR="00960609">
          <w:rPr>
            <w:noProof/>
            <w:webHidden/>
          </w:rPr>
          <w:tab/>
        </w:r>
        <w:r w:rsidR="00960609">
          <w:rPr>
            <w:noProof/>
            <w:webHidden/>
          </w:rPr>
          <w:fldChar w:fldCharType="begin"/>
        </w:r>
        <w:r w:rsidR="00960609">
          <w:rPr>
            <w:noProof/>
            <w:webHidden/>
          </w:rPr>
          <w:instrText xml:space="preserve"> PAGEREF _Toc165641139 \h </w:instrText>
        </w:r>
        <w:r w:rsidR="00960609">
          <w:rPr>
            <w:noProof/>
            <w:webHidden/>
          </w:rPr>
        </w:r>
        <w:r w:rsidR="00960609">
          <w:rPr>
            <w:noProof/>
            <w:webHidden/>
          </w:rPr>
          <w:fldChar w:fldCharType="separate"/>
        </w:r>
        <w:r w:rsidR="00960609">
          <w:rPr>
            <w:noProof/>
            <w:webHidden/>
          </w:rPr>
          <w:t>63</w:t>
        </w:r>
        <w:r w:rsidR="00960609">
          <w:rPr>
            <w:noProof/>
            <w:webHidden/>
          </w:rPr>
          <w:fldChar w:fldCharType="end"/>
        </w:r>
      </w:hyperlink>
    </w:p>
    <w:p w14:paraId="578EA2D6" w14:textId="36C8B980" w:rsidR="00960609" w:rsidRDefault="00924E48">
      <w:pPr>
        <w:pStyle w:val="TableofFigures"/>
        <w:tabs>
          <w:tab w:val="right" w:leader="dot" w:pos="9350"/>
        </w:tabs>
        <w:rPr>
          <w:rFonts w:eastAsiaTheme="minorEastAsia"/>
          <w:noProof/>
          <w:szCs w:val="24"/>
        </w:rPr>
      </w:pPr>
      <w:hyperlink w:anchor="_Toc165641140" w:history="1">
        <w:r w:rsidR="00960609" w:rsidRPr="007550C4">
          <w:rPr>
            <w:rStyle w:val="Hyperlink"/>
            <w:noProof/>
          </w:rPr>
          <w:t>Figure 4.3: Current vs power density and conversion efficiency when operating at 1 Lg</w:t>
        </w:r>
        <w:r w:rsidR="00960609" w:rsidRPr="007550C4">
          <w:rPr>
            <w:rStyle w:val="Hyperlink"/>
            <w:noProof/>
            <w:vertAlign w:val="subscript"/>
          </w:rPr>
          <w:t>cat</w:t>
        </w:r>
        <w:r w:rsidR="00960609" w:rsidRPr="007550C4">
          <w:rPr>
            <w:rStyle w:val="Hyperlink"/>
            <w:noProof/>
            <w:vertAlign w:val="superscript"/>
          </w:rPr>
          <w:t>-1</w:t>
        </w:r>
        <w:r w:rsidR="00960609" w:rsidRPr="007550C4">
          <w:rPr>
            <w:rStyle w:val="Hyperlink"/>
            <w:noProof/>
          </w:rPr>
          <w:t>h</w:t>
        </w:r>
        <w:r w:rsidR="00960609" w:rsidRPr="007550C4">
          <w:rPr>
            <w:rStyle w:val="Hyperlink"/>
            <w:noProof/>
            <w:vertAlign w:val="superscript"/>
          </w:rPr>
          <w:t>-1</w:t>
        </w:r>
        <w:r w:rsidR="00960609">
          <w:rPr>
            <w:noProof/>
            <w:webHidden/>
          </w:rPr>
          <w:tab/>
        </w:r>
        <w:r w:rsidR="00960609">
          <w:rPr>
            <w:noProof/>
            <w:webHidden/>
          </w:rPr>
          <w:fldChar w:fldCharType="begin"/>
        </w:r>
        <w:r w:rsidR="00960609">
          <w:rPr>
            <w:noProof/>
            <w:webHidden/>
          </w:rPr>
          <w:instrText xml:space="preserve"> PAGEREF _Toc165641140 \h </w:instrText>
        </w:r>
        <w:r w:rsidR="00960609">
          <w:rPr>
            <w:noProof/>
            <w:webHidden/>
          </w:rPr>
        </w:r>
        <w:r w:rsidR="00960609">
          <w:rPr>
            <w:noProof/>
            <w:webHidden/>
          </w:rPr>
          <w:fldChar w:fldCharType="separate"/>
        </w:r>
        <w:r w:rsidR="00960609">
          <w:rPr>
            <w:noProof/>
            <w:webHidden/>
          </w:rPr>
          <w:t>68</w:t>
        </w:r>
        <w:r w:rsidR="00960609">
          <w:rPr>
            <w:noProof/>
            <w:webHidden/>
          </w:rPr>
          <w:fldChar w:fldCharType="end"/>
        </w:r>
      </w:hyperlink>
    </w:p>
    <w:p w14:paraId="1609DEE9" w14:textId="31638F7D" w:rsidR="00960609" w:rsidRDefault="00924E48">
      <w:pPr>
        <w:pStyle w:val="TableofFigures"/>
        <w:tabs>
          <w:tab w:val="right" w:leader="dot" w:pos="9350"/>
        </w:tabs>
        <w:rPr>
          <w:rFonts w:eastAsiaTheme="minorEastAsia"/>
          <w:noProof/>
          <w:szCs w:val="24"/>
        </w:rPr>
      </w:pPr>
      <w:hyperlink w:anchor="_Toc165641141" w:history="1">
        <w:r w:rsidR="00960609" w:rsidRPr="007550C4">
          <w:rPr>
            <w:rStyle w:val="Hyperlink"/>
            <w:noProof/>
          </w:rPr>
          <w:t>Figure 4.4: 30% natural gas conversion effect on flow rate and selectivity at rising current densities</w:t>
        </w:r>
        <w:r w:rsidR="00960609">
          <w:rPr>
            <w:noProof/>
            <w:webHidden/>
          </w:rPr>
          <w:tab/>
        </w:r>
        <w:r w:rsidR="00960609">
          <w:rPr>
            <w:noProof/>
            <w:webHidden/>
          </w:rPr>
          <w:fldChar w:fldCharType="begin"/>
        </w:r>
        <w:r w:rsidR="00960609">
          <w:rPr>
            <w:noProof/>
            <w:webHidden/>
          </w:rPr>
          <w:instrText xml:space="preserve"> PAGEREF _Toc165641141 \h </w:instrText>
        </w:r>
        <w:r w:rsidR="00960609">
          <w:rPr>
            <w:noProof/>
            <w:webHidden/>
          </w:rPr>
        </w:r>
        <w:r w:rsidR="00960609">
          <w:rPr>
            <w:noProof/>
            <w:webHidden/>
          </w:rPr>
          <w:fldChar w:fldCharType="separate"/>
        </w:r>
        <w:r w:rsidR="00960609">
          <w:rPr>
            <w:noProof/>
            <w:webHidden/>
          </w:rPr>
          <w:t>70</w:t>
        </w:r>
        <w:r w:rsidR="00960609">
          <w:rPr>
            <w:noProof/>
            <w:webHidden/>
          </w:rPr>
          <w:fldChar w:fldCharType="end"/>
        </w:r>
      </w:hyperlink>
    </w:p>
    <w:p w14:paraId="13B94B17" w14:textId="0BF8BB87" w:rsidR="00960609" w:rsidRDefault="00924E48">
      <w:pPr>
        <w:pStyle w:val="TableofFigures"/>
        <w:tabs>
          <w:tab w:val="right" w:leader="dot" w:pos="9350"/>
        </w:tabs>
        <w:rPr>
          <w:rFonts w:eastAsiaTheme="minorEastAsia"/>
          <w:noProof/>
          <w:szCs w:val="24"/>
        </w:rPr>
      </w:pPr>
      <w:hyperlink w:anchor="_Toc165641142" w:history="1">
        <w:r w:rsidR="00960609" w:rsidRPr="007550C4">
          <w:rPr>
            <w:rStyle w:val="Hyperlink"/>
            <w:noProof/>
          </w:rPr>
          <w:t>Figure 4.5: Moles of water in the fuel from the inlet to the outlet of the cell at all operational current densities for 30% fuel conversion.</w:t>
        </w:r>
        <w:r w:rsidR="00960609">
          <w:rPr>
            <w:noProof/>
            <w:webHidden/>
          </w:rPr>
          <w:tab/>
        </w:r>
        <w:r w:rsidR="00960609">
          <w:rPr>
            <w:noProof/>
            <w:webHidden/>
          </w:rPr>
          <w:fldChar w:fldCharType="begin"/>
        </w:r>
        <w:r w:rsidR="00960609">
          <w:rPr>
            <w:noProof/>
            <w:webHidden/>
          </w:rPr>
          <w:instrText xml:space="preserve"> PAGEREF _Toc165641142 \h </w:instrText>
        </w:r>
        <w:r w:rsidR="00960609">
          <w:rPr>
            <w:noProof/>
            <w:webHidden/>
          </w:rPr>
        </w:r>
        <w:r w:rsidR="00960609">
          <w:rPr>
            <w:noProof/>
            <w:webHidden/>
          </w:rPr>
          <w:fldChar w:fldCharType="separate"/>
        </w:r>
        <w:r w:rsidR="00960609">
          <w:rPr>
            <w:noProof/>
            <w:webHidden/>
          </w:rPr>
          <w:t>71</w:t>
        </w:r>
        <w:r w:rsidR="00960609">
          <w:rPr>
            <w:noProof/>
            <w:webHidden/>
          </w:rPr>
          <w:fldChar w:fldCharType="end"/>
        </w:r>
      </w:hyperlink>
    </w:p>
    <w:p w14:paraId="46827EE8" w14:textId="72B1E449" w:rsidR="00960609" w:rsidRDefault="00924E48">
      <w:pPr>
        <w:pStyle w:val="TableofFigures"/>
        <w:tabs>
          <w:tab w:val="right" w:leader="dot" w:pos="9350"/>
        </w:tabs>
        <w:rPr>
          <w:rFonts w:eastAsiaTheme="minorEastAsia"/>
          <w:noProof/>
          <w:szCs w:val="24"/>
        </w:rPr>
      </w:pPr>
      <w:hyperlink w:anchor="_Toc165641143" w:history="1">
        <w:r w:rsidR="00960609" w:rsidRPr="007550C4">
          <w:rPr>
            <w:rStyle w:val="Hyperlink"/>
            <w:noProof/>
          </w:rPr>
          <w:t>Figure 4.6: Relationship of the inlet temperature and flow rate at 30% conversion using a current density of 0.004 Acm</w:t>
        </w:r>
        <w:r w:rsidR="00960609" w:rsidRPr="007550C4">
          <w:rPr>
            <w:rStyle w:val="Hyperlink"/>
            <w:noProof/>
            <w:vertAlign w:val="superscript"/>
          </w:rPr>
          <w:t>-2</w:t>
        </w:r>
        <w:r w:rsidR="00960609">
          <w:rPr>
            <w:noProof/>
            <w:webHidden/>
          </w:rPr>
          <w:tab/>
        </w:r>
        <w:r w:rsidR="00960609">
          <w:rPr>
            <w:noProof/>
            <w:webHidden/>
          </w:rPr>
          <w:fldChar w:fldCharType="begin"/>
        </w:r>
        <w:r w:rsidR="00960609">
          <w:rPr>
            <w:noProof/>
            <w:webHidden/>
          </w:rPr>
          <w:instrText xml:space="preserve"> PAGEREF _Toc165641143 \h </w:instrText>
        </w:r>
        <w:r w:rsidR="00960609">
          <w:rPr>
            <w:noProof/>
            <w:webHidden/>
          </w:rPr>
        </w:r>
        <w:r w:rsidR="00960609">
          <w:rPr>
            <w:noProof/>
            <w:webHidden/>
          </w:rPr>
          <w:fldChar w:fldCharType="separate"/>
        </w:r>
        <w:r w:rsidR="00960609">
          <w:rPr>
            <w:noProof/>
            <w:webHidden/>
          </w:rPr>
          <w:t>72</w:t>
        </w:r>
        <w:r w:rsidR="00960609">
          <w:rPr>
            <w:noProof/>
            <w:webHidden/>
          </w:rPr>
          <w:fldChar w:fldCharType="end"/>
        </w:r>
      </w:hyperlink>
    </w:p>
    <w:p w14:paraId="174B640C" w14:textId="1F2EAEDF" w:rsidR="00960609" w:rsidRDefault="00924E48">
      <w:pPr>
        <w:pStyle w:val="TableofFigures"/>
        <w:tabs>
          <w:tab w:val="right" w:leader="dot" w:pos="9350"/>
        </w:tabs>
        <w:rPr>
          <w:rFonts w:eastAsiaTheme="minorEastAsia"/>
          <w:noProof/>
          <w:szCs w:val="24"/>
        </w:rPr>
      </w:pPr>
      <w:hyperlink w:anchor="_Toc165641144" w:history="1">
        <w:r w:rsidR="00960609" w:rsidRPr="007550C4">
          <w:rPr>
            <w:rStyle w:val="Hyperlink"/>
            <w:noProof/>
          </w:rPr>
          <w:t>Figure 4.7: Effect and limitations of varying the fuel utilization; a) the inverse relationships of CE and flow rate with fuel conversion; b) fuel conversion’s effect on the output selectivity</w:t>
        </w:r>
        <w:r w:rsidR="00960609">
          <w:rPr>
            <w:noProof/>
            <w:webHidden/>
          </w:rPr>
          <w:tab/>
        </w:r>
        <w:r w:rsidR="00960609">
          <w:rPr>
            <w:noProof/>
            <w:webHidden/>
          </w:rPr>
          <w:fldChar w:fldCharType="begin"/>
        </w:r>
        <w:r w:rsidR="00960609">
          <w:rPr>
            <w:noProof/>
            <w:webHidden/>
          </w:rPr>
          <w:instrText xml:space="preserve"> PAGEREF _Toc165641144 \h </w:instrText>
        </w:r>
        <w:r w:rsidR="00960609">
          <w:rPr>
            <w:noProof/>
            <w:webHidden/>
          </w:rPr>
        </w:r>
        <w:r w:rsidR="00960609">
          <w:rPr>
            <w:noProof/>
            <w:webHidden/>
          </w:rPr>
          <w:fldChar w:fldCharType="separate"/>
        </w:r>
        <w:r w:rsidR="00960609">
          <w:rPr>
            <w:noProof/>
            <w:webHidden/>
          </w:rPr>
          <w:t>74</w:t>
        </w:r>
        <w:r w:rsidR="00960609">
          <w:rPr>
            <w:noProof/>
            <w:webHidden/>
          </w:rPr>
          <w:fldChar w:fldCharType="end"/>
        </w:r>
      </w:hyperlink>
    </w:p>
    <w:p w14:paraId="4249EB10" w14:textId="5515CA29" w:rsidR="00960609" w:rsidRDefault="00924E48">
      <w:pPr>
        <w:pStyle w:val="TableofFigures"/>
        <w:tabs>
          <w:tab w:val="right" w:leader="dot" w:pos="9350"/>
        </w:tabs>
        <w:rPr>
          <w:rFonts w:eastAsiaTheme="minorEastAsia"/>
          <w:noProof/>
          <w:szCs w:val="24"/>
        </w:rPr>
      </w:pPr>
      <w:hyperlink w:anchor="_Toc165641145" w:history="1">
        <w:r w:rsidR="00960609" w:rsidRPr="007550C4">
          <w:rPr>
            <w:rStyle w:val="Hyperlink"/>
            <w:noProof/>
          </w:rPr>
          <w:t>Figure 4.8: Temperature of cell components and heat transfer to the PEN assembly when operating at 710</w:t>
        </w:r>
        <m:oMath>
          <m:r>
            <w:rPr>
              <w:rStyle w:val="Hyperlink"/>
              <w:rFonts w:ascii="Cambria Math" w:hAnsi="Cambria Math"/>
              <w:noProof/>
            </w:rPr>
            <m:t>℃</m:t>
          </m:r>
        </m:oMath>
        <w:r w:rsidR="00960609" w:rsidRPr="007550C4">
          <w:rPr>
            <w:rStyle w:val="Hyperlink"/>
            <w:noProof/>
          </w:rPr>
          <w:t>, 0.007 Acm</w:t>
        </w:r>
        <w:r w:rsidR="00960609" w:rsidRPr="007550C4">
          <w:rPr>
            <w:rStyle w:val="Hyperlink"/>
            <w:noProof/>
            <w:vertAlign w:val="superscript"/>
          </w:rPr>
          <w:t>-2</w:t>
        </w:r>
        <w:r w:rsidR="00960609" w:rsidRPr="007550C4">
          <w:rPr>
            <w:rStyle w:val="Hyperlink"/>
            <w:noProof/>
          </w:rPr>
          <w:t>, and 1 Lg</w:t>
        </w:r>
        <w:r w:rsidR="00960609" w:rsidRPr="007550C4">
          <w:rPr>
            <w:rStyle w:val="Hyperlink"/>
            <w:noProof/>
            <w:vertAlign w:val="subscript"/>
          </w:rPr>
          <w:t>cat</w:t>
        </w:r>
        <w:r w:rsidR="00960609" w:rsidRPr="007550C4">
          <w:rPr>
            <w:rStyle w:val="Hyperlink"/>
            <w:noProof/>
            <w:vertAlign w:val="superscript"/>
          </w:rPr>
          <w:t>-1</w:t>
        </w:r>
        <w:r w:rsidR="00960609" w:rsidRPr="007550C4">
          <w:rPr>
            <w:rStyle w:val="Hyperlink"/>
            <w:noProof/>
          </w:rPr>
          <w:t>h</w:t>
        </w:r>
        <w:r w:rsidR="00960609" w:rsidRPr="007550C4">
          <w:rPr>
            <w:rStyle w:val="Hyperlink"/>
            <w:noProof/>
            <w:vertAlign w:val="superscript"/>
          </w:rPr>
          <w:t>-1</w:t>
        </w:r>
        <w:r w:rsidR="00960609" w:rsidRPr="007550C4">
          <w:rPr>
            <w:rStyle w:val="Hyperlink"/>
            <w:noProof/>
          </w:rPr>
          <w:t>; a) Temperature profile along the z-axis of the various cell components; b) the heat transfer profile along the z-axis of the other components into the PEN assembly</w:t>
        </w:r>
        <w:r w:rsidR="00960609">
          <w:rPr>
            <w:noProof/>
            <w:webHidden/>
          </w:rPr>
          <w:tab/>
        </w:r>
        <w:r w:rsidR="00960609">
          <w:rPr>
            <w:noProof/>
            <w:webHidden/>
          </w:rPr>
          <w:fldChar w:fldCharType="begin"/>
        </w:r>
        <w:r w:rsidR="00960609">
          <w:rPr>
            <w:noProof/>
            <w:webHidden/>
          </w:rPr>
          <w:instrText xml:space="preserve"> PAGEREF _Toc165641145 \h </w:instrText>
        </w:r>
        <w:r w:rsidR="00960609">
          <w:rPr>
            <w:noProof/>
            <w:webHidden/>
          </w:rPr>
        </w:r>
        <w:r w:rsidR="00960609">
          <w:rPr>
            <w:noProof/>
            <w:webHidden/>
          </w:rPr>
          <w:fldChar w:fldCharType="separate"/>
        </w:r>
        <w:r w:rsidR="00960609">
          <w:rPr>
            <w:noProof/>
            <w:webHidden/>
          </w:rPr>
          <w:t>78</w:t>
        </w:r>
        <w:r w:rsidR="00960609">
          <w:rPr>
            <w:noProof/>
            <w:webHidden/>
          </w:rPr>
          <w:fldChar w:fldCharType="end"/>
        </w:r>
      </w:hyperlink>
    </w:p>
    <w:p w14:paraId="28CBA253" w14:textId="307E2611" w:rsidR="00960609" w:rsidRDefault="00924E48">
      <w:pPr>
        <w:pStyle w:val="TableofFigures"/>
        <w:tabs>
          <w:tab w:val="right" w:leader="dot" w:pos="9350"/>
        </w:tabs>
        <w:rPr>
          <w:rFonts w:eastAsiaTheme="minorEastAsia"/>
          <w:noProof/>
          <w:szCs w:val="24"/>
        </w:rPr>
      </w:pPr>
      <w:hyperlink w:anchor="_Toc165641146" w:history="1">
        <w:r w:rsidR="00960609" w:rsidRPr="007550C4">
          <w:rPr>
            <w:rStyle w:val="Hyperlink"/>
            <w:noProof/>
          </w:rPr>
          <w:t>Figure 4.9: Heat transfer profile along z-axis of other components into the PEN at 25 Lg</w:t>
        </w:r>
        <w:r w:rsidR="00960609" w:rsidRPr="007550C4">
          <w:rPr>
            <w:rStyle w:val="Hyperlink"/>
            <w:noProof/>
            <w:vertAlign w:val="subscript"/>
          </w:rPr>
          <w:t>cat</w:t>
        </w:r>
        <w:r w:rsidR="00960609" w:rsidRPr="007550C4">
          <w:rPr>
            <w:rStyle w:val="Hyperlink"/>
            <w:noProof/>
            <w:vertAlign w:val="superscript"/>
          </w:rPr>
          <w:t>-1</w:t>
        </w:r>
        <w:r w:rsidR="00960609" w:rsidRPr="007550C4">
          <w:rPr>
            <w:rStyle w:val="Hyperlink"/>
            <w:noProof/>
          </w:rPr>
          <w:t>h</w:t>
        </w:r>
        <w:r w:rsidR="00960609" w:rsidRPr="007550C4">
          <w:rPr>
            <w:rStyle w:val="Hyperlink"/>
            <w:noProof/>
            <w:vertAlign w:val="superscript"/>
          </w:rPr>
          <w:t>-1</w:t>
        </w:r>
        <w:r w:rsidR="00960609">
          <w:rPr>
            <w:noProof/>
            <w:webHidden/>
          </w:rPr>
          <w:tab/>
        </w:r>
        <w:r w:rsidR="00960609">
          <w:rPr>
            <w:noProof/>
            <w:webHidden/>
          </w:rPr>
          <w:fldChar w:fldCharType="begin"/>
        </w:r>
        <w:r w:rsidR="00960609">
          <w:rPr>
            <w:noProof/>
            <w:webHidden/>
          </w:rPr>
          <w:instrText xml:space="preserve"> PAGEREF _Toc165641146 \h </w:instrText>
        </w:r>
        <w:r w:rsidR="00960609">
          <w:rPr>
            <w:noProof/>
            <w:webHidden/>
          </w:rPr>
        </w:r>
        <w:r w:rsidR="00960609">
          <w:rPr>
            <w:noProof/>
            <w:webHidden/>
          </w:rPr>
          <w:fldChar w:fldCharType="separate"/>
        </w:r>
        <w:r w:rsidR="00960609">
          <w:rPr>
            <w:noProof/>
            <w:webHidden/>
          </w:rPr>
          <w:t>79</w:t>
        </w:r>
        <w:r w:rsidR="00960609">
          <w:rPr>
            <w:noProof/>
            <w:webHidden/>
          </w:rPr>
          <w:fldChar w:fldCharType="end"/>
        </w:r>
      </w:hyperlink>
    </w:p>
    <w:p w14:paraId="271F1801" w14:textId="7CCEB2D8" w:rsidR="00960609" w:rsidRDefault="00924E48">
      <w:pPr>
        <w:pStyle w:val="TableofFigures"/>
        <w:tabs>
          <w:tab w:val="right" w:leader="dot" w:pos="9350"/>
        </w:tabs>
        <w:rPr>
          <w:rFonts w:eastAsiaTheme="minorEastAsia"/>
          <w:noProof/>
          <w:szCs w:val="24"/>
        </w:rPr>
      </w:pPr>
      <w:hyperlink w:anchor="_Toc165641147" w:history="1">
        <w:r w:rsidR="00960609" w:rsidRPr="007550C4">
          <w:rPr>
            <w:rStyle w:val="Hyperlink"/>
            <w:noProof/>
          </w:rPr>
          <w:t>Figure 4.10: Overpotential profile through the cell, neglecting leakage</w:t>
        </w:r>
        <w:r w:rsidR="00960609">
          <w:rPr>
            <w:noProof/>
            <w:webHidden/>
          </w:rPr>
          <w:tab/>
        </w:r>
        <w:r w:rsidR="00960609">
          <w:rPr>
            <w:noProof/>
            <w:webHidden/>
          </w:rPr>
          <w:fldChar w:fldCharType="begin"/>
        </w:r>
        <w:r w:rsidR="00960609">
          <w:rPr>
            <w:noProof/>
            <w:webHidden/>
          </w:rPr>
          <w:instrText xml:space="preserve"> PAGEREF _Toc165641147 \h </w:instrText>
        </w:r>
        <w:r w:rsidR="00960609">
          <w:rPr>
            <w:noProof/>
            <w:webHidden/>
          </w:rPr>
        </w:r>
        <w:r w:rsidR="00960609">
          <w:rPr>
            <w:noProof/>
            <w:webHidden/>
          </w:rPr>
          <w:fldChar w:fldCharType="separate"/>
        </w:r>
        <w:r w:rsidR="00960609">
          <w:rPr>
            <w:noProof/>
            <w:webHidden/>
          </w:rPr>
          <w:t>80</w:t>
        </w:r>
        <w:r w:rsidR="00960609">
          <w:rPr>
            <w:noProof/>
            <w:webHidden/>
          </w:rPr>
          <w:fldChar w:fldCharType="end"/>
        </w:r>
      </w:hyperlink>
    </w:p>
    <w:p w14:paraId="6EE8ADA3" w14:textId="4CD218D5" w:rsidR="00960609" w:rsidRDefault="00924E48">
      <w:pPr>
        <w:pStyle w:val="TableofFigures"/>
        <w:tabs>
          <w:tab w:val="right" w:leader="dot" w:pos="9350"/>
        </w:tabs>
        <w:rPr>
          <w:rFonts w:eastAsiaTheme="minorEastAsia"/>
          <w:noProof/>
          <w:szCs w:val="24"/>
        </w:rPr>
      </w:pPr>
      <w:hyperlink w:anchor="_Toc165641148" w:history="1">
        <w:r w:rsidR="00960609" w:rsidRPr="007550C4">
          <w:rPr>
            <w:rStyle w:val="Hyperlink"/>
            <w:noProof/>
          </w:rPr>
          <w:t>Figure 4.11: Effect of anode thickness on average overpotentials and voltage output of the PCFC</w:t>
        </w:r>
        <w:r w:rsidR="00960609">
          <w:rPr>
            <w:noProof/>
            <w:webHidden/>
          </w:rPr>
          <w:tab/>
        </w:r>
        <w:r w:rsidR="00960609">
          <w:rPr>
            <w:noProof/>
            <w:webHidden/>
          </w:rPr>
          <w:fldChar w:fldCharType="begin"/>
        </w:r>
        <w:r w:rsidR="00960609">
          <w:rPr>
            <w:noProof/>
            <w:webHidden/>
          </w:rPr>
          <w:instrText xml:space="preserve"> PAGEREF _Toc165641148 \h </w:instrText>
        </w:r>
        <w:r w:rsidR="00960609">
          <w:rPr>
            <w:noProof/>
            <w:webHidden/>
          </w:rPr>
        </w:r>
        <w:r w:rsidR="00960609">
          <w:rPr>
            <w:noProof/>
            <w:webHidden/>
          </w:rPr>
          <w:fldChar w:fldCharType="separate"/>
        </w:r>
        <w:r w:rsidR="00960609">
          <w:rPr>
            <w:noProof/>
            <w:webHidden/>
          </w:rPr>
          <w:t>82</w:t>
        </w:r>
        <w:r w:rsidR="00960609">
          <w:rPr>
            <w:noProof/>
            <w:webHidden/>
          </w:rPr>
          <w:fldChar w:fldCharType="end"/>
        </w:r>
      </w:hyperlink>
    </w:p>
    <w:p w14:paraId="6F5A26CB" w14:textId="514666B1" w:rsidR="00960609" w:rsidRDefault="00924E48">
      <w:pPr>
        <w:pStyle w:val="TableofFigures"/>
        <w:tabs>
          <w:tab w:val="right" w:leader="dot" w:pos="9350"/>
        </w:tabs>
        <w:rPr>
          <w:rFonts w:eastAsiaTheme="minorEastAsia"/>
          <w:noProof/>
          <w:szCs w:val="24"/>
        </w:rPr>
      </w:pPr>
      <w:hyperlink w:anchor="_Toc165641149" w:history="1">
        <w:r w:rsidR="00960609" w:rsidRPr="007550C4">
          <w:rPr>
            <w:rStyle w:val="Hyperlink"/>
            <w:noProof/>
          </w:rPr>
          <w:t>Figure 4.12: Updated power density (a) and selectivity (b) curves for an anode thickness of 1mm</w:t>
        </w:r>
        <w:r w:rsidR="00960609">
          <w:rPr>
            <w:noProof/>
            <w:webHidden/>
          </w:rPr>
          <w:tab/>
        </w:r>
        <w:r w:rsidR="00960609">
          <w:rPr>
            <w:noProof/>
            <w:webHidden/>
          </w:rPr>
          <w:fldChar w:fldCharType="begin"/>
        </w:r>
        <w:r w:rsidR="00960609">
          <w:rPr>
            <w:noProof/>
            <w:webHidden/>
          </w:rPr>
          <w:instrText xml:space="preserve"> PAGEREF _Toc165641149 \h </w:instrText>
        </w:r>
        <w:r w:rsidR="00960609">
          <w:rPr>
            <w:noProof/>
            <w:webHidden/>
          </w:rPr>
        </w:r>
        <w:r w:rsidR="00960609">
          <w:rPr>
            <w:noProof/>
            <w:webHidden/>
          </w:rPr>
          <w:fldChar w:fldCharType="separate"/>
        </w:r>
        <w:r w:rsidR="00960609">
          <w:rPr>
            <w:noProof/>
            <w:webHidden/>
          </w:rPr>
          <w:t>85</w:t>
        </w:r>
        <w:r w:rsidR="00960609">
          <w:rPr>
            <w:noProof/>
            <w:webHidden/>
          </w:rPr>
          <w:fldChar w:fldCharType="end"/>
        </w:r>
      </w:hyperlink>
    </w:p>
    <w:p w14:paraId="708F3F31" w14:textId="1DBD1433" w:rsidR="00960609" w:rsidRDefault="00924E48">
      <w:pPr>
        <w:pStyle w:val="TableofFigures"/>
        <w:tabs>
          <w:tab w:val="right" w:leader="dot" w:pos="9350"/>
        </w:tabs>
        <w:rPr>
          <w:rFonts w:eastAsiaTheme="minorEastAsia"/>
          <w:noProof/>
          <w:szCs w:val="24"/>
        </w:rPr>
      </w:pPr>
      <w:hyperlink w:anchor="_Toc165641150" w:history="1">
        <w:r w:rsidR="00960609" w:rsidRPr="007550C4">
          <w:rPr>
            <w:rStyle w:val="Hyperlink"/>
            <w:noProof/>
          </w:rPr>
          <w:t>Figure 4.13: Basic PCFC model compared with FBR model used for validation</w:t>
        </w:r>
        <w:r w:rsidR="00960609">
          <w:rPr>
            <w:noProof/>
            <w:webHidden/>
          </w:rPr>
          <w:tab/>
        </w:r>
        <w:r w:rsidR="00960609">
          <w:rPr>
            <w:noProof/>
            <w:webHidden/>
          </w:rPr>
          <w:fldChar w:fldCharType="begin"/>
        </w:r>
        <w:r w:rsidR="00960609">
          <w:rPr>
            <w:noProof/>
            <w:webHidden/>
          </w:rPr>
          <w:instrText xml:space="preserve"> PAGEREF _Toc165641150 \h </w:instrText>
        </w:r>
        <w:r w:rsidR="00960609">
          <w:rPr>
            <w:noProof/>
            <w:webHidden/>
          </w:rPr>
        </w:r>
        <w:r w:rsidR="00960609">
          <w:rPr>
            <w:noProof/>
            <w:webHidden/>
          </w:rPr>
          <w:fldChar w:fldCharType="separate"/>
        </w:r>
        <w:r w:rsidR="00960609">
          <w:rPr>
            <w:noProof/>
            <w:webHidden/>
          </w:rPr>
          <w:t>86</w:t>
        </w:r>
        <w:r w:rsidR="00960609">
          <w:rPr>
            <w:noProof/>
            <w:webHidden/>
          </w:rPr>
          <w:fldChar w:fldCharType="end"/>
        </w:r>
      </w:hyperlink>
    </w:p>
    <w:p w14:paraId="427827F9" w14:textId="6A519700" w:rsidR="00960609" w:rsidRDefault="00924E48">
      <w:pPr>
        <w:pStyle w:val="TableofFigures"/>
        <w:tabs>
          <w:tab w:val="right" w:leader="dot" w:pos="9350"/>
        </w:tabs>
        <w:rPr>
          <w:rFonts w:eastAsiaTheme="minorEastAsia"/>
          <w:noProof/>
          <w:szCs w:val="24"/>
        </w:rPr>
      </w:pPr>
      <w:hyperlink w:anchor="_Toc165641151" w:history="1">
        <w:r w:rsidR="00960609" w:rsidRPr="007550C4">
          <w:rPr>
            <w:rStyle w:val="Hyperlink"/>
            <w:noProof/>
          </w:rPr>
          <w:t>Figure 4.14: Effects of recycling only hydrogen (a) or ethylene (b) in the PCFC system on the carbon selectivity of the products leaving the system and the CE; (c) effect of fully recycling hydrogen and ethylene together with respect to zero recycling</w:t>
        </w:r>
        <w:r w:rsidR="00960609">
          <w:rPr>
            <w:noProof/>
            <w:webHidden/>
          </w:rPr>
          <w:tab/>
        </w:r>
        <w:r w:rsidR="00960609">
          <w:rPr>
            <w:noProof/>
            <w:webHidden/>
          </w:rPr>
          <w:fldChar w:fldCharType="begin"/>
        </w:r>
        <w:r w:rsidR="00960609">
          <w:rPr>
            <w:noProof/>
            <w:webHidden/>
          </w:rPr>
          <w:instrText xml:space="preserve"> PAGEREF _Toc165641151 \h </w:instrText>
        </w:r>
        <w:r w:rsidR="00960609">
          <w:rPr>
            <w:noProof/>
            <w:webHidden/>
          </w:rPr>
        </w:r>
        <w:r w:rsidR="00960609">
          <w:rPr>
            <w:noProof/>
            <w:webHidden/>
          </w:rPr>
          <w:fldChar w:fldCharType="separate"/>
        </w:r>
        <w:r w:rsidR="00960609">
          <w:rPr>
            <w:noProof/>
            <w:webHidden/>
          </w:rPr>
          <w:t>87</w:t>
        </w:r>
        <w:r w:rsidR="00960609">
          <w:rPr>
            <w:noProof/>
            <w:webHidden/>
          </w:rPr>
          <w:fldChar w:fldCharType="end"/>
        </w:r>
      </w:hyperlink>
    </w:p>
    <w:p w14:paraId="16A247F6" w14:textId="0C10B0CF" w:rsidR="00960609" w:rsidRDefault="00924E48">
      <w:pPr>
        <w:pStyle w:val="TableofFigures"/>
        <w:tabs>
          <w:tab w:val="right" w:leader="dot" w:pos="9350"/>
        </w:tabs>
        <w:rPr>
          <w:rFonts w:eastAsiaTheme="minorEastAsia"/>
          <w:noProof/>
          <w:szCs w:val="24"/>
        </w:rPr>
      </w:pPr>
      <w:hyperlink w:anchor="_Toc165641152" w:history="1">
        <w:r w:rsidR="00960609" w:rsidRPr="007550C4">
          <w:rPr>
            <w:rStyle w:val="Hyperlink"/>
            <w:noProof/>
          </w:rPr>
          <w:t>Figure 4.15: Comparison of the ideal recycling scenario with individual recycling and pre-recycle results</w:t>
        </w:r>
        <w:r w:rsidR="00960609">
          <w:rPr>
            <w:noProof/>
            <w:webHidden/>
          </w:rPr>
          <w:tab/>
        </w:r>
        <w:r w:rsidR="00960609">
          <w:rPr>
            <w:noProof/>
            <w:webHidden/>
          </w:rPr>
          <w:fldChar w:fldCharType="begin"/>
        </w:r>
        <w:r w:rsidR="00960609">
          <w:rPr>
            <w:noProof/>
            <w:webHidden/>
          </w:rPr>
          <w:instrText xml:space="preserve"> PAGEREF _Toc165641152 \h </w:instrText>
        </w:r>
        <w:r w:rsidR="00960609">
          <w:rPr>
            <w:noProof/>
            <w:webHidden/>
          </w:rPr>
        </w:r>
        <w:r w:rsidR="00960609">
          <w:rPr>
            <w:noProof/>
            <w:webHidden/>
          </w:rPr>
          <w:fldChar w:fldCharType="separate"/>
        </w:r>
        <w:r w:rsidR="00960609">
          <w:rPr>
            <w:noProof/>
            <w:webHidden/>
          </w:rPr>
          <w:t>88</w:t>
        </w:r>
        <w:r w:rsidR="00960609">
          <w:rPr>
            <w:noProof/>
            <w:webHidden/>
          </w:rPr>
          <w:fldChar w:fldCharType="end"/>
        </w:r>
      </w:hyperlink>
    </w:p>
    <w:p w14:paraId="6AAF6D4D" w14:textId="70035D5D" w:rsidR="00960609" w:rsidRDefault="00924E48">
      <w:pPr>
        <w:pStyle w:val="TableofFigures"/>
        <w:tabs>
          <w:tab w:val="right" w:leader="dot" w:pos="9350"/>
        </w:tabs>
        <w:rPr>
          <w:rFonts w:eastAsiaTheme="minorEastAsia"/>
          <w:noProof/>
          <w:szCs w:val="24"/>
        </w:rPr>
      </w:pPr>
      <w:hyperlink w:anchor="_Toc165641153" w:history="1">
        <w:r w:rsidR="00960609" w:rsidRPr="007550C4">
          <w:rPr>
            <w:rStyle w:val="Hyperlink"/>
            <w:noProof/>
          </w:rPr>
          <w:t>Figure 5.1: Aspen-HYSYS system integration model of protonic ceramic modular reactor</w:t>
        </w:r>
        <w:r w:rsidR="00960609">
          <w:rPr>
            <w:noProof/>
            <w:webHidden/>
          </w:rPr>
          <w:tab/>
        </w:r>
        <w:r w:rsidR="00960609">
          <w:rPr>
            <w:noProof/>
            <w:webHidden/>
          </w:rPr>
          <w:fldChar w:fldCharType="begin"/>
        </w:r>
        <w:r w:rsidR="00960609">
          <w:rPr>
            <w:noProof/>
            <w:webHidden/>
          </w:rPr>
          <w:instrText xml:space="preserve"> PAGEREF _Toc165641153 \h </w:instrText>
        </w:r>
        <w:r w:rsidR="00960609">
          <w:rPr>
            <w:noProof/>
            <w:webHidden/>
          </w:rPr>
        </w:r>
        <w:r w:rsidR="00960609">
          <w:rPr>
            <w:noProof/>
            <w:webHidden/>
          </w:rPr>
          <w:fldChar w:fldCharType="separate"/>
        </w:r>
        <w:r w:rsidR="00960609">
          <w:rPr>
            <w:noProof/>
            <w:webHidden/>
          </w:rPr>
          <w:t>93</w:t>
        </w:r>
        <w:r w:rsidR="00960609">
          <w:rPr>
            <w:noProof/>
            <w:webHidden/>
          </w:rPr>
          <w:fldChar w:fldCharType="end"/>
        </w:r>
      </w:hyperlink>
    </w:p>
    <w:p w14:paraId="67010101" w14:textId="1FC5145B" w:rsidR="00960609" w:rsidRDefault="00924E48">
      <w:pPr>
        <w:pStyle w:val="TableofFigures"/>
        <w:tabs>
          <w:tab w:val="right" w:leader="dot" w:pos="9350"/>
        </w:tabs>
        <w:rPr>
          <w:rFonts w:eastAsiaTheme="minorEastAsia"/>
          <w:noProof/>
          <w:szCs w:val="24"/>
        </w:rPr>
      </w:pPr>
      <w:hyperlink w:anchor="_Toc165641154" w:history="1">
        <w:r w:rsidR="00960609" w:rsidRPr="007550C4">
          <w:rPr>
            <w:rStyle w:val="Hyperlink"/>
            <w:noProof/>
          </w:rPr>
          <w:t xml:space="preserve">Figure 5.2: Average market price for aromatic chemicals from 2018-2023. The dashed blue line represents the approximate average for the price of BTX materials, around $3/gallon since 2018. Figure reproduced with permission from reference </w:t>
        </w:r>
        <w:r w:rsidR="00960609" w:rsidRPr="007550C4">
          <w:rPr>
            <w:rStyle w:val="Hyperlink"/>
            <w:rFonts w:ascii="Aptos" w:hAnsi="Aptos"/>
            <w:noProof/>
          </w:rPr>
          <w:t>[112]</w:t>
        </w:r>
        <w:r w:rsidR="00960609">
          <w:rPr>
            <w:noProof/>
            <w:webHidden/>
          </w:rPr>
          <w:tab/>
        </w:r>
        <w:r w:rsidR="00960609">
          <w:rPr>
            <w:noProof/>
            <w:webHidden/>
          </w:rPr>
          <w:fldChar w:fldCharType="begin"/>
        </w:r>
        <w:r w:rsidR="00960609">
          <w:rPr>
            <w:noProof/>
            <w:webHidden/>
          </w:rPr>
          <w:instrText xml:space="preserve"> PAGEREF _Toc165641154 \h </w:instrText>
        </w:r>
        <w:r w:rsidR="00960609">
          <w:rPr>
            <w:noProof/>
            <w:webHidden/>
          </w:rPr>
        </w:r>
        <w:r w:rsidR="00960609">
          <w:rPr>
            <w:noProof/>
            <w:webHidden/>
          </w:rPr>
          <w:fldChar w:fldCharType="separate"/>
        </w:r>
        <w:r w:rsidR="00960609">
          <w:rPr>
            <w:noProof/>
            <w:webHidden/>
          </w:rPr>
          <w:t>95</w:t>
        </w:r>
        <w:r w:rsidR="00960609">
          <w:rPr>
            <w:noProof/>
            <w:webHidden/>
          </w:rPr>
          <w:fldChar w:fldCharType="end"/>
        </w:r>
      </w:hyperlink>
    </w:p>
    <w:p w14:paraId="2C9081FE" w14:textId="40DB12FC" w:rsidR="00960609" w:rsidRDefault="00924E48">
      <w:pPr>
        <w:pStyle w:val="TableofFigures"/>
        <w:tabs>
          <w:tab w:val="right" w:leader="dot" w:pos="9350"/>
        </w:tabs>
        <w:rPr>
          <w:rFonts w:eastAsiaTheme="minorEastAsia"/>
          <w:noProof/>
          <w:szCs w:val="24"/>
        </w:rPr>
      </w:pPr>
      <w:hyperlink w:anchor="_Toc165641155" w:history="1">
        <w:r w:rsidR="00960609" w:rsidRPr="007550C4">
          <w:rPr>
            <w:rStyle w:val="Hyperlink"/>
            <w:noProof/>
          </w:rPr>
          <w:t>Figure 5.3: Techno-economic analysis of potential stranded gas monetization technologies; Possible options available for different sources (left); the impact of oil and gas prices on the feasibility of GTL technologies (right)</w:t>
        </w:r>
        <w:r w:rsidR="00960609">
          <w:rPr>
            <w:noProof/>
            <w:webHidden/>
          </w:rPr>
          <w:tab/>
        </w:r>
        <w:r w:rsidR="00960609">
          <w:rPr>
            <w:noProof/>
            <w:webHidden/>
          </w:rPr>
          <w:fldChar w:fldCharType="begin"/>
        </w:r>
        <w:r w:rsidR="00960609">
          <w:rPr>
            <w:noProof/>
            <w:webHidden/>
          </w:rPr>
          <w:instrText xml:space="preserve"> PAGEREF _Toc165641155 \h </w:instrText>
        </w:r>
        <w:r w:rsidR="00960609">
          <w:rPr>
            <w:noProof/>
            <w:webHidden/>
          </w:rPr>
        </w:r>
        <w:r w:rsidR="00960609">
          <w:rPr>
            <w:noProof/>
            <w:webHidden/>
          </w:rPr>
          <w:fldChar w:fldCharType="separate"/>
        </w:r>
        <w:r w:rsidR="00960609">
          <w:rPr>
            <w:noProof/>
            <w:webHidden/>
          </w:rPr>
          <w:t>99</w:t>
        </w:r>
        <w:r w:rsidR="00960609">
          <w:rPr>
            <w:noProof/>
            <w:webHidden/>
          </w:rPr>
          <w:fldChar w:fldCharType="end"/>
        </w:r>
      </w:hyperlink>
    </w:p>
    <w:p w14:paraId="3ED7C610" w14:textId="28B45539" w:rsidR="00960609" w:rsidRDefault="00924E48">
      <w:pPr>
        <w:pStyle w:val="TableofFigures"/>
        <w:tabs>
          <w:tab w:val="right" w:leader="dot" w:pos="9350"/>
        </w:tabs>
        <w:rPr>
          <w:rFonts w:eastAsiaTheme="minorEastAsia"/>
          <w:noProof/>
          <w:szCs w:val="24"/>
        </w:rPr>
      </w:pPr>
      <w:hyperlink w:anchor="_Toc165641156" w:history="1">
        <w:r w:rsidR="00960609" w:rsidRPr="007550C4">
          <w:rPr>
            <w:rStyle w:val="Hyperlink"/>
            <w:noProof/>
          </w:rPr>
          <w:t>Figure 5.4: Intended oil-to-gas price ratios, adjusted for the suggested technology</w:t>
        </w:r>
        <w:r w:rsidR="00960609">
          <w:rPr>
            <w:noProof/>
            <w:webHidden/>
          </w:rPr>
          <w:tab/>
        </w:r>
        <w:r w:rsidR="00960609">
          <w:rPr>
            <w:noProof/>
            <w:webHidden/>
          </w:rPr>
          <w:fldChar w:fldCharType="begin"/>
        </w:r>
        <w:r w:rsidR="00960609">
          <w:rPr>
            <w:noProof/>
            <w:webHidden/>
          </w:rPr>
          <w:instrText xml:space="preserve"> PAGEREF _Toc165641156 \h </w:instrText>
        </w:r>
        <w:r w:rsidR="00960609">
          <w:rPr>
            <w:noProof/>
            <w:webHidden/>
          </w:rPr>
        </w:r>
        <w:r w:rsidR="00960609">
          <w:rPr>
            <w:noProof/>
            <w:webHidden/>
          </w:rPr>
          <w:fldChar w:fldCharType="separate"/>
        </w:r>
        <w:r w:rsidR="00960609">
          <w:rPr>
            <w:noProof/>
            <w:webHidden/>
          </w:rPr>
          <w:t>100</w:t>
        </w:r>
        <w:r w:rsidR="00960609">
          <w:rPr>
            <w:noProof/>
            <w:webHidden/>
          </w:rPr>
          <w:fldChar w:fldCharType="end"/>
        </w:r>
      </w:hyperlink>
    </w:p>
    <w:p w14:paraId="76D63704" w14:textId="789EADC7" w:rsidR="00960609" w:rsidRDefault="00924E48">
      <w:pPr>
        <w:pStyle w:val="TableofFigures"/>
        <w:tabs>
          <w:tab w:val="right" w:leader="dot" w:pos="9350"/>
        </w:tabs>
        <w:rPr>
          <w:rFonts w:eastAsiaTheme="minorEastAsia"/>
          <w:noProof/>
          <w:szCs w:val="24"/>
        </w:rPr>
      </w:pPr>
      <w:hyperlink w:anchor="_Toc165641157" w:history="1">
        <w:r w:rsidR="00960609" w:rsidRPr="007550C4">
          <w:rPr>
            <w:rStyle w:val="Hyperlink"/>
            <w:noProof/>
          </w:rPr>
          <w:t xml:space="preserve">Figure 5.5: Construction Cost Data for Natural Gas Power Generators in 2020.  </w:t>
        </w:r>
        <w:r w:rsidR="00960609" w:rsidRPr="007550C4">
          <w:rPr>
            <w:rStyle w:val="Hyperlink"/>
            <w:rFonts w:ascii="Aptos" w:hAnsi="Aptos"/>
            <w:noProof/>
          </w:rPr>
          <w:t>[121]</w:t>
        </w:r>
        <w:r w:rsidR="00960609">
          <w:rPr>
            <w:noProof/>
            <w:webHidden/>
          </w:rPr>
          <w:tab/>
        </w:r>
        <w:r w:rsidR="00960609">
          <w:rPr>
            <w:noProof/>
            <w:webHidden/>
          </w:rPr>
          <w:fldChar w:fldCharType="begin"/>
        </w:r>
        <w:r w:rsidR="00960609">
          <w:rPr>
            <w:noProof/>
            <w:webHidden/>
          </w:rPr>
          <w:instrText xml:space="preserve"> PAGEREF _Toc165641157 \h </w:instrText>
        </w:r>
        <w:r w:rsidR="00960609">
          <w:rPr>
            <w:noProof/>
            <w:webHidden/>
          </w:rPr>
        </w:r>
        <w:r w:rsidR="00960609">
          <w:rPr>
            <w:noProof/>
            <w:webHidden/>
          </w:rPr>
          <w:fldChar w:fldCharType="separate"/>
        </w:r>
        <w:r w:rsidR="00960609">
          <w:rPr>
            <w:noProof/>
            <w:webHidden/>
          </w:rPr>
          <w:t>101</w:t>
        </w:r>
        <w:r w:rsidR="00960609">
          <w:rPr>
            <w:noProof/>
            <w:webHidden/>
          </w:rPr>
          <w:fldChar w:fldCharType="end"/>
        </w:r>
      </w:hyperlink>
    </w:p>
    <w:p w14:paraId="1309812D" w14:textId="1770CB9E" w:rsidR="00960609" w:rsidRDefault="00924E48">
      <w:pPr>
        <w:pStyle w:val="TableofFigures"/>
        <w:tabs>
          <w:tab w:val="right" w:leader="dot" w:pos="9350"/>
        </w:tabs>
        <w:rPr>
          <w:rFonts w:eastAsiaTheme="minorEastAsia"/>
          <w:noProof/>
          <w:szCs w:val="24"/>
        </w:rPr>
      </w:pPr>
      <w:hyperlink w:anchor="_Toc165641158" w:history="1">
        <w:r w:rsidR="00960609" w:rsidRPr="007550C4">
          <w:rPr>
            <w:rStyle w:val="Hyperlink"/>
            <w:noProof/>
          </w:rPr>
          <w:t>Figure 5.6: Alternative energy production routes featuring yearly O&amp;M costs (on top) and system-level capital costs (on bottom)</w:t>
        </w:r>
        <w:r w:rsidR="00960609">
          <w:rPr>
            <w:noProof/>
            <w:webHidden/>
          </w:rPr>
          <w:tab/>
        </w:r>
        <w:r w:rsidR="00960609">
          <w:rPr>
            <w:noProof/>
            <w:webHidden/>
          </w:rPr>
          <w:fldChar w:fldCharType="begin"/>
        </w:r>
        <w:r w:rsidR="00960609">
          <w:rPr>
            <w:noProof/>
            <w:webHidden/>
          </w:rPr>
          <w:instrText xml:space="preserve"> PAGEREF _Toc165641158 \h </w:instrText>
        </w:r>
        <w:r w:rsidR="00960609">
          <w:rPr>
            <w:noProof/>
            <w:webHidden/>
          </w:rPr>
        </w:r>
        <w:r w:rsidR="00960609">
          <w:rPr>
            <w:noProof/>
            <w:webHidden/>
          </w:rPr>
          <w:fldChar w:fldCharType="separate"/>
        </w:r>
        <w:r w:rsidR="00960609">
          <w:rPr>
            <w:noProof/>
            <w:webHidden/>
          </w:rPr>
          <w:t>102</w:t>
        </w:r>
        <w:r w:rsidR="00960609">
          <w:rPr>
            <w:noProof/>
            <w:webHidden/>
          </w:rPr>
          <w:fldChar w:fldCharType="end"/>
        </w:r>
      </w:hyperlink>
    </w:p>
    <w:p w14:paraId="6EAD6466" w14:textId="3D7A3F4F" w:rsidR="00960609" w:rsidRDefault="00924E48">
      <w:pPr>
        <w:pStyle w:val="TableofFigures"/>
        <w:tabs>
          <w:tab w:val="right" w:leader="dot" w:pos="9350"/>
        </w:tabs>
        <w:rPr>
          <w:rFonts w:eastAsiaTheme="minorEastAsia"/>
          <w:noProof/>
          <w:szCs w:val="24"/>
        </w:rPr>
      </w:pPr>
      <w:hyperlink w:anchor="_Toc165641159" w:history="1">
        <w:r w:rsidR="00960609" w:rsidRPr="007550C4">
          <w:rPr>
            <w:rStyle w:val="Hyperlink"/>
            <w:noProof/>
          </w:rPr>
          <w:t xml:space="preserve">Figure 5.7: Comparison of conversion rates across the GTL industry. The slashed red area represents the net conversion rate for FTS after the initial 90% conversion is processed </w:t>
        </w:r>
        <w:r w:rsidR="00960609" w:rsidRPr="007550C4">
          <w:rPr>
            <w:rStyle w:val="Hyperlink"/>
            <w:noProof/>
          </w:rPr>
          <w:lastRenderedPageBreak/>
          <w:t>again to a final product. The slashed blue area represents the improvements shown by the model developed in this study compared to the industry standard.</w:t>
        </w:r>
        <w:r w:rsidR="00960609">
          <w:rPr>
            <w:noProof/>
            <w:webHidden/>
          </w:rPr>
          <w:tab/>
        </w:r>
        <w:r w:rsidR="00960609">
          <w:rPr>
            <w:noProof/>
            <w:webHidden/>
          </w:rPr>
          <w:fldChar w:fldCharType="begin"/>
        </w:r>
        <w:r w:rsidR="00960609">
          <w:rPr>
            <w:noProof/>
            <w:webHidden/>
          </w:rPr>
          <w:instrText xml:space="preserve"> PAGEREF _Toc165641159 \h </w:instrText>
        </w:r>
        <w:r w:rsidR="00960609">
          <w:rPr>
            <w:noProof/>
            <w:webHidden/>
          </w:rPr>
        </w:r>
        <w:r w:rsidR="00960609">
          <w:rPr>
            <w:noProof/>
            <w:webHidden/>
          </w:rPr>
          <w:fldChar w:fldCharType="separate"/>
        </w:r>
        <w:r w:rsidR="00960609">
          <w:rPr>
            <w:noProof/>
            <w:webHidden/>
          </w:rPr>
          <w:t>105</w:t>
        </w:r>
        <w:r w:rsidR="00960609">
          <w:rPr>
            <w:noProof/>
            <w:webHidden/>
          </w:rPr>
          <w:fldChar w:fldCharType="end"/>
        </w:r>
      </w:hyperlink>
    </w:p>
    <w:p w14:paraId="0CF1A115" w14:textId="69364AE8" w:rsidR="00960609" w:rsidRDefault="00924E48">
      <w:pPr>
        <w:pStyle w:val="TableofFigures"/>
        <w:tabs>
          <w:tab w:val="right" w:leader="dot" w:pos="9350"/>
        </w:tabs>
        <w:rPr>
          <w:rFonts w:eastAsiaTheme="minorEastAsia"/>
          <w:noProof/>
          <w:szCs w:val="24"/>
        </w:rPr>
      </w:pPr>
      <w:hyperlink w:anchor="_Toc165641160" w:history="1">
        <w:r w:rsidR="00960609" w:rsidRPr="007550C4">
          <w:rPr>
            <w:rStyle w:val="Hyperlink"/>
            <w:noProof/>
          </w:rPr>
          <w:t>Figure 5.8: Space velocity effect on operational profit margins</w:t>
        </w:r>
        <w:r w:rsidR="00960609">
          <w:rPr>
            <w:noProof/>
            <w:webHidden/>
          </w:rPr>
          <w:tab/>
        </w:r>
        <w:r w:rsidR="00960609">
          <w:rPr>
            <w:noProof/>
            <w:webHidden/>
          </w:rPr>
          <w:fldChar w:fldCharType="begin"/>
        </w:r>
        <w:r w:rsidR="00960609">
          <w:rPr>
            <w:noProof/>
            <w:webHidden/>
          </w:rPr>
          <w:instrText xml:space="preserve"> PAGEREF _Toc165641160 \h </w:instrText>
        </w:r>
        <w:r w:rsidR="00960609">
          <w:rPr>
            <w:noProof/>
            <w:webHidden/>
          </w:rPr>
        </w:r>
        <w:r w:rsidR="00960609">
          <w:rPr>
            <w:noProof/>
            <w:webHidden/>
          </w:rPr>
          <w:fldChar w:fldCharType="separate"/>
        </w:r>
        <w:r w:rsidR="00960609">
          <w:rPr>
            <w:noProof/>
            <w:webHidden/>
          </w:rPr>
          <w:t>112</w:t>
        </w:r>
        <w:r w:rsidR="00960609">
          <w:rPr>
            <w:noProof/>
            <w:webHidden/>
          </w:rPr>
          <w:fldChar w:fldCharType="end"/>
        </w:r>
      </w:hyperlink>
    </w:p>
    <w:p w14:paraId="2CBD5834" w14:textId="5D72929D" w:rsidR="00960609" w:rsidRDefault="00924E48">
      <w:pPr>
        <w:pStyle w:val="TableofFigures"/>
        <w:tabs>
          <w:tab w:val="right" w:leader="dot" w:pos="9350"/>
        </w:tabs>
        <w:rPr>
          <w:rFonts w:eastAsiaTheme="minorEastAsia"/>
          <w:noProof/>
          <w:szCs w:val="24"/>
        </w:rPr>
      </w:pPr>
      <w:hyperlink w:anchor="_Toc165641161" w:history="1">
        <w:r w:rsidR="00960609" w:rsidRPr="007550C4">
          <w:rPr>
            <w:rStyle w:val="Hyperlink"/>
            <w:noProof/>
          </w:rPr>
          <w:t>Figure 5.9: Cumulative net profits by years of operation</w:t>
        </w:r>
        <w:r w:rsidR="00960609">
          <w:rPr>
            <w:noProof/>
            <w:webHidden/>
          </w:rPr>
          <w:tab/>
        </w:r>
        <w:r w:rsidR="00960609">
          <w:rPr>
            <w:noProof/>
            <w:webHidden/>
          </w:rPr>
          <w:fldChar w:fldCharType="begin"/>
        </w:r>
        <w:r w:rsidR="00960609">
          <w:rPr>
            <w:noProof/>
            <w:webHidden/>
          </w:rPr>
          <w:instrText xml:space="preserve"> PAGEREF _Toc165641161 \h </w:instrText>
        </w:r>
        <w:r w:rsidR="00960609">
          <w:rPr>
            <w:noProof/>
            <w:webHidden/>
          </w:rPr>
        </w:r>
        <w:r w:rsidR="00960609">
          <w:rPr>
            <w:noProof/>
            <w:webHidden/>
          </w:rPr>
          <w:fldChar w:fldCharType="separate"/>
        </w:r>
        <w:r w:rsidR="00960609">
          <w:rPr>
            <w:noProof/>
            <w:webHidden/>
          </w:rPr>
          <w:t>113</w:t>
        </w:r>
        <w:r w:rsidR="00960609">
          <w:rPr>
            <w:noProof/>
            <w:webHidden/>
          </w:rPr>
          <w:fldChar w:fldCharType="end"/>
        </w:r>
      </w:hyperlink>
    </w:p>
    <w:p w14:paraId="76ED97DB" w14:textId="450DB172" w:rsidR="00960609" w:rsidRDefault="00924E48">
      <w:pPr>
        <w:pStyle w:val="TableofFigures"/>
        <w:tabs>
          <w:tab w:val="right" w:leader="dot" w:pos="9350"/>
        </w:tabs>
        <w:rPr>
          <w:rFonts w:eastAsiaTheme="minorEastAsia"/>
          <w:noProof/>
          <w:szCs w:val="24"/>
        </w:rPr>
      </w:pPr>
      <w:hyperlink w:anchor="_Toc165641162" w:history="1">
        <w:r w:rsidR="00960609" w:rsidRPr="007550C4">
          <w:rPr>
            <w:rStyle w:val="Hyperlink"/>
            <w:noProof/>
          </w:rPr>
          <w:t xml:space="preserve">Figure 5.10: Impact of manufacturing cost on the breakeven year of the PCFC system. The dashed lines reference the manufacturing cost estimations from Dubois et al. </w:t>
        </w:r>
        <w:r w:rsidR="00960609" w:rsidRPr="007550C4">
          <w:rPr>
            <w:rStyle w:val="Hyperlink"/>
            <w:rFonts w:ascii="Aptos" w:hAnsi="Aptos"/>
            <w:noProof/>
          </w:rPr>
          <w:t>[20]</w:t>
        </w:r>
        <w:r w:rsidR="00960609" w:rsidRPr="007550C4">
          <w:rPr>
            <w:rStyle w:val="Hyperlink"/>
            <w:noProof/>
          </w:rPr>
          <w:t xml:space="preserve"> and O’Hayre et al. </w:t>
        </w:r>
        <w:r w:rsidR="00960609" w:rsidRPr="007550C4">
          <w:rPr>
            <w:rStyle w:val="Hyperlink"/>
            <w:rFonts w:ascii="Aptos" w:hAnsi="Aptos"/>
            <w:noProof/>
          </w:rPr>
          <w:t>[132]</w:t>
        </w:r>
        <w:r w:rsidR="00960609" w:rsidRPr="007550C4">
          <w:rPr>
            <w:rStyle w:val="Hyperlink"/>
            <w:noProof/>
          </w:rPr>
          <w:t xml:space="preserve"> for 2017 and 2021, respectively</w:t>
        </w:r>
        <w:r w:rsidR="00960609">
          <w:rPr>
            <w:noProof/>
            <w:webHidden/>
          </w:rPr>
          <w:tab/>
        </w:r>
        <w:r w:rsidR="00960609">
          <w:rPr>
            <w:noProof/>
            <w:webHidden/>
          </w:rPr>
          <w:fldChar w:fldCharType="begin"/>
        </w:r>
        <w:r w:rsidR="00960609">
          <w:rPr>
            <w:noProof/>
            <w:webHidden/>
          </w:rPr>
          <w:instrText xml:space="preserve"> PAGEREF _Toc165641162 \h </w:instrText>
        </w:r>
        <w:r w:rsidR="00960609">
          <w:rPr>
            <w:noProof/>
            <w:webHidden/>
          </w:rPr>
        </w:r>
        <w:r w:rsidR="00960609">
          <w:rPr>
            <w:noProof/>
            <w:webHidden/>
          </w:rPr>
          <w:fldChar w:fldCharType="separate"/>
        </w:r>
        <w:r w:rsidR="00960609">
          <w:rPr>
            <w:noProof/>
            <w:webHidden/>
          </w:rPr>
          <w:t>115</w:t>
        </w:r>
        <w:r w:rsidR="00960609">
          <w:rPr>
            <w:noProof/>
            <w:webHidden/>
          </w:rPr>
          <w:fldChar w:fldCharType="end"/>
        </w:r>
      </w:hyperlink>
    </w:p>
    <w:p w14:paraId="13E7AC04" w14:textId="494C714E" w:rsidR="00960609" w:rsidRDefault="00924E48">
      <w:pPr>
        <w:pStyle w:val="TableofFigures"/>
        <w:tabs>
          <w:tab w:val="right" w:leader="dot" w:pos="9350"/>
        </w:tabs>
        <w:rPr>
          <w:rFonts w:eastAsiaTheme="minorEastAsia"/>
          <w:noProof/>
          <w:szCs w:val="24"/>
        </w:rPr>
      </w:pPr>
      <w:hyperlink w:anchor="_Toc165641163" w:history="1">
        <w:r w:rsidR="00960609" w:rsidRPr="007550C4">
          <w:rPr>
            <w:rStyle w:val="Hyperlink"/>
            <w:noProof/>
          </w:rPr>
          <w:t>Figure 5.11: Effect of distance to market on transportation costs</w:t>
        </w:r>
        <w:r w:rsidR="00960609">
          <w:rPr>
            <w:noProof/>
            <w:webHidden/>
          </w:rPr>
          <w:tab/>
        </w:r>
        <w:r w:rsidR="00960609">
          <w:rPr>
            <w:noProof/>
            <w:webHidden/>
          </w:rPr>
          <w:fldChar w:fldCharType="begin"/>
        </w:r>
        <w:r w:rsidR="00960609">
          <w:rPr>
            <w:noProof/>
            <w:webHidden/>
          </w:rPr>
          <w:instrText xml:space="preserve"> PAGEREF _Toc165641163 \h </w:instrText>
        </w:r>
        <w:r w:rsidR="00960609">
          <w:rPr>
            <w:noProof/>
            <w:webHidden/>
          </w:rPr>
        </w:r>
        <w:r w:rsidR="00960609">
          <w:rPr>
            <w:noProof/>
            <w:webHidden/>
          </w:rPr>
          <w:fldChar w:fldCharType="separate"/>
        </w:r>
        <w:r w:rsidR="00960609">
          <w:rPr>
            <w:noProof/>
            <w:webHidden/>
          </w:rPr>
          <w:t>116</w:t>
        </w:r>
        <w:r w:rsidR="00960609">
          <w:rPr>
            <w:noProof/>
            <w:webHidden/>
          </w:rPr>
          <w:fldChar w:fldCharType="end"/>
        </w:r>
      </w:hyperlink>
    </w:p>
    <w:p w14:paraId="219F5CB8" w14:textId="39BEC7E1" w:rsidR="00737393" w:rsidRDefault="0079112E">
      <w:pPr>
        <w:spacing w:after="160" w:line="259" w:lineRule="auto"/>
        <w:ind w:firstLine="0"/>
      </w:pPr>
      <w:r>
        <w:fldChar w:fldCharType="end"/>
      </w:r>
      <w:r w:rsidR="00737393">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2"/>
        <w:gridCol w:w="5399"/>
        <w:gridCol w:w="1919"/>
      </w:tblGrid>
      <w:tr w:rsidR="00930038" w:rsidRPr="00930038" w14:paraId="33ABCD81" w14:textId="77777777" w:rsidTr="00AF2E14">
        <w:tc>
          <w:tcPr>
            <w:tcW w:w="9350" w:type="dxa"/>
            <w:gridSpan w:val="3"/>
            <w:vAlign w:val="center"/>
          </w:tcPr>
          <w:p w14:paraId="1E6F6CC0" w14:textId="08A33432" w:rsidR="00930038" w:rsidRPr="00930038" w:rsidRDefault="00930038" w:rsidP="00930038">
            <w:pPr>
              <w:pStyle w:val="Heading1"/>
            </w:pPr>
            <w:bookmarkStart w:id="0" w:name="_Toc165641038"/>
            <w:r w:rsidRPr="00930038">
              <w:lastRenderedPageBreak/>
              <w:t>Abbreviations</w:t>
            </w:r>
            <w:bookmarkEnd w:id="0"/>
          </w:p>
        </w:tc>
      </w:tr>
      <w:tr w:rsidR="0042713B" w:rsidRPr="00930038" w14:paraId="3C61B4F7" w14:textId="77777777" w:rsidTr="003137BE">
        <w:tc>
          <w:tcPr>
            <w:tcW w:w="1874" w:type="dxa"/>
            <w:vAlign w:val="center"/>
          </w:tcPr>
          <w:p w14:paraId="347A1671" w14:textId="7FE053F1" w:rsidR="0022398E" w:rsidRPr="0042713B" w:rsidRDefault="0043595D" w:rsidP="00166431">
            <w:pPr>
              <w:spacing w:line="240" w:lineRule="auto"/>
              <w:rPr>
                <w:b/>
                <w:bCs/>
              </w:rPr>
            </w:pPr>
            <w:r w:rsidRPr="0042713B">
              <w:rPr>
                <w:b/>
                <w:bCs/>
              </w:rPr>
              <w:t>Term</w:t>
            </w:r>
          </w:p>
        </w:tc>
        <w:tc>
          <w:tcPr>
            <w:tcW w:w="5535" w:type="dxa"/>
            <w:vAlign w:val="center"/>
          </w:tcPr>
          <w:p w14:paraId="4ABBC0AC" w14:textId="66D60A75" w:rsidR="0022398E" w:rsidRPr="0042713B" w:rsidRDefault="0043595D" w:rsidP="00166431">
            <w:pPr>
              <w:spacing w:line="240" w:lineRule="auto"/>
              <w:rPr>
                <w:b/>
                <w:bCs/>
              </w:rPr>
            </w:pPr>
            <w:r w:rsidRPr="0042713B">
              <w:rPr>
                <w:b/>
                <w:bCs/>
              </w:rPr>
              <w:t>Name</w:t>
            </w:r>
          </w:p>
        </w:tc>
        <w:tc>
          <w:tcPr>
            <w:tcW w:w="1941" w:type="dxa"/>
            <w:vAlign w:val="center"/>
          </w:tcPr>
          <w:p w14:paraId="1FDB553C" w14:textId="42B6D458" w:rsidR="0022398E" w:rsidRPr="0042713B" w:rsidRDefault="0043595D" w:rsidP="0042713B">
            <w:pPr>
              <w:spacing w:line="240" w:lineRule="auto"/>
              <w:ind w:firstLine="0"/>
              <w:jc w:val="left"/>
              <w:rPr>
                <w:b/>
                <w:bCs/>
              </w:rPr>
            </w:pPr>
            <w:r w:rsidRPr="0042713B">
              <w:rPr>
                <w:b/>
                <w:bCs/>
              </w:rPr>
              <w:t>Units</w:t>
            </w:r>
            <w:r w:rsidR="006D45A5" w:rsidRPr="0042713B">
              <w:rPr>
                <w:b/>
                <w:bCs/>
              </w:rPr>
              <w:t xml:space="preserve"> (if applicable)</w:t>
            </w:r>
          </w:p>
        </w:tc>
      </w:tr>
      <w:tr w:rsidR="0042713B" w:rsidRPr="00930038" w14:paraId="267C67B1" w14:textId="77777777" w:rsidTr="003137BE">
        <w:tc>
          <w:tcPr>
            <w:tcW w:w="1874" w:type="dxa"/>
            <w:vAlign w:val="center"/>
          </w:tcPr>
          <w:p w14:paraId="0B683D3A" w14:textId="3A9A4D38" w:rsidR="0022398E" w:rsidRPr="0042713B" w:rsidRDefault="0043595D" w:rsidP="00166431">
            <w:pPr>
              <w:spacing w:line="240" w:lineRule="auto"/>
              <w:rPr>
                <w:i/>
                <w:iCs/>
              </w:rPr>
            </w:pPr>
            <w:r w:rsidRPr="0042713B">
              <w:rPr>
                <w:i/>
                <w:iCs/>
              </w:rPr>
              <w:t>Acronyms</w:t>
            </w:r>
          </w:p>
        </w:tc>
        <w:tc>
          <w:tcPr>
            <w:tcW w:w="5535" w:type="dxa"/>
            <w:vAlign w:val="center"/>
          </w:tcPr>
          <w:p w14:paraId="39019736" w14:textId="77777777" w:rsidR="0022398E" w:rsidRPr="0042713B" w:rsidRDefault="0022398E" w:rsidP="00166431">
            <w:pPr>
              <w:spacing w:line="240" w:lineRule="auto"/>
              <w:rPr>
                <w:b/>
                <w:bCs/>
              </w:rPr>
            </w:pPr>
          </w:p>
        </w:tc>
        <w:tc>
          <w:tcPr>
            <w:tcW w:w="1941" w:type="dxa"/>
            <w:vAlign w:val="center"/>
          </w:tcPr>
          <w:p w14:paraId="0D12D4DA" w14:textId="77777777" w:rsidR="0022398E" w:rsidRPr="0042713B" w:rsidRDefault="0022398E" w:rsidP="00166431">
            <w:pPr>
              <w:spacing w:line="240" w:lineRule="auto"/>
              <w:rPr>
                <w:b/>
                <w:bCs/>
              </w:rPr>
            </w:pPr>
          </w:p>
        </w:tc>
      </w:tr>
      <w:tr w:rsidR="003137BE" w:rsidRPr="00930038" w14:paraId="24A08F51" w14:textId="77777777" w:rsidTr="003137BE">
        <w:tc>
          <w:tcPr>
            <w:tcW w:w="1874" w:type="dxa"/>
            <w:vAlign w:val="center"/>
          </w:tcPr>
          <w:p w14:paraId="35E1EB3F" w14:textId="17EC685B" w:rsidR="00C15F7A" w:rsidRPr="0042713B" w:rsidRDefault="00C15F7A" w:rsidP="00166431">
            <w:pPr>
              <w:spacing w:line="240" w:lineRule="auto"/>
            </w:pPr>
            <w:r w:rsidRPr="0042713B">
              <w:t>Bcf/d</w:t>
            </w:r>
          </w:p>
        </w:tc>
        <w:tc>
          <w:tcPr>
            <w:tcW w:w="5535" w:type="dxa"/>
            <w:vAlign w:val="center"/>
          </w:tcPr>
          <w:p w14:paraId="370AA348" w14:textId="1B43B433" w:rsidR="00C15F7A" w:rsidRPr="0042713B" w:rsidRDefault="00C15F7A" w:rsidP="00166431">
            <w:pPr>
              <w:spacing w:line="240" w:lineRule="auto"/>
            </w:pPr>
            <w:r w:rsidRPr="0042713B">
              <w:t>Billion Cubic Feet per Day</w:t>
            </w:r>
          </w:p>
        </w:tc>
        <w:tc>
          <w:tcPr>
            <w:tcW w:w="1941" w:type="dxa"/>
            <w:vAlign w:val="center"/>
          </w:tcPr>
          <w:p w14:paraId="2E26E15E" w14:textId="77777777" w:rsidR="00C15F7A" w:rsidRPr="0042713B" w:rsidRDefault="00C15F7A" w:rsidP="00166431">
            <w:pPr>
              <w:spacing w:line="240" w:lineRule="auto"/>
              <w:rPr>
                <w:b/>
                <w:bCs/>
                <w:i/>
                <w:iCs/>
              </w:rPr>
            </w:pPr>
          </w:p>
        </w:tc>
      </w:tr>
      <w:tr w:rsidR="003137BE" w:rsidRPr="00930038" w14:paraId="10882768" w14:textId="77777777" w:rsidTr="003137BE">
        <w:tc>
          <w:tcPr>
            <w:tcW w:w="1874" w:type="dxa"/>
            <w:vAlign w:val="center"/>
          </w:tcPr>
          <w:p w14:paraId="3E8CE3DB" w14:textId="324E3C3D" w:rsidR="00CE2219" w:rsidRPr="0042713B" w:rsidRDefault="00CE2219" w:rsidP="00166431">
            <w:pPr>
              <w:spacing w:line="240" w:lineRule="auto"/>
            </w:pPr>
            <w:r w:rsidRPr="0042713B">
              <w:t>BTX</w:t>
            </w:r>
          </w:p>
        </w:tc>
        <w:tc>
          <w:tcPr>
            <w:tcW w:w="5535" w:type="dxa"/>
            <w:vAlign w:val="center"/>
          </w:tcPr>
          <w:p w14:paraId="3E0E2BB0" w14:textId="3233A7AB" w:rsidR="00CE2219" w:rsidRPr="0042713B" w:rsidRDefault="00CE2219" w:rsidP="00166431">
            <w:pPr>
              <w:spacing w:line="240" w:lineRule="auto"/>
            </w:pPr>
            <w:r w:rsidRPr="0042713B">
              <w:t>Benzene</w:t>
            </w:r>
            <w:r w:rsidR="00E9341D" w:rsidRPr="0042713B">
              <w:t>, Toluene, Xylene</w:t>
            </w:r>
          </w:p>
        </w:tc>
        <w:tc>
          <w:tcPr>
            <w:tcW w:w="1941" w:type="dxa"/>
            <w:vAlign w:val="center"/>
          </w:tcPr>
          <w:p w14:paraId="40AEE4B1" w14:textId="77777777" w:rsidR="00CE2219" w:rsidRPr="0042713B" w:rsidRDefault="00CE2219" w:rsidP="00166431">
            <w:pPr>
              <w:spacing w:line="240" w:lineRule="auto"/>
              <w:rPr>
                <w:b/>
                <w:bCs/>
                <w:i/>
                <w:iCs/>
              </w:rPr>
            </w:pPr>
          </w:p>
        </w:tc>
      </w:tr>
      <w:tr w:rsidR="003137BE" w:rsidRPr="00930038" w14:paraId="553C0794" w14:textId="77777777" w:rsidTr="003137BE">
        <w:tc>
          <w:tcPr>
            <w:tcW w:w="1874" w:type="dxa"/>
            <w:vAlign w:val="center"/>
          </w:tcPr>
          <w:p w14:paraId="0A75230B" w14:textId="344AD40C" w:rsidR="00E9341D" w:rsidRPr="0042713B" w:rsidRDefault="00E9341D" w:rsidP="00166431">
            <w:pPr>
              <w:spacing w:line="240" w:lineRule="auto"/>
            </w:pPr>
            <w:r w:rsidRPr="0042713B">
              <w:t>CDC</w:t>
            </w:r>
          </w:p>
        </w:tc>
        <w:tc>
          <w:tcPr>
            <w:tcW w:w="5535" w:type="dxa"/>
            <w:vAlign w:val="center"/>
          </w:tcPr>
          <w:p w14:paraId="4ACE0D40" w14:textId="0241ED3F" w:rsidR="00E9341D" w:rsidRPr="0042713B" w:rsidRDefault="00E9341D" w:rsidP="00166431">
            <w:pPr>
              <w:spacing w:line="240" w:lineRule="auto"/>
            </w:pPr>
            <w:r w:rsidRPr="0042713B">
              <w:t>Center for Disease Control and Prevention</w:t>
            </w:r>
          </w:p>
        </w:tc>
        <w:tc>
          <w:tcPr>
            <w:tcW w:w="1941" w:type="dxa"/>
            <w:vAlign w:val="center"/>
          </w:tcPr>
          <w:p w14:paraId="5DDF2930" w14:textId="77777777" w:rsidR="00E9341D" w:rsidRPr="0042713B" w:rsidRDefault="00E9341D" w:rsidP="00166431">
            <w:pPr>
              <w:spacing w:line="240" w:lineRule="auto"/>
              <w:rPr>
                <w:b/>
                <w:bCs/>
                <w:i/>
                <w:iCs/>
              </w:rPr>
            </w:pPr>
          </w:p>
        </w:tc>
      </w:tr>
      <w:tr w:rsidR="003137BE" w:rsidRPr="00930038" w14:paraId="3013B70C" w14:textId="77777777" w:rsidTr="003137BE">
        <w:tc>
          <w:tcPr>
            <w:tcW w:w="1874" w:type="dxa"/>
            <w:vAlign w:val="center"/>
          </w:tcPr>
          <w:p w14:paraId="67DE0597" w14:textId="463898EE" w:rsidR="00962407" w:rsidRPr="0042713B" w:rsidRDefault="00962407" w:rsidP="00166431">
            <w:pPr>
              <w:spacing w:line="240" w:lineRule="auto"/>
            </w:pPr>
            <w:r w:rsidRPr="0042713B">
              <w:t>CTE</w:t>
            </w:r>
          </w:p>
        </w:tc>
        <w:tc>
          <w:tcPr>
            <w:tcW w:w="5535" w:type="dxa"/>
            <w:vAlign w:val="center"/>
          </w:tcPr>
          <w:p w14:paraId="4B89586F" w14:textId="02436957" w:rsidR="00962407" w:rsidRPr="0042713B" w:rsidRDefault="00962407" w:rsidP="00166431">
            <w:pPr>
              <w:spacing w:line="240" w:lineRule="auto"/>
            </w:pPr>
            <w:r w:rsidRPr="0042713B">
              <w:t>Coefficient of Thermal Expansion</w:t>
            </w:r>
          </w:p>
        </w:tc>
        <w:tc>
          <w:tcPr>
            <w:tcW w:w="1941" w:type="dxa"/>
            <w:vAlign w:val="center"/>
          </w:tcPr>
          <w:p w14:paraId="6F126759" w14:textId="77777777" w:rsidR="00962407" w:rsidRPr="0042713B" w:rsidRDefault="00962407" w:rsidP="00166431">
            <w:pPr>
              <w:spacing w:line="240" w:lineRule="auto"/>
              <w:rPr>
                <w:b/>
                <w:bCs/>
                <w:i/>
                <w:iCs/>
              </w:rPr>
            </w:pPr>
          </w:p>
        </w:tc>
      </w:tr>
      <w:tr w:rsidR="003137BE" w:rsidRPr="00930038" w14:paraId="43CF73EB" w14:textId="77777777" w:rsidTr="003137BE">
        <w:tc>
          <w:tcPr>
            <w:tcW w:w="1874" w:type="dxa"/>
            <w:vAlign w:val="center"/>
          </w:tcPr>
          <w:p w14:paraId="6969B66B" w14:textId="1B5B6E67" w:rsidR="0073431F" w:rsidRPr="0042713B" w:rsidRDefault="00860A07" w:rsidP="00166431">
            <w:pPr>
              <w:spacing w:line="240" w:lineRule="auto"/>
            </w:pPr>
            <w:r w:rsidRPr="0042713B">
              <w:t>EES</w:t>
            </w:r>
          </w:p>
        </w:tc>
        <w:tc>
          <w:tcPr>
            <w:tcW w:w="5535" w:type="dxa"/>
            <w:vAlign w:val="center"/>
          </w:tcPr>
          <w:p w14:paraId="17880B94" w14:textId="4843C1E2" w:rsidR="0073431F" w:rsidRPr="0042713B" w:rsidRDefault="00860A07" w:rsidP="00166431">
            <w:pPr>
              <w:spacing w:line="240" w:lineRule="auto"/>
            </w:pPr>
            <w:r w:rsidRPr="0042713B">
              <w:t>Engineering Equation Solver</w:t>
            </w:r>
          </w:p>
        </w:tc>
        <w:tc>
          <w:tcPr>
            <w:tcW w:w="1941" w:type="dxa"/>
            <w:vAlign w:val="center"/>
          </w:tcPr>
          <w:p w14:paraId="5930E509" w14:textId="77777777" w:rsidR="0073431F" w:rsidRPr="0042713B" w:rsidRDefault="0073431F" w:rsidP="00166431">
            <w:pPr>
              <w:spacing w:line="240" w:lineRule="auto"/>
              <w:rPr>
                <w:b/>
                <w:bCs/>
                <w:i/>
                <w:iCs/>
              </w:rPr>
            </w:pPr>
          </w:p>
        </w:tc>
      </w:tr>
      <w:tr w:rsidR="003137BE" w:rsidRPr="00930038" w14:paraId="78D5FE0D" w14:textId="77777777" w:rsidTr="003137BE">
        <w:tc>
          <w:tcPr>
            <w:tcW w:w="1874" w:type="dxa"/>
            <w:vAlign w:val="center"/>
          </w:tcPr>
          <w:p w14:paraId="5D7CE55B" w14:textId="00005A9F" w:rsidR="005548B7" w:rsidRPr="0042713B" w:rsidRDefault="005548B7" w:rsidP="00166431">
            <w:pPr>
              <w:spacing w:line="240" w:lineRule="auto"/>
            </w:pPr>
            <w:r w:rsidRPr="0042713B">
              <w:t>FBR</w:t>
            </w:r>
          </w:p>
        </w:tc>
        <w:tc>
          <w:tcPr>
            <w:tcW w:w="5535" w:type="dxa"/>
            <w:vAlign w:val="center"/>
          </w:tcPr>
          <w:p w14:paraId="1B77AF8C" w14:textId="0B2B4D04" w:rsidR="005548B7" w:rsidRPr="0042713B" w:rsidRDefault="005548B7" w:rsidP="00166431">
            <w:pPr>
              <w:spacing w:line="240" w:lineRule="auto"/>
            </w:pPr>
            <w:r w:rsidRPr="0042713B">
              <w:t>Fixed Bed Reactor</w:t>
            </w:r>
          </w:p>
        </w:tc>
        <w:tc>
          <w:tcPr>
            <w:tcW w:w="1941" w:type="dxa"/>
            <w:vAlign w:val="center"/>
          </w:tcPr>
          <w:p w14:paraId="59965F61" w14:textId="77777777" w:rsidR="005548B7" w:rsidRPr="0042713B" w:rsidRDefault="005548B7" w:rsidP="00166431">
            <w:pPr>
              <w:spacing w:line="240" w:lineRule="auto"/>
              <w:rPr>
                <w:b/>
                <w:bCs/>
                <w:i/>
                <w:iCs/>
              </w:rPr>
            </w:pPr>
          </w:p>
        </w:tc>
      </w:tr>
      <w:tr w:rsidR="003137BE" w:rsidRPr="00930038" w14:paraId="4EC26C62" w14:textId="77777777" w:rsidTr="003137BE">
        <w:tc>
          <w:tcPr>
            <w:tcW w:w="1874" w:type="dxa"/>
            <w:vAlign w:val="center"/>
          </w:tcPr>
          <w:p w14:paraId="486130F3" w14:textId="11A76852" w:rsidR="00453C3D" w:rsidRPr="0042713B" w:rsidRDefault="00453C3D" w:rsidP="00166431">
            <w:pPr>
              <w:spacing w:line="240" w:lineRule="auto"/>
            </w:pPr>
            <w:r w:rsidRPr="0042713B">
              <w:t>FDT</w:t>
            </w:r>
          </w:p>
        </w:tc>
        <w:tc>
          <w:tcPr>
            <w:tcW w:w="5535" w:type="dxa"/>
            <w:vAlign w:val="center"/>
          </w:tcPr>
          <w:p w14:paraId="539FB6E3" w14:textId="2CBB70FE" w:rsidR="00453C3D" w:rsidRPr="0042713B" w:rsidRDefault="00453C3D" w:rsidP="00166431">
            <w:pPr>
              <w:spacing w:line="240" w:lineRule="auto"/>
            </w:pPr>
            <w:r w:rsidRPr="0042713B">
              <w:t>Fuel Delivery Tube</w:t>
            </w:r>
          </w:p>
        </w:tc>
        <w:tc>
          <w:tcPr>
            <w:tcW w:w="1941" w:type="dxa"/>
            <w:vAlign w:val="center"/>
          </w:tcPr>
          <w:p w14:paraId="31380FC9" w14:textId="77777777" w:rsidR="00453C3D" w:rsidRPr="0042713B" w:rsidRDefault="00453C3D" w:rsidP="00166431">
            <w:pPr>
              <w:spacing w:line="240" w:lineRule="auto"/>
              <w:rPr>
                <w:b/>
                <w:bCs/>
                <w:i/>
                <w:iCs/>
              </w:rPr>
            </w:pPr>
          </w:p>
        </w:tc>
      </w:tr>
      <w:tr w:rsidR="0042713B" w:rsidRPr="00930038" w14:paraId="1F2C6ED8" w14:textId="77777777" w:rsidTr="003137BE">
        <w:tc>
          <w:tcPr>
            <w:tcW w:w="1874" w:type="dxa"/>
            <w:vAlign w:val="center"/>
          </w:tcPr>
          <w:p w14:paraId="0DA2C97F" w14:textId="578CA110" w:rsidR="0022398E" w:rsidRPr="0042713B" w:rsidRDefault="00860A07" w:rsidP="00166431">
            <w:pPr>
              <w:spacing w:line="240" w:lineRule="auto"/>
            </w:pPr>
            <w:r w:rsidRPr="0042713B">
              <w:t>GHG</w:t>
            </w:r>
          </w:p>
        </w:tc>
        <w:tc>
          <w:tcPr>
            <w:tcW w:w="5535" w:type="dxa"/>
            <w:vAlign w:val="center"/>
          </w:tcPr>
          <w:p w14:paraId="3918B899" w14:textId="45F966FF" w:rsidR="0022398E" w:rsidRPr="0042713B" w:rsidRDefault="00860A07" w:rsidP="00166431">
            <w:pPr>
              <w:spacing w:line="240" w:lineRule="auto"/>
            </w:pPr>
            <w:r w:rsidRPr="0042713B">
              <w:t>Greenhouse G</w:t>
            </w:r>
            <w:r w:rsidR="00C15F7A" w:rsidRPr="0042713B">
              <w:t>as</w:t>
            </w:r>
          </w:p>
        </w:tc>
        <w:tc>
          <w:tcPr>
            <w:tcW w:w="1941" w:type="dxa"/>
            <w:vAlign w:val="center"/>
          </w:tcPr>
          <w:p w14:paraId="046E868C" w14:textId="77777777" w:rsidR="0022398E" w:rsidRPr="0042713B" w:rsidRDefault="0022398E" w:rsidP="00166431">
            <w:pPr>
              <w:spacing w:line="240" w:lineRule="auto"/>
              <w:rPr>
                <w:b/>
                <w:bCs/>
                <w:i/>
                <w:iCs/>
              </w:rPr>
            </w:pPr>
          </w:p>
        </w:tc>
      </w:tr>
      <w:tr w:rsidR="003137BE" w:rsidRPr="00930038" w14:paraId="4348450C" w14:textId="77777777" w:rsidTr="003137BE">
        <w:tc>
          <w:tcPr>
            <w:tcW w:w="1874" w:type="dxa"/>
            <w:vAlign w:val="center"/>
          </w:tcPr>
          <w:p w14:paraId="220D5318" w14:textId="5BD5D8D8" w:rsidR="00962407" w:rsidRPr="0042713B" w:rsidRDefault="00962407" w:rsidP="00166431">
            <w:pPr>
              <w:spacing w:line="240" w:lineRule="auto"/>
            </w:pPr>
            <w:r w:rsidRPr="0042713B">
              <w:t>MDA</w:t>
            </w:r>
          </w:p>
        </w:tc>
        <w:tc>
          <w:tcPr>
            <w:tcW w:w="5535" w:type="dxa"/>
            <w:vAlign w:val="center"/>
          </w:tcPr>
          <w:p w14:paraId="74398D57" w14:textId="3271116D" w:rsidR="00962407" w:rsidRPr="0042713B" w:rsidRDefault="00962407" w:rsidP="00166431">
            <w:pPr>
              <w:spacing w:line="240" w:lineRule="auto"/>
            </w:pPr>
            <w:r w:rsidRPr="0042713B">
              <w:t>Methane Dehydroaromatization</w:t>
            </w:r>
          </w:p>
        </w:tc>
        <w:tc>
          <w:tcPr>
            <w:tcW w:w="1941" w:type="dxa"/>
            <w:vAlign w:val="center"/>
          </w:tcPr>
          <w:p w14:paraId="5EF049B3" w14:textId="77777777" w:rsidR="00962407" w:rsidRPr="0042713B" w:rsidRDefault="00962407" w:rsidP="00166431">
            <w:pPr>
              <w:spacing w:line="240" w:lineRule="auto"/>
              <w:rPr>
                <w:b/>
                <w:bCs/>
                <w:i/>
                <w:iCs/>
              </w:rPr>
            </w:pPr>
          </w:p>
        </w:tc>
      </w:tr>
      <w:tr w:rsidR="003137BE" w:rsidRPr="00930038" w14:paraId="545DA07C" w14:textId="77777777" w:rsidTr="003137BE">
        <w:tc>
          <w:tcPr>
            <w:tcW w:w="1874" w:type="dxa"/>
            <w:vAlign w:val="center"/>
          </w:tcPr>
          <w:p w14:paraId="0DC3D160" w14:textId="23D6A6BE" w:rsidR="00962407" w:rsidRPr="0042713B" w:rsidRDefault="00962407" w:rsidP="00166431">
            <w:pPr>
              <w:spacing w:line="240" w:lineRule="auto"/>
            </w:pPr>
            <w:r w:rsidRPr="0042713B">
              <w:t>PEN</w:t>
            </w:r>
          </w:p>
        </w:tc>
        <w:tc>
          <w:tcPr>
            <w:tcW w:w="5535" w:type="dxa"/>
            <w:vAlign w:val="center"/>
          </w:tcPr>
          <w:p w14:paraId="2C4413D6" w14:textId="569970C6" w:rsidR="00962407" w:rsidRPr="0042713B" w:rsidRDefault="00962407" w:rsidP="00166431">
            <w:pPr>
              <w:spacing w:line="240" w:lineRule="auto"/>
            </w:pPr>
            <w:r w:rsidRPr="0042713B">
              <w:t xml:space="preserve">Positive, Electrolyte, </w:t>
            </w:r>
            <w:proofErr w:type="spellStart"/>
            <w:r w:rsidRPr="0042713B">
              <w:t>Negatrode</w:t>
            </w:r>
            <w:proofErr w:type="spellEnd"/>
          </w:p>
        </w:tc>
        <w:tc>
          <w:tcPr>
            <w:tcW w:w="1941" w:type="dxa"/>
            <w:vAlign w:val="center"/>
          </w:tcPr>
          <w:p w14:paraId="4AB9C8EA" w14:textId="77777777" w:rsidR="00962407" w:rsidRPr="0042713B" w:rsidRDefault="00962407" w:rsidP="00166431">
            <w:pPr>
              <w:spacing w:line="240" w:lineRule="auto"/>
              <w:rPr>
                <w:b/>
                <w:bCs/>
                <w:i/>
                <w:iCs/>
              </w:rPr>
            </w:pPr>
          </w:p>
        </w:tc>
      </w:tr>
      <w:tr w:rsidR="0042713B" w:rsidRPr="00930038" w14:paraId="17A2170E" w14:textId="77777777" w:rsidTr="003137BE">
        <w:tc>
          <w:tcPr>
            <w:tcW w:w="1874" w:type="dxa"/>
            <w:vAlign w:val="center"/>
          </w:tcPr>
          <w:p w14:paraId="06A520F9" w14:textId="55EFE382" w:rsidR="0022398E" w:rsidRPr="0042713B" w:rsidRDefault="00EE3B0C" w:rsidP="00166431">
            <w:pPr>
              <w:spacing w:line="240" w:lineRule="auto"/>
            </w:pPr>
            <w:r w:rsidRPr="0042713B">
              <w:t>PCEC</w:t>
            </w:r>
          </w:p>
        </w:tc>
        <w:tc>
          <w:tcPr>
            <w:tcW w:w="5535" w:type="dxa"/>
            <w:vAlign w:val="center"/>
          </w:tcPr>
          <w:p w14:paraId="07EEB565" w14:textId="408C5C93" w:rsidR="0022398E" w:rsidRPr="0042713B" w:rsidRDefault="00EE3B0C" w:rsidP="00166431">
            <w:pPr>
              <w:spacing w:line="240" w:lineRule="auto"/>
            </w:pPr>
            <w:r w:rsidRPr="0042713B">
              <w:t>Protonic Ceramic Electrolysis Cells</w:t>
            </w:r>
          </w:p>
        </w:tc>
        <w:tc>
          <w:tcPr>
            <w:tcW w:w="1941" w:type="dxa"/>
            <w:vAlign w:val="center"/>
          </w:tcPr>
          <w:p w14:paraId="6BB19B5C" w14:textId="77777777" w:rsidR="0022398E" w:rsidRPr="0042713B" w:rsidRDefault="0022398E" w:rsidP="00166431">
            <w:pPr>
              <w:spacing w:line="240" w:lineRule="auto"/>
              <w:rPr>
                <w:b/>
                <w:bCs/>
                <w:i/>
                <w:iCs/>
              </w:rPr>
            </w:pPr>
          </w:p>
        </w:tc>
      </w:tr>
      <w:tr w:rsidR="0042713B" w:rsidRPr="00930038" w14:paraId="02F9BEFC" w14:textId="77777777" w:rsidTr="003137BE">
        <w:tc>
          <w:tcPr>
            <w:tcW w:w="1874" w:type="dxa"/>
            <w:vAlign w:val="center"/>
          </w:tcPr>
          <w:p w14:paraId="405B26AA" w14:textId="03A770CB" w:rsidR="0022398E" w:rsidRPr="0042713B" w:rsidRDefault="006D45A5" w:rsidP="00166431">
            <w:pPr>
              <w:spacing w:line="240" w:lineRule="auto"/>
            </w:pPr>
            <w:r w:rsidRPr="0042713B">
              <w:t>PCER</w:t>
            </w:r>
          </w:p>
        </w:tc>
        <w:tc>
          <w:tcPr>
            <w:tcW w:w="5535" w:type="dxa"/>
            <w:vAlign w:val="center"/>
          </w:tcPr>
          <w:p w14:paraId="03E7128A" w14:textId="22191BF8" w:rsidR="0022398E" w:rsidRPr="0042713B" w:rsidRDefault="006D45A5" w:rsidP="00166431">
            <w:pPr>
              <w:spacing w:line="240" w:lineRule="auto"/>
            </w:pPr>
            <w:r w:rsidRPr="0042713B">
              <w:t>Protonic Ceramic Electrochemical Reactor</w:t>
            </w:r>
          </w:p>
        </w:tc>
        <w:tc>
          <w:tcPr>
            <w:tcW w:w="1941" w:type="dxa"/>
            <w:vAlign w:val="center"/>
          </w:tcPr>
          <w:p w14:paraId="52BEF63F" w14:textId="77777777" w:rsidR="0022398E" w:rsidRPr="0042713B" w:rsidRDefault="0022398E" w:rsidP="00166431">
            <w:pPr>
              <w:spacing w:line="240" w:lineRule="auto"/>
              <w:rPr>
                <w:b/>
                <w:bCs/>
                <w:i/>
                <w:iCs/>
              </w:rPr>
            </w:pPr>
          </w:p>
        </w:tc>
      </w:tr>
      <w:tr w:rsidR="003137BE" w:rsidRPr="00930038" w14:paraId="11CB14AB" w14:textId="77777777" w:rsidTr="003137BE">
        <w:tc>
          <w:tcPr>
            <w:tcW w:w="1874" w:type="dxa"/>
            <w:vAlign w:val="center"/>
          </w:tcPr>
          <w:p w14:paraId="6D7B38FD" w14:textId="36B4536E" w:rsidR="0073431F" w:rsidRPr="0042713B" w:rsidRDefault="0073431F" w:rsidP="00166431">
            <w:pPr>
              <w:spacing w:line="240" w:lineRule="auto"/>
            </w:pPr>
            <w:r w:rsidRPr="0042713B">
              <w:t>PCFC</w:t>
            </w:r>
          </w:p>
        </w:tc>
        <w:tc>
          <w:tcPr>
            <w:tcW w:w="5535" w:type="dxa"/>
            <w:vAlign w:val="center"/>
          </w:tcPr>
          <w:p w14:paraId="2B4635AD" w14:textId="3EF17F7F" w:rsidR="0073431F" w:rsidRPr="0042713B" w:rsidRDefault="0073431F" w:rsidP="00166431">
            <w:pPr>
              <w:spacing w:line="240" w:lineRule="auto"/>
            </w:pPr>
            <w:r w:rsidRPr="0042713B">
              <w:t>Protonic Ceramic Fuel Cells</w:t>
            </w:r>
          </w:p>
        </w:tc>
        <w:tc>
          <w:tcPr>
            <w:tcW w:w="1941" w:type="dxa"/>
            <w:vAlign w:val="center"/>
          </w:tcPr>
          <w:p w14:paraId="3F85F9C0" w14:textId="77777777" w:rsidR="0073431F" w:rsidRPr="0042713B" w:rsidRDefault="0073431F" w:rsidP="00166431">
            <w:pPr>
              <w:spacing w:line="240" w:lineRule="auto"/>
              <w:rPr>
                <w:b/>
                <w:bCs/>
                <w:i/>
                <w:iCs/>
              </w:rPr>
            </w:pPr>
          </w:p>
        </w:tc>
      </w:tr>
      <w:tr w:rsidR="003137BE" w:rsidRPr="00930038" w14:paraId="4D778C67" w14:textId="77777777" w:rsidTr="003137BE">
        <w:tc>
          <w:tcPr>
            <w:tcW w:w="1874" w:type="dxa"/>
            <w:vAlign w:val="center"/>
          </w:tcPr>
          <w:p w14:paraId="14E6E624" w14:textId="18142289" w:rsidR="00962407" w:rsidRPr="0042713B" w:rsidRDefault="00962407" w:rsidP="00166431">
            <w:pPr>
              <w:spacing w:line="240" w:lineRule="auto"/>
            </w:pPr>
            <w:r w:rsidRPr="0042713B">
              <w:t>SOFC</w:t>
            </w:r>
          </w:p>
        </w:tc>
        <w:tc>
          <w:tcPr>
            <w:tcW w:w="5535" w:type="dxa"/>
            <w:vAlign w:val="center"/>
          </w:tcPr>
          <w:p w14:paraId="7917B17E" w14:textId="7F0BBB18" w:rsidR="00962407" w:rsidRPr="0042713B" w:rsidRDefault="00962407" w:rsidP="00166431">
            <w:pPr>
              <w:spacing w:line="240" w:lineRule="auto"/>
            </w:pPr>
            <w:r w:rsidRPr="0042713B">
              <w:t>Solid Oxide Fuel Cell</w:t>
            </w:r>
          </w:p>
        </w:tc>
        <w:tc>
          <w:tcPr>
            <w:tcW w:w="1941" w:type="dxa"/>
            <w:vAlign w:val="center"/>
          </w:tcPr>
          <w:p w14:paraId="1D011461" w14:textId="77777777" w:rsidR="00962407" w:rsidRPr="0042713B" w:rsidRDefault="00962407" w:rsidP="00166431">
            <w:pPr>
              <w:spacing w:line="240" w:lineRule="auto"/>
              <w:rPr>
                <w:b/>
                <w:bCs/>
                <w:i/>
                <w:iCs/>
              </w:rPr>
            </w:pPr>
          </w:p>
        </w:tc>
      </w:tr>
      <w:tr w:rsidR="003137BE" w:rsidRPr="00930038" w14:paraId="47C1475E" w14:textId="77777777" w:rsidTr="003137BE">
        <w:tc>
          <w:tcPr>
            <w:tcW w:w="1874" w:type="dxa"/>
            <w:vAlign w:val="center"/>
          </w:tcPr>
          <w:p w14:paraId="25815DFF" w14:textId="35971FC7" w:rsidR="001C2813" w:rsidRPr="0042713B" w:rsidRDefault="001C2813" w:rsidP="00166431">
            <w:pPr>
              <w:spacing w:line="240" w:lineRule="auto"/>
              <w:rPr>
                <w:i/>
                <w:iCs/>
              </w:rPr>
            </w:pPr>
            <w:r w:rsidRPr="0042713B">
              <w:rPr>
                <w:i/>
                <w:iCs/>
              </w:rPr>
              <w:t>Equations</w:t>
            </w:r>
          </w:p>
        </w:tc>
        <w:tc>
          <w:tcPr>
            <w:tcW w:w="5535" w:type="dxa"/>
            <w:vAlign w:val="center"/>
          </w:tcPr>
          <w:p w14:paraId="6EFFC52B" w14:textId="77777777" w:rsidR="001C2813" w:rsidRPr="0042713B" w:rsidRDefault="001C2813" w:rsidP="00166431">
            <w:pPr>
              <w:spacing w:line="240" w:lineRule="auto"/>
            </w:pPr>
          </w:p>
        </w:tc>
        <w:tc>
          <w:tcPr>
            <w:tcW w:w="1941" w:type="dxa"/>
            <w:vAlign w:val="center"/>
          </w:tcPr>
          <w:p w14:paraId="653BF20A" w14:textId="77777777" w:rsidR="001C2813" w:rsidRPr="0042713B" w:rsidRDefault="001C2813" w:rsidP="00166431">
            <w:pPr>
              <w:spacing w:line="240" w:lineRule="auto"/>
              <w:rPr>
                <w:i/>
                <w:iCs/>
              </w:rPr>
            </w:pPr>
          </w:p>
        </w:tc>
      </w:tr>
      <w:tr w:rsidR="00BB7411" w:rsidRPr="00930038" w14:paraId="69D0EE84" w14:textId="77777777" w:rsidTr="003137BE">
        <w:tc>
          <w:tcPr>
            <w:tcW w:w="1874" w:type="dxa"/>
            <w:vAlign w:val="center"/>
          </w:tcPr>
          <w:p w14:paraId="4AB9C7A9" w14:textId="0F5B1EFD" w:rsidR="003417D3" w:rsidRPr="0042713B" w:rsidRDefault="003417D3" w:rsidP="00166431">
            <w:pPr>
              <w:spacing w:line="240" w:lineRule="auto"/>
              <w:rPr>
                <w:rFonts w:ascii="Aptos" w:eastAsia="Aptos" w:hAnsi="Aptos" w:cs="Times New Roman"/>
              </w:rPr>
            </w:pPr>
            <w:r w:rsidRPr="0042713B">
              <w:rPr>
                <w:rFonts w:ascii="Aptos" w:eastAsia="Aptos" w:hAnsi="Aptos" w:cs="Times New Roman"/>
              </w:rPr>
              <w:t>A</w:t>
            </w:r>
          </w:p>
        </w:tc>
        <w:tc>
          <w:tcPr>
            <w:tcW w:w="5535" w:type="dxa"/>
            <w:vAlign w:val="center"/>
          </w:tcPr>
          <w:p w14:paraId="542D7BFB" w14:textId="61ACB574" w:rsidR="003417D3" w:rsidRPr="0042713B" w:rsidRDefault="00305A7A" w:rsidP="00166431">
            <w:pPr>
              <w:spacing w:line="240" w:lineRule="auto"/>
            </w:pPr>
            <w:r w:rsidRPr="0042713B">
              <w:t>Area</w:t>
            </w:r>
          </w:p>
        </w:tc>
        <w:tc>
          <w:tcPr>
            <w:tcW w:w="1941" w:type="dxa"/>
            <w:vAlign w:val="center"/>
          </w:tcPr>
          <w:p w14:paraId="6FFA2100" w14:textId="594626F5" w:rsidR="003417D3" w:rsidRPr="0042713B" w:rsidRDefault="00924E48" w:rsidP="00166431">
            <w:pPr>
              <w:spacing w:line="240" w:lineRule="auto"/>
              <w:rPr>
                <w:rFonts w:ascii="Aptos Display" w:eastAsia="Times New Roman" w:hAnsi="Aptos Display" w:cs="Times New Roman"/>
                <w:i/>
                <w:iCs/>
              </w:rPr>
            </w:pPr>
            <m:oMathPara>
              <m:oMath>
                <m:sSup>
                  <m:sSupPr>
                    <m:ctrlPr>
                      <w:rPr>
                        <w:rFonts w:ascii="Cambria Math" w:hAnsi="Cambria Math"/>
                        <w:i/>
                        <w:iCs/>
                      </w:rPr>
                    </m:ctrlPr>
                  </m:sSupPr>
                  <m:e>
                    <m:r>
                      <w:rPr>
                        <w:rFonts w:ascii="Cambria Math" w:hAnsi="Cambria Math"/>
                      </w:rPr>
                      <m:t>m</m:t>
                    </m:r>
                  </m:e>
                  <m:sup>
                    <m:r>
                      <w:rPr>
                        <w:rFonts w:ascii="Cambria Math" w:hAnsi="Cambria Math"/>
                      </w:rPr>
                      <m:t>2</m:t>
                    </m:r>
                  </m:sup>
                </m:sSup>
              </m:oMath>
            </m:oMathPara>
          </w:p>
        </w:tc>
      </w:tr>
      <w:tr w:rsidR="0042713B" w:rsidRPr="00930038" w14:paraId="02B007B1" w14:textId="77777777" w:rsidTr="003137BE">
        <w:tc>
          <w:tcPr>
            <w:tcW w:w="1874" w:type="dxa"/>
            <w:vAlign w:val="center"/>
          </w:tcPr>
          <w:p w14:paraId="2897B024" w14:textId="74B99D27" w:rsidR="00AC4E62" w:rsidRPr="0042713B" w:rsidRDefault="00924E48" w:rsidP="00166431">
            <w:pPr>
              <w:spacing w:line="240" w:lineRule="auto"/>
              <w:rPr>
                <w:rFonts w:ascii="Aptos" w:eastAsia="Aptos" w:hAnsi="Aptos" w:cs="Times New Roman"/>
              </w:rPr>
            </w:pPr>
            <m:oMath>
              <m:sSub>
                <m:sSubPr>
                  <m:ctrlPr>
                    <w:rPr>
                      <w:rFonts w:ascii="Cambria Math" w:eastAsia="Aptos" w:hAnsi="Cambria Math" w:cs="Times New Roman"/>
                      <w:i/>
                    </w:rPr>
                  </m:ctrlPr>
                </m:sSubPr>
                <m:e>
                  <m:r>
                    <w:rPr>
                      <w:rFonts w:ascii="Cambria Math" w:eastAsia="Aptos" w:hAnsi="Cambria Math" w:cs="Times New Roman"/>
                    </w:rPr>
                    <m:t>c</m:t>
                  </m:r>
                </m:e>
                <m:sub>
                  <m:r>
                    <w:rPr>
                      <w:rFonts w:ascii="Cambria Math" w:eastAsia="Aptos" w:hAnsi="Cambria Math" w:cs="Times New Roman"/>
                    </w:rPr>
                    <m:t>p</m:t>
                  </m:r>
                </m:sub>
              </m:sSub>
            </m:oMath>
            <w:r w:rsidR="003137BE" w:rsidRPr="0042713B">
              <w:rPr>
                <w:rFonts w:ascii="Aptos" w:eastAsia="Aptos" w:hAnsi="Aptos" w:cs="Times New Roman"/>
              </w:rPr>
              <w:t xml:space="preserve"> </w:t>
            </w:r>
          </w:p>
        </w:tc>
        <w:tc>
          <w:tcPr>
            <w:tcW w:w="5535" w:type="dxa"/>
            <w:vAlign w:val="center"/>
          </w:tcPr>
          <w:p w14:paraId="5E4D1AD6" w14:textId="40922572" w:rsidR="00AC4E62" w:rsidRPr="0042713B" w:rsidRDefault="00AC4E62" w:rsidP="00166431">
            <w:pPr>
              <w:spacing w:line="240" w:lineRule="auto"/>
            </w:pPr>
            <w:r w:rsidRPr="0042713B">
              <w:t>Heat capacity</w:t>
            </w:r>
          </w:p>
        </w:tc>
        <w:tc>
          <w:tcPr>
            <w:tcW w:w="1941" w:type="dxa"/>
            <w:vAlign w:val="center"/>
          </w:tcPr>
          <w:p w14:paraId="4F0B61B4" w14:textId="694CD2FE" w:rsidR="00AC4E62" w:rsidRPr="0042713B" w:rsidRDefault="0042713B" w:rsidP="00166431">
            <w:pPr>
              <w:spacing w:line="240" w:lineRule="auto"/>
              <w:rPr>
                <w:rFonts w:ascii="Aptos Display" w:eastAsia="Times New Roman" w:hAnsi="Aptos Display" w:cs="Times New Roman"/>
                <w:i/>
                <w:iCs/>
              </w:rPr>
            </w:pPr>
            <m:oMathPara>
              <m:oMath>
                <m:r>
                  <w:rPr>
                    <w:rFonts w:ascii="Cambria Math" w:eastAsia="Times New Roman" w:hAnsi="Cambria Math" w:cs="Times New Roman"/>
                  </w:rPr>
                  <m:t>J∙</m:t>
                </m:r>
                <m:sSup>
                  <m:sSupPr>
                    <m:ctrlPr>
                      <w:rPr>
                        <w:rFonts w:ascii="Cambria Math" w:eastAsia="Times New Roman" w:hAnsi="Cambria Math" w:cs="Times New Roman"/>
                        <w:i/>
                        <w:iCs/>
                      </w:rPr>
                    </m:ctrlPr>
                  </m:sSupPr>
                  <m:e>
                    <m:r>
                      <w:rPr>
                        <w:rFonts w:ascii="Cambria Math" w:eastAsia="Times New Roman" w:hAnsi="Cambria Math" w:cs="Times New Roman"/>
                      </w:rPr>
                      <m:t>K</m:t>
                    </m:r>
                  </m:e>
                  <m:sup>
                    <m:r>
                      <w:rPr>
                        <w:rFonts w:ascii="Cambria Math" w:eastAsia="Times New Roman" w:hAnsi="Cambria Math" w:cs="Times New Roman"/>
                      </w:rPr>
                      <m:t>-1</m:t>
                    </m:r>
                  </m:sup>
                </m:sSup>
              </m:oMath>
            </m:oMathPara>
          </w:p>
        </w:tc>
      </w:tr>
      <w:tr w:rsidR="00892145" w:rsidRPr="00930038" w14:paraId="294CA108" w14:textId="77777777" w:rsidTr="002158D5">
        <w:trPr>
          <w:trHeight w:val="360"/>
        </w:trPr>
        <w:tc>
          <w:tcPr>
            <w:tcW w:w="1874" w:type="dxa"/>
            <w:vAlign w:val="center"/>
          </w:tcPr>
          <w:p w14:paraId="53413BC5" w14:textId="210E0706" w:rsidR="002B1BFF" w:rsidRPr="0042713B" w:rsidRDefault="003137BE" w:rsidP="00166431">
            <w:pPr>
              <w:spacing w:line="240" w:lineRule="auto"/>
              <w:rPr>
                <w:rFonts w:ascii="Aptos" w:eastAsia="Aptos" w:hAnsi="Aptos" w:cs="Times New Roman"/>
              </w:rPr>
            </w:pPr>
            <w:r w:rsidRPr="0042713B">
              <w:rPr>
                <w:rFonts w:eastAsiaTheme="minorEastAsia"/>
              </w:rPr>
              <w:t xml:space="preserve"> </w:t>
            </w:r>
            <m:oMath>
              <m:r>
                <w:rPr>
                  <w:rFonts w:ascii="Cambria Math" w:eastAsia="Aptos" w:hAnsi="Cambria Math" w:cs="Times New Roman"/>
                </w:rPr>
                <m:t>D</m:t>
              </m:r>
            </m:oMath>
          </w:p>
        </w:tc>
        <w:tc>
          <w:tcPr>
            <w:tcW w:w="5535" w:type="dxa"/>
            <w:vAlign w:val="center"/>
          </w:tcPr>
          <w:p w14:paraId="089ED0CF" w14:textId="0492C733" w:rsidR="002B1BFF" w:rsidRPr="0042713B" w:rsidRDefault="00A02275" w:rsidP="00166431">
            <w:pPr>
              <w:spacing w:line="240" w:lineRule="auto"/>
            </w:pPr>
            <w:r w:rsidRPr="0042713B">
              <w:t>Diffusion coefficient</w:t>
            </w:r>
          </w:p>
        </w:tc>
        <w:tc>
          <w:tcPr>
            <w:tcW w:w="1941" w:type="dxa"/>
            <w:vAlign w:val="center"/>
          </w:tcPr>
          <w:p w14:paraId="4FBD3950" w14:textId="256BC846" w:rsidR="002B1BFF" w:rsidRPr="0042713B" w:rsidRDefault="0042713B" w:rsidP="00166431">
            <w:pPr>
              <w:spacing w:line="240" w:lineRule="auto"/>
              <w:rPr>
                <w:rFonts w:ascii="Aptos Display" w:eastAsia="Times New Roman" w:hAnsi="Aptos Display" w:cs="Times New Roman"/>
                <w:i/>
                <w:iCs/>
              </w:rPr>
            </w:pPr>
            <m:oMathPara>
              <m:oMath>
                <m:r>
                  <w:rPr>
                    <w:rFonts w:ascii="Cambria Math" w:eastAsia="Times New Roman" w:hAnsi="Cambria Math" w:cs="Times New Roman"/>
                  </w:rPr>
                  <m:t>c</m:t>
                </m:r>
                <m:sSup>
                  <m:sSupPr>
                    <m:ctrlPr>
                      <w:rPr>
                        <w:rFonts w:ascii="Cambria Math" w:eastAsia="Times New Roman" w:hAnsi="Cambria Math" w:cs="Times New Roman"/>
                        <w:i/>
                        <w:iCs/>
                      </w:rPr>
                    </m:ctrlPr>
                  </m:sSupPr>
                  <m:e>
                    <m:r>
                      <w:rPr>
                        <w:rFonts w:ascii="Cambria Math" w:eastAsia="Times New Roman" w:hAnsi="Cambria Math" w:cs="Times New Roman"/>
                      </w:rPr>
                      <m:t>m</m:t>
                    </m:r>
                  </m:e>
                  <m:sup>
                    <m:r>
                      <w:rPr>
                        <w:rFonts w:ascii="Cambria Math" w:eastAsia="Times New Roman" w:hAnsi="Cambria Math" w:cs="Times New Roman"/>
                      </w:rPr>
                      <m:t>2</m:t>
                    </m:r>
                  </m:sup>
                </m:sSup>
                <m:r>
                  <w:rPr>
                    <w:rFonts w:ascii="Cambria Math" w:eastAsia="Times New Roman" w:hAnsi="Cambria Math" w:cs="Times New Roman"/>
                  </w:rPr>
                  <m:t>∙</m:t>
                </m:r>
                <m:sSup>
                  <m:sSupPr>
                    <m:ctrlPr>
                      <w:rPr>
                        <w:rFonts w:ascii="Cambria Math" w:eastAsia="Times New Roman" w:hAnsi="Cambria Math" w:cs="Times New Roman"/>
                        <w:i/>
                        <w:iCs/>
                      </w:rPr>
                    </m:ctrlPr>
                  </m:sSupPr>
                  <m:e>
                    <m:r>
                      <w:rPr>
                        <w:rFonts w:ascii="Cambria Math" w:eastAsia="Times New Roman" w:hAnsi="Cambria Math" w:cs="Times New Roman"/>
                      </w:rPr>
                      <m:t>s</m:t>
                    </m:r>
                  </m:e>
                  <m:sup>
                    <m:r>
                      <w:rPr>
                        <w:rFonts w:ascii="Cambria Math" w:eastAsia="Times New Roman" w:hAnsi="Cambria Math" w:cs="Times New Roman"/>
                      </w:rPr>
                      <m:t>-1</m:t>
                    </m:r>
                  </m:sup>
                </m:sSup>
              </m:oMath>
            </m:oMathPara>
          </w:p>
        </w:tc>
      </w:tr>
      <w:tr w:rsidR="00BB7411" w:rsidRPr="00930038" w14:paraId="018143D1" w14:textId="77777777" w:rsidTr="003137BE">
        <w:tc>
          <w:tcPr>
            <w:tcW w:w="1874" w:type="dxa"/>
            <w:vAlign w:val="center"/>
          </w:tcPr>
          <w:p w14:paraId="1376E061" w14:textId="3F6E2189" w:rsidR="00F866CC" w:rsidRPr="0042713B" w:rsidRDefault="00924E48" w:rsidP="00166431">
            <w:pPr>
              <w:spacing w:line="240" w:lineRule="auto"/>
              <w:rPr>
                <w:rFonts w:ascii="Aptos" w:eastAsia="Aptos" w:hAnsi="Aptos" w:cs="Times New Roman"/>
              </w:rPr>
            </w:pPr>
            <m:oMath>
              <m:sSub>
                <m:sSubPr>
                  <m:ctrlPr>
                    <w:rPr>
                      <w:rFonts w:ascii="Cambria Math" w:hAnsi="Cambria Math"/>
                      <w:i/>
                    </w:rPr>
                  </m:ctrlPr>
                </m:sSubPr>
                <m:e>
                  <m:r>
                    <w:rPr>
                      <w:rFonts w:ascii="Cambria Math" w:hAnsi="Cambria Math"/>
                    </w:rPr>
                    <m:t>d</m:t>
                  </m:r>
                </m:e>
                <m:sub>
                  <m:r>
                    <w:rPr>
                      <w:rFonts w:ascii="Cambria Math" w:hAnsi="Cambria Math"/>
                    </w:rPr>
                    <m:t>h</m:t>
                  </m:r>
                </m:sub>
              </m:sSub>
            </m:oMath>
            <w:r w:rsidR="003137BE" w:rsidRPr="0042713B">
              <w:rPr>
                <w:rFonts w:ascii="Aptos" w:eastAsia="Aptos" w:hAnsi="Aptos" w:cs="Times New Roman"/>
              </w:rPr>
              <w:t xml:space="preserve"> </w:t>
            </w:r>
          </w:p>
        </w:tc>
        <w:tc>
          <w:tcPr>
            <w:tcW w:w="5535" w:type="dxa"/>
            <w:vAlign w:val="center"/>
          </w:tcPr>
          <w:p w14:paraId="528AA781" w14:textId="10F80998" w:rsidR="00F866CC" w:rsidRPr="0042713B" w:rsidRDefault="00F866CC" w:rsidP="00166431">
            <w:pPr>
              <w:spacing w:line="240" w:lineRule="auto"/>
            </w:pPr>
            <w:r w:rsidRPr="0042713B">
              <w:t>hydraulic diameter</w:t>
            </w:r>
          </w:p>
        </w:tc>
        <w:tc>
          <w:tcPr>
            <w:tcW w:w="1941" w:type="dxa"/>
            <w:vAlign w:val="center"/>
          </w:tcPr>
          <w:p w14:paraId="2C48D788" w14:textId="034076C0" w:rsidR="00F866CC" w:rsidRPr="0042713B" w:rsidRDefault="00924E48" w:rsidP="00166431">
            <w:pPr>
              <w:spacing w:line="240" w:lineRule="auto"/>
              <w:rPr>
                <w:rFonts w:ascii="Aptos Display" w:eastAsia="Times New Roman" w:hAnsi="Aptos Display" w:cs="Times New Roman"/>
                <w:i/>
                <w:iCs/>
              </w:rPr>
            </w:pPr>
            <m:oMathPara>
              <m:oMath>
                <m:sSup>
                  <m:sSupPr>
                    <m:ctrlPr>
                      <w:rPr>
                        <w:rFonts w:ascii="Cambria Math" w:hAnsi="Cambria Math"/>
                        <w:i/>
                        <w:iCs/>
                      </w:rPr>
                    </m:ctrlPr>
                  </m:sSupPr>
                  <m:e>
                    <m:r>
                      <w:rPr>
                        <w:rFonts w:ascii="Cambria Math" w:hAnsi="Cambria Math"/>
                      </w:rPr>
                      <m:t>m</m:t>
                    </m:r>
                  </m:e>
                  <m:sup>
                    <m:r>
                      <w:rPr>
                        <w:rFonts w:ascii="Cambria Math" w:hAnsi="Cambria Math"/>
                      </w:rPr>
                      <m:t>2</m:t>
                    </m:r>
                  </m:sup>
                </m:sSup>
              </m:oMath>
            </m:oMathPara>
          </w:p>
        </w:tc>
      </w:tr>
      <w:tr w:rsidR="003F2B40" w:rsidRPr="00930038" w14:paraId="2344C73A" w14:textId="77777777" w:rsidTr="003137BE">
        <w:tc>
          <w:tcPr>
            <w:tcW w:w="1874" w:type="dxa"/>
            <w:vAlign w:val="center"/>
          </w:tcPr>
          <w:p w14:paraId="03F2A9EA" w14:textId="51B44847" w:rsidR="006F37E4" w:rsidRPr="0042713B" w:rsidRDefault="0042713B" w:rsidP="00166431">
            <w:pPr>
              <w:spacing w:line="240" w:lineRule="auto"/>
              <w:rPr>
                <w:rFonts w:ascii="Aptos" w:eastAsia="Aptos" w:hAnsi="Aptos" w:cs="Times New Roman"/>
              </w:rPr>
            </w:pPr>
            <m:oMath>
              <m:r>
                <m:rPr>
                  <m:sty m:val="p"/>
                </m:rPr>
                <w:rPr>
                  <w:rFonts w:ascii="Cambria Math" w:eastAsia="Aptos" w:hAnsi="Cambria Math" w:cs="Times New Roman"/>
                </w:rPr>
                <m:t>ΔG</m:t>
              </m:r>
            </m:oMath>
            <w:r w:rsidR="003137BE" w:rsidRPr="0042713B">
              <w:rPr>
                <w:rFonts w:ascii="Aptos" w:eastAsia="Aptos" w:hAnsi="Aptos" w:cs="Times New Roman"/>
              </w:rPr>
              <w:t xml:space="preserve"> </w:t>
            </w:r>
          </w:p>
        </w:tc>
        <w:tc>
          <w:tcPr>
            <w:tcW w:w="5535" w:type="dxa"/>
            <w:vAlign w:val="center"/>
          </w:tcPr>
          <w:p w14:paraId="0F6D164E" w14:textId="49B7CCE0" w:rsidR="006F37E4" w:rsidRPr="0042713B" w:rsidRDefault="00BF5D39" w:rsidP="00166431">
            <w:pPr>
              <w:spacing w:line="240" w:lineRule="auto"/>
            </w:pPr>
            <w:r w:rsidRPr="0042713B">
              <w:t>Gibbs free energy</w:t>
            </w:r>
          </w:p>
        </w:tc>
        <w:tc>
          <w:tcPr>
            <w:tcW w:w="1941" w:type="dxa"/>
            <w:vAlign w:val="center"/>
          </w:tcPr>
          <w:p w14:paraId="66FD6CD3" w14:textId="03A97281" w:rsidR="006F37E4" w:rsidRPr="0042713B" w:rsidRDefault="00E470F0" w:rsidP="00166431">
            <w:pPr>
              <w:spacing w:line="240" w:lineRule="auto"/>
              <w:rPr>
                <w:rFonts w:ascii="Aptos Display" w:eastAsia="Times New Roman" w:hAnsi="Aptos Display" w:cs="Times New Roman"/>
                <w:i/>
                <w:iCs/>
              </w:rPr>
            </w:pPr>
            <w:r w:rsidRPr="0042713B">
              <w:rPr>
                <w:rFonts w:ascii="Aptos Display" w:eastAsia="Times New Roman" w:hAnsi="Aptos Display" w:cs="Times New Roman"/>
                <w:i/>
                <w:iCs/>
              </w:rPr>
              <w:t>J</w:t>
            </w:r>
          </w:p>
        </w:tc>
      </w:tr>
      <w:tr w:rsidR="00DD47AE" w:rsidRPr="00930038" w14:paraId="0C2B8339" w14:textId="77777777" w:rsidTr="003137BE">
        <w:tc>
          <w:tcPr>
            <w:tcW w:w="1874" w:type="dxa"/>
            <w:vAlign w:val="center"/>
          </w:tcPr>
          <w:p w14:paraId="7D2C7CE3" w14:textId="7D32DE6A" w:rsidR="006F37E4" w:rsidRPr="0042713B" w:rsidRDefault="0042713B" w:rsidP="00166431">
            <w:pPr>
              <w:spacing w:line="240" w:lineRule="auto"/>
              <w:rPr>
                <w:rFonts w:ascii="Aptos" w:eastAsia="Aptos" w:hAnsi="Aptos" w:cs="Times New Roman"/>
              </w:rPr>
            </w:pPr>
            <m:oMath>
              <m:r>
                <m:rPr>
                  <m:sty m:val="p"/>
                </m:rPr>
                <w:rPr>
                  <w:rFonts w:ascii="Cambria Math" w:eastAsia="Aptos" w:hAnsi="Cambria Math" w:cs="Times New Roman"/>
                </w:rPr>
                <m:t>Δ</m:t>
              </m:r>
              <m:r>
                <w:rPr>
                  <w:rFonts w:ascii="Cambria Math" w:eastAsia="Aptos" w:hAnsi="Cambria Math" w:cs="Times New Roman"/>
                </w:rPr>
                <m:t>h</m:t>
              </m:r>
            </m:oMath>
            <w:r w:rsidR="003137BE" w:rsidRPr="0042713B">
              <w:rPr>
                <w:rFonts w:ascii="Aptos" w:eastAsia="Aptos" w:hAnsi="Aptos" w:cs="Times New Roman"/>
              </w:rPr>
              <w:t xml:space="preserve"> </w:t>
            </w:r>
          </w:p>
        </w:tc>
        <w:tc>
          <w:tcPr>
            <w:tcW w:w="5535" w:type="dxa"/>
            <w:vAlign w:val="center"/>
          </w:tcPr>
          <w:p w14:paraId="2EC00222" w14:textId="03FCC6A3" w:rsidR="006F37E4" w:rsidRPr="0042713B" w:rsidRDefault="006F37E4" w:rsidP="00166431">
            <w:pPr>
              <w:spacing w:line="240" w:lineRule="auto"/>
            </w:pPr>
            <w:r w:rsidRPr="0042713B">
              <w:t>Specific enthalpy</w:t>
            </w:r>
          </w:p>
        </w:tc>
        <w:tc>
          <w:tcPr>
            <w:tcW w:w="1941" w:type="dxa"/>
            <w:vAlign w:val="center"/>
          </w:tcPr>
          <w:p w14:paraId="171E9AF6" w14:textId="2FD4511F" w:rsidR="006F37E4" w:rsidRPr="0042713B" w:rsidRDefault="0042713B" w:rsidP="00166431">
            <w:pPr>
              <w:spacing w:line="240" w:lineRule="auto"/>
              <w:rPr>
                <w:rFonts w:ascii="Aptos Display" w:eastAsia="Times New Roman" w:hAnsi="Aptos Display" w:cs="Times New Roman"/>
                <w:i/>
                <w:iCs/>
              </w:rPr>
            </w:pPr>
            <m:oMathPara>
              <m:oMath>
                <m:r>
                  <w:rPr>
                    <w:rFonts w:ascii="Cambria Math" w:eastAsia="Times New Roman" w:hAnsi="Cambria Math" w:cs="Times New Roman"/>
                  </w:rPr>
                  <m:t>J∙mo</m:t>
                </m:r>
                <m:sSup>
                  <m:sSupPr>
                    <m:ctrlPr>
                      <w:rPr>
                        <w:rFonts w:ascii="Cambria Math" w:eastAsia="Times New Roman" w:hAnsi="Cambria Math" w:cs="Times New Roman"/>
                        <w:i/>
                        <w:iCs/>
                      </w:rPr>
                    </m:ctrlPr>
                  </m:sSupPr>
                  <m:e>
                    <m:r>
                      <w:rPr>
                        <w:rFonts w:ascii="Cambria Math" w:eastAsia="Times New Roman" w:hAnsi="Cambria Math" w:cs="Times New Roman"/>
                      </w:rPr>
                      <m:t>l</m:t>
                    </m:r>
                  </m:e>
                  <m:sup>
                    <m:r>
                      <w:rPr>
                        <w:rFonts w:ascii="Cambria Math" w:eastAsia="Times New Roman" w:hAnsi="Cambria Math" w:cs="Times New Roman"/>
                      </w:rPr>
                      <m:t>-1</m:t>
                    </m:r>
                  </m:sup>
                </m:sSup>
              </m:oMath>
            </m:oMathPara>
          </w:p>
        </w:tc>
      </w:tr>
      <w:tr w:rsidR="00BB7411" w:rsidRPr="00930038" w14:paraId="6A557EE4" w14:textId="77777777" w:rsidTr="003137BE">
        <w:tc>
          <w:tcPr>
            <w:tcW w:w="1874" w:type="dxa"/>
            <w:vAlign w:val="center"/>
          </w:tcPr>
          <w:p w14:paraId="075BDA12" w14:textId="7591EEC7" w:rsidR="00CE6180" w:rsidRPr="0042713B" w:rsidRDefault="0042713B" w:rsidP="00166431">
            <w:pPr>
              <w:spacing w:line="240" w:lineRule="auto"/>
              <w:rPr>
                <w:rFonts w:ascii="Aptos" w:eastAsia="Aptos" w:hAnsi="Aptos" w:cs="Times New Roman"/>
              </w:rPr>
            </w:pPr>
            <m:oMath>
              <m:r>
                <m:rPr>
                  <m:sty m:val="p"/>
                </m:rPr>
                <w:rPr>
                  <w:rFonts w:ascii="Cambria Math" w:eastAsiaTheme="minorEastAsia" w:hAnsi="Cambria Math"/>
                </w:rPr>
                <m:t>Δ</m:t>
              </m:r>
              <m:r>
                <w:rPr>
                  <w:rFonts w:ascii="Cambria Math" w:eastAsiaTheme="minorEastAsia" w:hAnsi="Cambria Math"/>
                </w:rPr>
                <m:t>z</m:t>
              </m:r>
            </m:oMath>
            <w:r w:rsidR="003137BE" w:rsidRPr="0042713B">
              <w:rPr>
                <w:rFonts w:ascii="Aptos" w:eastAsia="Aptos" w:hAnsi="Aptos" w:cs="Times New Roman"/>
              </w:rPr>
              <w:t xml:space="preserve"> </w:t>
            </w:r>
          </w:p>
        </w:tc>
        <w:tc>
          <w:tcPr>
            <w:tcW w:w="5535" w:type="dxa"/>
            <w:vAlign w:val="center"/>
          </w:tcPr>
          <w:p w14:paraId="69C9A101" w14:textId="18AC777F" w:rsidR="00CE6180" w:rsidRPr="0042713B" w:rsidRDefault="003601B2" w:rsidP="00166431">
            <w:pPr>
              <w:spacing w:line="240" w:lineRule="auto"/>
            </w:pPr>
            <w:r w:rsidRPr="0042713B">
              <w:t>Length of discretized unit cell</w:t>
            </w:r>
          </w:p>
        </w:tc>
        <w:tc>
          <w:tcPr>
            <w:tcW w:w="1941" w:type="dxa"/>
            <w:vAlign w:val="center"/>
          </w:tcPr>
          <w:p w14:paraId="7732939A" w14:textId="71359820" w:rsidR="00CE6180" w:rsidRPr="0042713B" w:rsidRDefault="0042713B" w:rsidP="00166431">
            <w:pPr>
              <w:spacing w:line="240" w:lineRule="auto"/>
              <w:rPr>
                <w:rFonts w:ascii="Aptos Display" w:eastAsia="Times New Roman" w:hAnsi="Aptos Display" w:cs="Times New Roman"/>
                <w:i/>
                <w:iCs/>
              </w:rPr>
            </w:pPr>
            <m:oMathPara>
              <m:oMath>
                <m:r>
                  <w:rPr>
                    <w:rFonts w:ascii="Cambria Math" w:eastAsia="Times New Roman" w:hAnsi="Cambria Math" w:cs="Times New Roman"/>
                  </w:rPr>
                  <m:t>m</m:t>
                </m:r>
              </m:oMath>
            </m:oMathPara>
          </w:p>
        </w:tc>
      </w:tr>
      <w:tr w:rsidR="003F2B40" w:rsidRPr="00930038" w14:paraId="3E7984F0" w14:textId="77777777" w:rsidTr="003137BE">
        <w:tc>
          <w:tcPr>
            <w:tcW w:w="1874" w:type="dxa"/>
            <w:vAlign w:val="center"/>
          </w:tcPr>
          <w:p w14:paraId="49B63EB3" w14:textId="6F0C450A" w:rsidR="00896D65" w:rsidRPr="0042713B" w:rsidRDefault="0042713B" w:rsidP="00166431">
            <w:pPr>
              <w:spacing w:line="240" w:lineRule="auto"/>
              <w:rPr>
                <w:rFonts w:ascii="Aptos" w:eastAsia="Aptos" w:hAnsi="Aptos" w:cs="Times New Roman"/>
              </w:rPr>
            </w:pPr>
            <m:oMath>
              <m:r>
                <w:rPr>
                  <w:rFonts w:ascii="Cambria Math" w:eastAsia="Aptos" w:hAnsi="Cambria Math" w:cs="Times New Roman"/>
                </w:rPr>
                <m:t>ϵ</m:t>
              </m:r>
            </m:oMath>
            <w:r w:rsidR="003137BE" w:rsidRPr="0042713B">
              <w:rPr>
                <w:rFonts w:ascii="Aptos" w:eastAsia="Aptos" w:hAnsi="Aptos" w:cs="Times New Roman"/>
              </w:rPr>
              <w:t xml:space="preserve"> </w:t>
            </w:r>
          </w:p>
        </w:tc>
        <w:tc>
          <w:tcPr>
            <w:tcW w:w="5535" w:type="dxa"/>
            <w:vAlign w:val="center"/>
          </w:tcPr>
          <w:p w14:paraId="6F904645" w14:textId="3C86772F" w:rsidR="00896D65" w:rsidRPr="0042713B" w:rsidRDefault="00896D65" w:rsidP="00166431">
            <w:pPr>
              <w:spacing w:line="240" w:lineRule="auto"/>
            </w:pPr>
            <w:r w:rsidRPr="0042713B">
              <w:t>Emissivity of solid material</w:t>
            </w:r>
          </w:p>
        </w:tc>
        <w:tc>
          <w:tcPr>
            <w:tcW w:w="1941" w:type="dxa"/>
            <w:vAlign w:val="center"/>
          </w:tcPr>
          <w:p w14:paraId="0CE4BED4" w14:textId="0D9715BA" w:rsidR="00896D65" w:rsidRPr="0042713B" w:rsidRDefault="00896D65" w:rsidP="00166431">
            <w:pPr>
              <w:spacing w:line="240" w:lineRule="auto"/>
              <w:rPr>
                <w:rFonts w:ascii="Aptos Display" w:eastAsia="Times New Roman" w:hAnsi="Aptos Display" w:cs="Times New Roman"/>
                <w:i/>
                <w:iCs/>
              </w:rPr>
            </w:pPr>
            <w:r w:rsidRPr="0042713B">
              <w:rPr>
                <w:rFonts w:ascii="Aptos Display" w:eastAsia="Times New Roman" w:hAnsi="Aptos Display" w:cs="Times New Roman"/>
                <w:i/>
                <w:iCs/>
              </w:rPr>
              <w:t>-</w:t>
            </w:r>
          </w:p>
        </w:tc>
      </w:tr>
      <w:tr w:rsidR="00166431" w:rsidRPr="00930038" w14:paraId="1A9A748C" w14:textId="77777777" w:rsidTr="003137BE">
        <w:tc>
          <w:tcPr>
            <w:tcW w:w="1874" w:type="dxa"/>
            <w:vAlign w:val="center"/>
          </w:tcPr>
          <w:p w14:paraId="4AACDA51" w14:textId="1D93C8A3" w:rsidR="00FF11C8" w:rsidRPr="0042713B" w:rsidRDefault="003B6D08" w:rsidP="00166431">
            <w:pPr>
              <w:spacing w:line="240" w:lineRule="auto"/>
              <w:rPr>
                <w:rFonts w:ascii="Aptos" w:eastAsia="Aptos" w:hAnsi="Aptos" w:cs="Times New Roman"/>
              </w:rPr>
            </w:pPr>
            <w:r w:rsidRPr="0042713B">
              <w:rPr>
                <w:rFonts w:ascii="Aptos" w:eastAsia="Aptos" w:hAnsi="Aptos" w:cs="Times New Roman"/>
              </w:rPr>
              <w:t>F</w:t>
            </w:r>
          </w:p>
        </w:tc>
        <w:tc>
          <w:tcPr>
            <w:tcW w:w="5535" w:type="dxa"/>
            <w:vAlign w:val="center"/>
          </w:tcPr>
          <w:p w14:paraId="64402D04" w14:textId="534EDB30" w:rsidR="00FF11C8" w:rsidRPr="0042713B" w:rsidRDefault="003B6D08" w:rsidP="00166431">
            <w:pPr>
              <w:spacing w:line="240" w:lineRule="auto"/>
            </w:pPr>
            <w:r w:rsidRPr="0042713B">
              <w:t>Faraday’s constant</w:t>
            </w:r>
          </w:p>
        </w:tc>
        <w:tc>
          <w:tcPr>
            <w:tcW w:w="1941" w:type="dxa"/>
            <w:vAlign w:val="center"/>
          </w:tcPr>
          <w:p w14:paraId="0D0BD942" w14:textId="0611DD52" w:rsidR="00FF11C8" w:rsidRPr="0042713B" w:rsidRDefault="0042713B" w:rsidP="00166431">
            <w:pPr>
              <w:spacing w:line="240" w:lineRule="auto"/>
              <w:rPr>
                <w:rFonts w:ascii="Aptos Display" w:eastAsia="Times New Roman" w:hAnsi="Aptos Display" w:cs="Times New Roman"/>
                <w:i/>
                <w:iCs/>
              </w:rPr>
            </w:pPr>
            <m:oMathPara>
              <m:oMath>
                <m:r>
                  <w:rPr>
                    <w:rFonts w:ascii="Cambria Math" w:eastAsia="Times New Roman" w:hAnsi="Cambria Math" w:cs="Times New Roman"/>
                  </w:rPr>
                  <m:t>C∙mo</m:t>
                </m:r>
                <m:sSup>
                  <m:sSupPr>
                    <m:ctrlPr>
                      <w:rPr>
                        <w:rFonts w:ascii="Cambria Math" w:eastAsia="Times New Roman" w:hAnsi="Cambria Math" w:cs="Times New Roman"/>
                        <w:i/>
                        <w:iCs/>
                      </w:rPr>
                    </m:ctrlPr>
                  </m:sSupPr>
                  <m:e>
                    <m:r>
                      <w:rPr>
                        <w:rFonts w:ascii="Cambria Math" w:eastAsia="Times New Roman" w:hAnsi="Cambria Math" w:cs="Times New Roman"/>
                      </w:rPr>
                      <m:t>l</m:t>
                    </m:r>
                  </m:e>
                  <m:sup>
                    <m:r>
                      <w:rPr>
                        <w:rFonts w:ascii="Cambria Math" w:eastAsia="Times New Roman" w:hAnsi="Cambria Math" w:cs="Times New Roman"/>
                      </w:rPr>
                      <m:t>-1</m:t>
                    </m:r>
                  </m:sup>
                </m:sSup>
              </m:oMath>
            </m:oMathPara>
          </w:p>
        </w:tc>
      </w:tr>
      <w:tr w:rsidR="00892145" w:rsidRPr="00930038" w14:paraId="744C8911" w14:textId="77777777" w:rsidTr="003137BE">
        <w:tc>
          <w:tcPr>
            <w:tcW w:w="1874" w:type="dxa"/>
            <w:vAlign w:val="center"/>
          </w:tcPr>
          <w:p w14:paraId="11E1A607" w14:textId="7F1699D0" w:rsidR="006F37E4" w:rsidRPr="0042713B" w:rsidRDefault="0042713B" w:rsidP="00166431">
            <w:pPr>
              <w:spacing w:line="240" w:lineRule="auto"/>
              <w:rPr>
                <w:rFonts w:ascii="Aptos" w:eastAsia="Aptos" w:hAnsi="Aptos" w:cs="Times New Roman"/>
              </w:rPr>
            </w:pPr>
            <m:oMath>
              <m:r>
                <w:rPr>
                  <w:rFonts w:ascii="Cambria Math" w:eastAsia="Aptos" w:hAnsi="Cambria Math" w:cs="Times New Roman"/>
                </w:rPr>
                <m:t>h</m:t>
              </m:r>
            </m:oMath>
            <w:r w:rsidR="003137BE" w:rsidRPr="0042713B">
              <w:rPr>
                <w:rFonts w:ascii="Aptos" w:eastAsia="Aptos" w:hAnsi="Aptos" w:cs="Times New Roman"/>
              </w:rPr>
              <w:t xml:space="preserve">  </w:t>
            </w:r>
          </w:p>
        </w:tc>
        <w:tc>
          <w:tcPr>
            <w:tcW w:w="5535" w:type="dxa"/>
            <w:vAlign w:val="center"/>
          </w:tcPr>
          <w:p w14:paraId="18AB197C" w14:textId="44346FA5" w:rsidR="006F37E4" w:rsidRPr="0042713B" w:rsidRDefault="006F37E4" w:rsidP="00166431">
            <w:pPr>
              <w:spacing w:line="240" w:lineRule="auto"/>
            </w:pPr>
            <w:r w:rsidRPr="0042713B">
              <w:t>Coefficient of convective heat transfer</w:t>
            </w:r>
          </w:p>
        </w:tc>
        <w:tc>
          <w:tcPr>
            <w:tcW w:w="1941" w:type="dxa"/>
            <w:vAlign w:val="center"/>
          </w:tcPr>
          <w:p w14:paraId="76FD73B3" w14:textId="5E020A24" w:rsidR="006F37E4" w:rsidRPr="0042713B" w:rsidRDefault="0042713B" w:rsidP="00166431">
            <w:pPr>
              <w:spacing w:line="240" w:lineRule="auto"/>
              <w:rPr>
                <w:rFonts w:ascii="Aptos Display" w:eastAsia="Times New Roman" w:hAnsi="Aptos Display" w:cs="Times New Roman"/>
                <w:i/>
                <w:iCs/>
              </w:rPr>
            </w:pPr>
            <m:oMathPara>
              <m:oMath>
                <m:r>
                  <w:rPr>
                    <w:rFonts w:ascii="Cambria Math" w:eastAsia="Times New Roman" w:hAnsi="Cambria Math" w:cs="Times New Roman"/>
                  </w:rPr>
                  <m:t>W∙</m:t>
                </m:r>
                <m:sSup>
                  <m:sSupPr>
                    <m:ctrlPr>
                      <w:rPr>
                        <w:rFonts w:ascii="Cambria Math" w:eastAsia="Times New Roman" w:hAnsi="Cambria Math" w:cs="Times New Roman"/>
                        <w:i/>
                        <w:iCs/>
                      </w:rPr>
                    </m:ctrlPr>
                  </m:sSupPr>
                  <m:e>
                    <m:r>
                      <w:rPr>
                        <w:rFonts w:ascii="Cambria Math" w:eastAsia="Times New Roman" w:hAnsi="Cambria Math" w:cs="Times New Roman"/>
                      </w:rPr>
                      <m:t>m</m:t>
                    </m:r>
                  </m:e>
                  <m:sup>
                    <m:r>
                      <w:rPr>
                        <w:rFonts w:ascii="Cambria Math" w:eastAsia="Times New Roman" w:hAnsi="Cambria Math" w:cs="Times New Roman"/>
                      </w:rPr>
                      <m:t>-2</m:t>
                    </m:r>
                  </m:sup>
                </m:sSup>
                <m:r>
                  <w:rPr>
                    <w:rFonts w:ascii="Cambria Math" w:eastAsia="Times New Roman" w:hAnsi="Cambria Math" w:cs="Times New Roman"/>
                  </w:rPr>
                  <m:t>∙</m:t>
                </m:r>
                <m:sSup>
                  <m:sSupPr>
                    <m:ctrlPr>
                      <w:rPr>
                        <w:rFonts w:ascii="Cambria Math" w:eastAsia="Times New Roman" w:hAnsi="Cambria Math" w:cs="Times New Roman"/>
                        <w:i/>
                        <w:iCs/>
                      </w:rPr>
                    </m:ctrlPr>
                  </m:sSupPr>
                  <m:e>
                    <m:r>
                      <w:rPr>
                        <w:rFonts w:ascii="Cambria Math" w:eastAsia="Times New Roman" w:hAnsi="Cambria Math" w:cs="Times New Roman"/>
                      </w:rPr>
                      <m:t>K</m:t>
                    </m:r>
                  </m:e>
                  <m:sup>
                    <m:r>
                      <w:rPr>
                        <w:rFonts w:ascii="Cambria Math" w:eastAsia="Times New Roman" w:hAnsi="Cambria Math" w:cs="Times New Roman"/>
                      </w:rPr>
                      <m:t>-1</m:t>
                    </m:r>
                  </m:sup>
                </m:sSup>
              </m:oMath>
            </m:oMathPara>
          </w:p>
        </w:tc>
      </w:tr>
      <w:tr w:rsidR="005531F4" w:rsidRPr="00930038" w14:paraId="0A24CD89" w14:textId="77777777" w:rsidTr="003137BE">
        <w:tc>
          <w:tcPr>
            <w:tcW w:w="1874" w:type="dxa"/>
            <w:vAlign w:val="center"/>
          </w:tcPr>
          <w:p w14:paraId="4C91243A" w14:textId="673414B7" w:rsidR="005531F4" w:rsidRDefault="00924E48" w:rsidP="00166431">
            <w:pPr>
              <w:spacing w:line="240" w:lineRule="auto"/>
              <w:rPr>
                <w:rFonts w:ascii="Aptos" w:eastAsia="Aptos" w:hAnsi="Aptos" w:cs="Times New Roman"/>
              </w:rPr>
            </w:pPr>
            <m:oMathPara>
              <m:oMath>
                <m:sSub>
                  <m:sSubPr>
                    <m:ctrlPr>
                      <w:rPr>
                        <w:rFonts w:ascii="Cambria Math" w:eastAsia="Aptos" w:hAnsi="Cambria Math" w:cs="Times New Roman"/>
                        <w:i/>
                      </w:rPr>
                    </m:ctrlPr>
                  </m:sSubPr>
                  <m:e>
                    <m:r>
                      <w:rPr>
                        <w:rFonts w:ascii="Cambria Math" w:eastAsia="Aptos" w:hAnsi="Cambria Math" w:cs="Times New Roman"/>
                      </w:rPr>
                      <m:t>h</m:t>
                    </m:r>
                  </m:e>
                  <m:sub>
                    <m:r>
                      <w:rPr>
                        <w:rFonts w:ascii="Cambria Math" w:eastAsia="Aptos" w:hAnsi="Cambria Math" w:cs="Times New Roman"/>
                      </w:rPr>
                      <m:t>sidec</m:t>
                    </m:r>
                    <m:r>
                      <w:rPr>
                        <w:rFonts w:ascii="Cambria Math" w:eastAsia="Aptos" w:hAnsi="Cambria Math" w:cs="Times New Roman"/>
                      </w:rPr>
                      <m:t>h</m:t>
                    </m:r>
                  </m:sub>
                </m:sSub>
              </m:oMath>
            </m:oMathPara>
          </w:p>
        </w:tc>
        <w:tc>
          <w:tcPr>
            <w:tcW w:w="5535" w:type="dxa"/>
            <w:vAlign w:val="center"/>
          </w:tcPr>
          <w:p w14:paraId="77279790" w14:textId="3D4C1A8B" w:rsidR="005531F4" w:rsidRPr="0042713B" w:rsidRDefault="001975E5" w:rsidP="00166431">
            <w:pPr>
              <w:spacing w:line="240" w:lineRule="auto"/>
            </w:pPr>
            <w:r>
              <w:t>Height of either the fuel or air-side channel</w:t>
            </w:r>
          </w:p>
        </w:tc>
        <w:tc>
          <w:tcPr>
            <w:tcW w:w="1941" w:type="dxa"/>
            <w:vAlign w:val="center"/>
          </w:tcPr>
          <w:p w14:paraId="44EE6EFE" w14:textId="0C0A4488" w:rsidR="005531F4" w:rsidRPr="008C63CE" w:rsidRDefault="008C63CE" w:rsidP="00166431">
            <w:pPr>
              <w:spacing w:line="240" w:lineRule="auto"/>
              <w:rPr>
                <w:rFonts w:ascii="Aptos" w:eastAsia="Aptos" w:hAnsi="Aptos" w:cs="Times New Roman"/>
                <w:i/>
                <w:iCs/>
              </w:rPr>
            </w:pPr>
            <m:oMathPara>
              <m:oMath>
                <m:r>
                  <w:rPr>
                    <w:rFonts w:ascii="Cambria Math" w:eastAsia="Aptos" w:hAnsi="Cambria Math" w:cs="Times New Roman"/>
                  </w:rPr>
                  <m:t>m</m:t>
                </m:r>
              </m:oMath>
            </m:oMathPara>
          </w:p>
        </w:tc>
      </w:tr>
      <w:tr w:rsidR="003F2B40" w:rsidRPr="00930038" w14:paraId="491923B8" w14:textId="77777777" w:rsidTr="003137BE">
        <w:tc>
          <w:tcPr>
            <w:tcW w:w="1874" w:type="dxa"/>
            <w:vAlign w:val="center"/>
          </w:tcPr>
          <w:p w14:paraId="5833C1E5" w14:textId="514F72B8" w:rsidR="00A90924" w:rsidRPr="0042713B" w:rsidRDefault="00924E48" w:rsidP="00166431">
            <w:pPr>
              <w:spacing w:line="240" w:lineRule="auto"/>
              <w:rPr>
                <w:rFonts w:ascii="Aptos" w:eastAsia="Aptos" w:hAnsi="Aptos" w:cs="Times New Roman"/>
              </w:rPr>
            </w:pPr>
            <m:oMath>
              <m:sSub>
                <m:sSubPr>
                  <m:ctrlPr>
                    <w:rPr>
                      <w:rFonts w:ascii="Cambria Math" w:eastAsia="Aptos" w:hAnsi="Cambria Math" w:cs="Times New Roman"/>
                      <w:i/>
                    </w:rPr>
                  </m:ctrlPr>
                </m:sSubPr>
                <m:e>
                  <m:r>
                    <w:rPr>
                      <w:rFonts w:ascii="Cambria Math" w:eastAsia="Aptos" w:hAnsi="Cambria Math" w:cs="Times New Roman"/>
                    </w:rPr>
                    <m:t>i</m:t>
                  </m:r>
                </m:e>
                <m:sub>
                  <m:r>
                    <w:rPr>
                      <w:rFonts w:ascii="Cambria Math" w:eastAsia="Aptos" w:hAnsi="Cambria Math" w:cs="Times New Roman"/>
                    </w:rPr>
                    <m:t>cell</m:t>
                  </m:r>
                </m:sub>
              </m:sSub>
            </m:oMath>
            <w:r w:rsidR="003137BE" w:rsidRPr="0042713B">
              <w:rPr>
                <w:rFonts w:ascii="Aptos" w:eastAsia="Aptos" w:hAnsi="Aptos" w:cs="Times New Roman"/>
              </w:rPr>
              <w:t xml:space="preserve"> </w:t>
            </w:r>
          </w:p>
        </w:tc>
        <w:tc>
          <w:tcPr>
            <w:tcW w:w="5535" w:type="dxa"/>
            <w:vAlign w:val="center"/>
          </w:tcPr>
          <w:p w14:paraId="54A24D20" w14:textId="5B39C185" w:rsidR="00A90924" w:rsidRPr="0042713B" w:rsidRDefault="00A90924" w:rsidP="00166431">
            <w:pPr>
              <w:spacing w:line="240" w:lineRule="auto"/>
            </w:pPr>
            <w:r w:rsidRPr="0042713B">
              <w:t>Current running through the cell</w:t>
            </w:r>
          </w:p>
        </w:tc>
        <w:tc>
          <w:tcPr>
            <w:tcW w:w="1941" w:type="dxa"/>
            <w:vAlign w:val="center"/>
          </w:tcPr>
          <w:p w14:paraId="7175A3C8" w14:textId="51C1E4DB" w:rsidR="00A90924" w:rsidRPr="0042713B" w:rsidRDefault="00A90924" w:rsidP="00166431">
            <w:pPr>
              <w:spacing w:line="240" w:lineRule="auto"/>
              <w:rPr>
                <w:rFonts w:ascii="Aptos Display" w:eastAsia="Times New Roman" w:hAnsi="Aptos Display" w:cs="Times New Roman"/>
                <w:i/>
                <w:iCs/>
              </w:rPr>
            </w:pPr>
            <w:r w:rsidRPr="0042713B">
              <w:rPr>
                <w:rFonts w:ascii="Aptos Display" w:eastAsia="Times New Roman" w:hAnsi="Aptos Display" w:cs="Times New Roman"/>
                <w:i/>
                <w:iCs/>
              </w:rPr>
              <w:t>A</w:t>
            </w:r>
          </w:p>
        </w:tc>
      </w:tr>
      <w:tr w:rsidR="00166431" w:rsidRPr="00930038" w14:paraId="62209983" w14:textId="77777777" w:rsidTr="003137BE">
        <w:tc>
          <w:tcPr>
            <w:tcW w:w="1874" w:type="dxa"/>
            <w:vAlign w:val="center"/>
          </w:tcPr>
          <w:p w14:paraId="1E50D443" w14:textId="5E36D49C" w:rsidR="003B6D08" w:rsidRPr="0042713B" w:rsidRDefault="00924E48" w:rsidP="00166431">
            <w:pPr>
              <w:spacing w:line="240" w:lineRule="auto"/>
              <w:rPr>
                <w:rFonts w:ascii="Aptos" w:eastAsia="Aptos" w:hAnsi="Aptos" w:cs="Times New Roman"/>
              </w:rPr>
            </w:pPr>
            <m:oMath>
              <m:sSub>
                <m:sSubPr>
                  <m:ctrlPr>
                    <w:rPr>
                      <w:rFonts w:ascii="Cambria Math" w:eastAsia="Aptos" w:hAnsi="Cambria Math" w:cs="Times New Roman"/>
                      <w:i/>
                    </w:rPr>
                  </m:ctrlPr>
                </m:sSubPr>
                <m:e>
                  <m:r>
                    <w:rPr>
                      <w:rFonts w:ascii="Cambria Math" w:eastAsia="Aptos" w:hAnsi="Cambria Math" w:cs="Times New Roman"/>
                    </w:rPr>
                    <m:t>j</m:t>
                  </m:r>
                </m:e>
                <m:sub>
                  <m:r>
                    <w:rPr>
                      <w:rFonts w:ascii="Cambria Math" w:eastAsia="Aptos" w:hAnsi="Cambria Math" w:cs="Times New Roman"/>
                    </w:rPr>
                    <m:t>cell</m:t>
                  </m:r>
                </m:sub>
              </m:sSub>
            </m:oMath>
            <w:r w:rsidR="003137BE" w:rsidRPr="0042713B">
              <w:rPr>
                <w:rFonts w:ascii="Aptos" w:eastAsia="Aptos" w:hAnsi="Aptos" w:cs="Times New Roman"/>
              </w:rPr>
              <w:t xml:space="preserve"> </w:t>
            </w:r>
          </w:p>
        </w:tc>
        <w:tc>
          <w:tcPr>
            <w:tcW w:w="5535" w:type="dxa"/>
            <w:vAlign w:val="center"/>
          </w:tcPr>
          <w:p w14:paraId="1DEBD8BF" w14:textId="46E29C67" w:rsidR="003B6D08" w:rsidRPr="0042713B" w:rsidRDefault="00D5791E" w:rsidP="00166431">
            <w:pPr>
              <w:spacing w:line="240" w:lineRule="auto"/>
            </w:pPr>
            <w:r w:rsidRPr="0042713B">
              <w:t>C</w:t>
            </w:r>
            <w:r w:rsidR="003B6D08" w:rsidRPr="0042713B">
              <w:t>urrent density</w:t>
            </w:r>
          </w:p>
        </w:tc>
        <w:tc>
          <w:tcPr>
            <w:tcW w:w="1941" w:type="dxa"/>
            <w:vAlign w:val="center"/>
          </w:tcPr>
          <w:p w14:paraId="7BE6D905" w14:textId="2BE7610B" w:rsidR="003B6D08" w:rsidRPr="0042713B" w:rsidRDefault="0042713B" w:rsidP="00166431">
            <w:pPr>
              <w:spacing w:line="240" w:lineRule="auto"/>
              <w:rPr>
                <w:rFonts w:ascii="Aptos Display" w:eastAsia="Times New Roman" w:hAnsi="Aptos Display" w:cs="Times New Roman"/>
                <w:i/>
                <w:iCs/>
              </w:rPr>
            </w:pPr>
            <m:oMathPara>
              <m:oMath>
                <m:r>
                  <w:rPr>
                    <w:rFonts w:ascii="Cambria Math" w:eastAsia="Times New Roman" w:hAnsi="Cambria Math" w:cs="Times New Roman"/>
                  </w:rPr>
                  <m:t>A∙</m:t>
                </m:r>
                <m:sSup>
                  <m:sSupPr>
                    <m:ctrlPr>
                      <w:rPr>
                        <w:rFonts w:ascii="Cambria Math" w:eastAsia="Times New Roman" w:hAnsi="Cambria Math" w:cs="Times New Roman"/>
                        <w:i/>
                        <w:iCs/>
                      </w:rPr>
                    </m:ctrlPr>
                  </m:sSupPr>
                  <m:e>
                    <m:r>
                      <w:rPr>
                        <w:rFonts w:ascii="Cambria Math" w:eastAsia="Times New Roman" w:hAnsi="Cambria Math" w:cs="Times New Roman"/>
                      </w:rPr>
                      <m:t>m</m:t>
                    </m:r>
                  </m:e>
                  <m:sup>
                    <m:r>
                      <w:rPr>
                        <w:rFonts w:ascii="Cambria Math" w:eastAsia="Times New Roman" w:hAnsi="Cambria Math" w:cs="Times New Roman"/>
                      </w:rPr>
                      <m:t>-2</m:t>
                    </m:r>
                  </m:sup>
                </m:sSup>
              </m:oMath>
            </m:oMathPara>
          </w:p>
        </w:tc>
      </w:tr>
      <w:tr w:rsidR="00BB7411" w:rsidRPr="00930038" w14:paraId="738FC622" w14:textId="77777777" w:rsidTr="002158D5">
        <w:trPr>
          <w:trHeight w:val="315"/>
        </w:trPr>
        <w:tc>
          <w:tcPr>
            <w:tcW w:w="1874" w:type="dxa"/>
            <w:vAlign w:val="center"/>
          </w:tcPr>
          <w:p w14:paraId="16819D9A" w14:textId="6DB0F697" w:rsidR="00037642" w:rsidRPr="0042713B" w:rsidRDefault="00037642" w:rsidP="00166431">
            <w:pPr>
              <w:spacing w:line="240" w:lineRule="auto"/>
              <w:rPr>
                <w:rFonts w:ascii="Aptos" w:eastAsia="Aptos" w:hAnsi="Aptos" w:cs="Times New Roman"/>
              </w:rPr>
            </w:pPr>
            <w:r w:rsidRPr="0042713B">
              <w:rPr>
                <w:rFonts w:ascii="Aptos" w:eastAsia="Aptos" w:hAnsi="Aptos" w:cs="Times New Roman"/>
              </w:rPr>
              <w:t>k</w:t>
            </w:r>
          </w:p>
        </w:tc>
        <w:tc>
          <w:tcPr>
            <w:tcW w:w="5535" w:type="dxa"/>
            <w:vAlign w:val="center"/>
          </w:tcPr>
          <w:p w14:paraId="0587C7E2" w14:textId="0D11691C" w:rsidR="00037642" w:rsidRPr="0042713B" w:rsidRDefault="00037642" w:rsidP="00166431">
            <w:pPr>
              <w:spacing w:line="240" w:lineRule="auto"/>
            </w:pPr>
            <w:r w:rsidRPr="0042713B">
              <w:t>Thermal conductivity of solid</w:t>
            </w:r>
          </w:p>
        </w:tc>
        <w:tc>
          <w:tcPr>
            <w:tcW w:w="1941" w:type="dxa"/>
            <w:vAlign w:val="center"/>
          </w:tcPr>
          <w:p w14:paraId="450BDFA6" w14:textId="25B989B2" w:rsidR="00037642" w:rsidRPr="0042713B" w:rsidRDefault="0042713B" w:rsidP="00166431">
            <w:pPr>
              <w:spacing w:line="240" w:lineRule="auto"/>
              <w:rPr>
                <w:rFonts w:ascii="Aptos Display" w:eastAsia="Times New Roman" w:hAnsi="Aptos Display" w:cs="Times New Roman"/>
                <w:i/>
                <w:iCs/>
              </w:rPr>
            </w:pPr>
            <m:oMathPara>
              <m:oMath>
                <m:r>
                  <w:rPr>
                    <w:rFonts w:ascii="Cambria Math" w:eastAsia="Times New Roman" w:hAnsi="Cambria Math" w:cs="Times New Roman"/>
                  </w:rPr>
                  <m:t>W∙</m:t>
                </m:r>
                <m:sSup>
                  <m:sSupPr>
                    <m:ctrlPr>
                      <w:rPr>
                        <w:rFonts w:ascii="Cambria Math" w:eastAsia="Times New Roman" w:hAnsi="Cambria Math" w:cs="Times New Roman"/>
                        <w:i/>
                        <w:iCs/>
                      </w:rPr>
                    </m:ctrlPr>
                  </m:sSupPr>
                  <m:e>
                    <m:r>
                      <w:rPr>
                        <w:rFonts w:ascii="Cambria Math" w:eastAsia="Times New Roman" w:hAnsi="Cambria Math" w:cs="Times New Roman"/>
                      </w:rPr>
                      <m:t>m</m:t>
                    </m:r>
                  </m:e>
                  <m:sup>
                    <m:r>
                      <w:rPr>
                        <w:rFonts w:ascii="Cambria Math" w:eastAsia="Times New Roman" w:hAnsi="Cambria Math" w:cs="Times New Roman"/>
                      </w:rPr>
                      <m:t>-1</m:t>
                    </m:r>
                  </m:sup>
                </m:sSup>
                <m:r>
                  <w:rPr>
                    <w:rFonts w:ascii="Cambria Math" w:eastAsia="Times New Roman" w:hAnsi="Cambria Math" w:cs="Times New Roman"/>
                  </w:rPr>
                  <m:t>∙</m:t>
                </m:r>
                <m:sSup>
                  <m:sSupPr>
                    <m:ctrlPr>
                      <w:rPr>
                        <w:rFonts w:ascii="Cambria Math" w:eastAsia="Times New Roman" w:hAnsi="Cambria Math" w:cs="Times New Roman"/>
                        <w:i/>
                        <w:iCs/>
                      </w:rPr>
                    </m:ctrlPr>
                  </m:sSupPr>
                  <m:e>
                    <m:r>
                      <w:rPr>
                        <w:rFonts w:ascii="Cambria Math" w:eastAsia="Times New Roman" w:hAnsi="Cambria Math" w:cs="Times New Roman"/>
                      </w:rPr>
                      <m:t>K</m:t>
                    </m:r>
                  </m:e>
                  <m:sup>
                    <m:r>
                      <w:rPr>
                        <w:rFonts w:ascii="Cambria Math" w:eastAsia="Times New Roman" w:hAnsi="Cambria Math" w:cs="Times New Roman"/>
                      </w:rPr>
                      <m:t>-1</m:t>
                    </m:r>
                  </m:sup>
                </m:sSup>
              </m:oMath>
            </m:oMathPara>
          </w:p>
        </w:tc>
      </w:tr>
      <w:tr w:rsidR="00892145" w:rsidRPr="00930038" w14:paraId="64D9DEBE" w14:textId="77777777" w:rsidTr="003137BE">
        <w:tc>
          <w:tcPr>
            <w:tcW w:w="1874" w:type="dxa"/>
            <w:vAlign w:val="center"/>
          </w:tcPr>
          <w:p w14:paraId="366EFAB9" w14:textId="15430BE6" w:rsidR="006F37E4" w:rsidRPr="0042713B" w:rsidRDefault="006F37E4" w:rsidP="00166431">
            <w:pPr>
              <w:spacing w:line="240" w:lineRule="auto"/>
              <w:rPr>
                <w:rFonts w:ascii="Aptos" w:eastAsia="Aptos" w:hAnsi="Aptos" w:cs="Times New Roman"/>
              </w:rPr>
            </w:pPr>
            <w:r w:rsidRPr="0042713B">
              <w:rPr>
                <w:rFonts w:ascii="Aptos" w:eastAsia="Aptos" w:hAnsi="Aptos" w:cs="Times New Roman"/>
              </w:rPr>
              <w:t>L</w:t>
            </w:r>
          </w:p>
        </w:tc>
        <w:tc>
          <w:tcPr>
            <w:tcW w:w="5535" w:type="dxa"/>
            <w:vAlign w:val="center"/>
          </w:tcPr>
          <w:p w14:paraId="5A955BD4" w14:textId="73ECEF2E" w:rsidR="006F37E4" w:rsidRPr="0042713B" w:rsidRDefault="006F37E4" w:rsidP="00166431">
            <w:pPr>
              <w:spacing w:line="240" w:lineRule="auto"/>
            </w:pPr>
            <w:r w:rsidRPr="0042713B">
              <w:t>Length of the cell</w:t>
            </w:r>
          </w:p>
        </w:tc>
        <w:tc>
          <w:tcPr>
            <w:tcW w:w="1941" w:type="dxa"/>
            <w:vAlign w:val="center"/>
          </w:tcPr>
          <w:p w14:paraId="2EF0BEF1" w14:textId="20AE0509" w:rsidR="006F37E4" w:rsidRPr="0042713B" w:rsidRDefault="0042713B" w:rsidP="00166431">
            <w:pPr>
              <w:spacing w:line="240" w:lineRule="auto"/>
              <w:rPr>
                <w:rFonts w:ascii="Aptos Display" w:eastAsia="Times New Roman" w:hAnsi="Aptos Display" w:cs="Times New Roman"/>
                <w:i/>
                <w:iCs/>
              </w:rPr>
            </w:pPr>
            <m:oMathPara>
              <m:oMath>
                <m:r>
                  <w:rPr>
                    <w:rFonts w:ascii="Cambria Math" w:eastAsia="Times New Roman" w:hAnsi="Cambria Math" w:cs="Times New Roman"/>
                  </w:rPr>
                  <m:t>m</m:t>
                </m:r>
              </m:oMath>
            </m:oMathPara>
          </w:p>
        </w:tc>
      </w:tr>
      <w:tr w:rsidR="00BB7411" w:rsidRPr="00930038" w14:paraId="512F58FE" w14:textId="77777777" w:rsidTr="003137BE">
        <w:tc>
          <w:tcPr>
            <w:tcW w:w="1874" w:type="dxa"/>
            <w:vAlign w:val="center"/>
          </w:tcPr>
          <w:p w14:paraId="209815B0" w14:textId="6694A98F" w:rsidR="006F37E4" w:rsidRPr="0042713B" w:rsidRDefault="0042713B" w:rsidP="00166431">
            <w:pPr>
              <w:spacing w:line="240" w:lineRule="auto"/>
              <w:rPr>
                <w:rFonts w:ascii="Aptos" w:eastAsia="Aptos" w:hAnsi="Aptos" w:cs="Times New Roman"/>
              </w:rPr>
            </w:pPr>
            <m:oMath>
              <m:r>
                <w:rPr>
                  <w:rFonts w:ascii="Cambria Math" w:eastAsia="Aptos" w:hAnsi="Cambria Math" w:cs="Times New Roman"/>
                </w:rPr>
                <m:t>λ</m:t>
              </m:r>
            </m:oMath>
            <w:r w:rsidR="003137BE" w:rsidRPr="0042713B">
              <w:rPr>
                <w:rFonts w:ascii="Aptos" w:eastAsia="Aptos" w:hAnsi="Aptos" w:cs="Times New Roman"/>
              </w:rPr>
              <w:t xml:space="preserve"> </w:t>
            </w:r>
          </w:p>
        </w:tc>
        <w:tc>
          <w:tcPr>
            <w:tcW w:w="5535" w:type="dxa"/>
            <w:vAlign w:val="center"/>
          </w:tcPr>
          <w:p w14:paraId="0584B94A" w14:textId="5EF8D5C8" w:rsidR="006F37E4" w:rsidRPr="0042713B" w:rsidRDefault="006F37E4" w:rsidP="00166431">
            <w:pPr>
              <w:spacing w:line="240" w:lineRule="auto"/>
            </w:pPr>
            <w:r w:rsidRPr="0042713B">
              <w:t>Thermal Conductivity</w:t>
            </w:r>
            <w:r w:rsidR="00037642" w:rsidRPr="0042713B">
              <w:t xml:space="preserve"> of fluid</w:t>
            </w:r>
          </w:p>
        </w:tc>
        <w:tc>
          <w:tcPr>
            <w:tcW w:w="1941" w:type="dxa"/>
            <w:vAlign w:val="center"/>
          </w:tcPr>
          <w:p w14:paraId="4FC4EFC6" w14:textId="2F0043D8" w:rsidR="006F37E4" w:rsidRPr="0042713B" w:rsidRDefault="0042713B" w:rsidP="00166431">
            <w:pPr>
              <w:spacing w:line="240" w:lineRule="auto"/>
              <w:rPr>
                <w:rFonts w:ascii="Aptos Display" w:eastAsia="Times New Roman" w:hAnsi="Aptos Display" w:cs="Times New Roman"/>
                <w:i/>
                <w:iCs/>
              </w:rPr>
            </w:pPr>
            <m:oMathPara>
              <m:oMath>
                <m:r>
                  <w:rPr>
                    <w:rFonts w:ascii="Cambria Math" w:eastAsia="Times New Roman" w:hAnsi="Cambria Math" w:cs="Times New Roman"/>
                  </w:rPr>
                  <m:t>W∙</m:t>
                </m:r>
                <m:sSup>
                  <m:sSupPr>
                    <m:ctrlPr>
                      <w:rPr>
                        <w:rFonts w:ascii="Cambria Math" w:eastAsia="Times New Roman" w:hAnsi="Cambria Math" w:cs="Times New Roman"/>
                        <w:i/>
                        <w:iCs/>
                      </w:rPr>
                    </m:ctrlPr>
                  </m:sSupPr>
                  <m:e>
                    <m:r>
                      <w:rPr>
                        <w:rFonts w:ascii="Cambria Math" w:eastAsia="Times New Roman" w:hAnsi="Cambria Math" w:cs="Times New Roman"/>
                      </w:rPr>
                      <m:t>m</m:t>
                    </m:r>
                  </m:e>
                  <m:sup>
                    <m:r>
                      <w:rPr>
                        <w:rFonts w:ascii="Cambria Math" w:eastAsia="Times New Roman" w:hAnsi="Cambria Math" w:cs="Times New Roman"/>
                      </w:rPr>
                      <m:t>-1</m:t>
                    </m:r>
                  </m:sup>
                </m:sSup>
                <m:r>
                  <w:rPr>
                    <w:rFonts w:ascii="Cambria Math" w:eastAsia="Times New Roman" w:hAnsi="Cambria Math" w:cs="Times New Roman"/>
                  </w:rPr>
                  <m:t>∙</m:t>
                </m:r>
                <m:sSup>
                  <m:sSupPr>
                    <m:ctrlPr>
                      <w:rPr>
                        <w:rFonts w:ascii="Cambria Math" w:eastAsia="Times New Roman" w:hAnsi="Cambria Math" w:cs="Times New Roman"/>
                        <w:i/>
                        <w:iCs/>
                      </w:rPr>
                    </m:ctrlPr>
                  </m:sSupPr>
                  <m:e>
                    <m:r>
                      <w:rPr>
                        <w:rFonts w:ascii="Cambria Math" w:eastAsia="Times New Roman" w:hAnsi="Cambria Math" w:cs="Times New Roman"/>
                      </w:rPr>
                      <m:t>K</m:t>
                    </m:r>
                  </m:e>
                  <m:sup>
                    <m:r>
                      <w:rPr>
                        <w:rFonts w:ascii="Cambria Math" w:eastAsia="Times New Roman" w:hAnsi="Cambria Math" w:cs="Times New Roman"/>
                      </w:rPr>
                      <m:t>-1</m:t>
                    </m:r>
                  </m:sup>
                </m:sSup>
              </m:oMath>
            </m:oMathPara>
          </w:p>
        </w:tc>
      </w:tr>
      <w:tr w:rsidR="00BB7411" w:rsidRPr="00930038" w14:paraId="46632920" w14:textId="77777777" w:rsidTr="003137BE">
        <w:tc>
          <w:tcPr>
            <w:tcW w:w="1874" w:type="dxa"/>
            <w:vAlign w:val="center"/>
          </w:tcPr>
          <w:p w14:paraId="5A4199E0" w14:textId="652D95ED" w:rsidR="006F37E4" w:rsidRPr="0042713B" w:rsidRDefault="006F37E4" w:rsidP="00166431">
            <w:pPr>
              <w:spacing w:line="240" w:lineRule="auto"/>
              <w:rPr>
                <w:rFonts w:ascii="Aptos" w:eastAsia="Aptos" w:hAnsi="Aptos" w:cs="Times New Roman"/>
              </w:rPr>
            </w:pPr>
            <w:r w:rsidRPr="0042713B">
              <w:rPr>
                <w:rFonts w:ascii="Aptos" w:eastAsia="Aptos" w:hAnsi="Aptos" w:cs="Times New Roman"/>
              </w:rPr>
              <w:t>M</w:t>
            </w:r>
          </w:p>
        </w:tc>
        <w:tc>
          <w:tcPr>
            <w:tcW w:w="5535" w:type="dxa"/>
            <w:vAlign w:val="center"/>
          </w:tcPr>
          <w:p w14:paraId="21B90C81" w14:textId="7BD6DB8D" w:rsidR="006F37E4" w:rsidRPr="0042713B" w:rsidRDefault="006F37E4" w:rsidP="00166431">
            <w:pPr>
              <w:spacing w:line="240" w:lineRule="auto"/>
            </w:pPr>
            <w:r w:rsidRPr="0042713B">
              <w:t>Molar mass</w:t>
            </w:r>
          </w:p>
        </w:tc>
        <w:tc>
          <w:tcPr>
            <w:tcW w:w="1941" w:type="dxa"/>
            <w:vAlign w:val="center"/>
          </w:tcPr>
          <w:p w14:paraId="53217A71" w14:textId="1E84327B" w:rsidR="006F37E4" w:rsidRPr="0042713B" w:rsidRDefault="0042713B" w:rsidP="00166431">
            <w:pPr>
              <w:spacing w:line="240" w:lineRule="auto"/>
              <w:rPr>
                <w:rFonts w:ascii="Aptos Display" w:eastAsia="Times New Roman" w:hAnsi="Aptos Display" w:cs="Times New Roman"/>
                <w:i/>
                <w:iCs/>
              </w:rPr>
            </w:pPr>
            <m:oMathPara>
              <m:oMath>
                <m:r>
                  <w:rPr>
                    <w:rFonts w:ascii="Cambria Math" w:eastAsia="Times New Roman" w:hAnsi="Cambria Math" w:cs="Times New Roman"/>
                  </w:rPr>
                  <m:t>g∙mo</m:t>
                </m:r>
                <m:sSup>
                  <m:sSupPr>
                    <m:ctrlPr>
                      <w:rPr>
                        <w:rFonts w:ascii="Cambria Math" w:eastAsia="Times New Roman" w:hAnsi="Cambria Math" w:cs="Times New Roman"/>
                        <w:i/>
                        <w:iCs/>
                      </w:rPr>
                    </m:ctrlPr>
                  </m:sSupPr>
                  <m:e>
                    <m:r>
                      <w:rPr>
                        <w:rFonts w:ascii="Cambria Math" w:eastAsia="Times New Roman" w:hAnsi="Cambria Math" w:cs="Times New Roman"/>
                      </w:rPr>
                      <m:t>l</m:t>
                    </m:r>
                  </m:e>
                  <m:sup>
                    <m:r>
                      <w:rPr>
                        <w:rFonts w:ascii="Cambria Math" w:eastAsia="Times New Roman" w:hAnsi="Cambria Math" w:cs="Times New Roman"/>
                      </w:rPr>
                      <m:t>-1</m:t>
                    </m:r>
                  </m:sup>
                </m:sSup>
              </m:oMath>
            </m:oMathPara>
          </w:p>
        </w:tc>
      </w:tr>
      <w:tr w:rsidR="0042713B" w:rsidRPr="00930038" w14:paraId="04A31AFF" w14:textId="77777777" w:rsidTr="003137BE">
        <w:tc>
          <w:tcPr>
            <w:tcW w:w="1874" w:type="dxa"/>
            <w:vAlign w:val="center"/>
          </w:tcPr>
          <w:p w14:paraId="2206106D" w14:textId="73A77598" w:rsidR="00C4536C" w:rsidRPr="0042713B" w:rsidRDefault="0042713B" w:rsidP="00166431">
            <w:pPr>
              <w:spacing w:line="240" w:lineRule="auto"/>
              <w:rPr>
                <w:rFonts w:ascii="Aptos" w:eastAsia="Aptos" w:hAnsi="Aptos" w:cs="Times New Roman"/>
              </w:rPr>
            </w:pPr>
            <m:oMath>
              <m:r>
                <w:rPr>
                  <w:rFonts w:ascii="Cambria Math" w:eastAsia="Aptos" w:hAnsi="Cambria Math" w:cs="Times New Roman"/>
                </w:rPr>
                <m:t>μ</m:t>
              </m:r>
            </m:oMath>
            <w:r w:rsidR="003137BE" w:rsidRPr="0042713B">
              <w:rPr>
                <w:rFonts w:ascii="Aptos" w:eastAsia="Aptos" w:hAnsi="Aptos" w:cs="Times New Roman"/>
              </w:rPr>
              <w:t xml:space="preserve"> </w:t>
            </w:r>
          </w:p>
        </w:tc>
        <w:tc>
          <w:tcPr>
            <w:tcW w:w="5535" w:type="dxa"/>
            <w:vAlign w:val="center"/>
          </w:tcPr>
          <w:p w14:paraId="5DB0EF8D" w14:textId="33CF280A" w:rsidR="00C4536C" w:rsidRPr="0042713B" w:rsidRDefault="00C4536C" w:rsidP="00166431">
            <w:pPr>
              <w:spacing w:line="240" w:lineRule="auto"/>
            </w:pPr>
            <w:r w:rsidRPr="0042713B">
              <w:t>Viscosity</w:t>
            </w:r>
          </w:p>
        </w:tc>
        <w:tc>
          <w:tcPr>
            <w:tcW w:w="1941" w:type="dxa"/>
            <w:vAlign w:val="center"/>
          </w:tcPr>
          <w:p w14:paraId="67E2D8C6" w14:textId="2B39C644" w:rsidR="00C4536C" w:rsidRPr="0042713B" w:rsidRDefault="0042713B" w:rsidP="00166431">
            <w:pPr>
              <w:spacing w:line="240" w:lineRule="auto"/>
              <w:rPr>
                <w:rFonts w:ascii="Aptos Display" w:eastAsia="Times New Roman" w:hAnsi="Aptos Display" w:cs="Times New Roman"/>
                <w:i/>
                <w:iCs/>
              </w:rPr>
            </w:pPr>
            <m:oMathPara>
              <m:oMath>
                <m:r>
                  <w:rPr>
                    <w:rFonts w:ascii="Cambria Math" w:eastAsia="Times New Roman" w:hAnsi="Cambria Math" w:cs="Times New Roman"/>
                  </w:rPr>
                  <m:t>Pa∙s</m:t>
                </m:r>
              </m:oMath>
            </m:oMathPara>
          </w:p>
        </w:tc>
      </w:tr>
      <w:tr w:rsidR="00BB7411" w:rsidRPr="00930038" w14:paraId="0506E4D2" w14:textId="77777777" w:rsidTr="003137BE">
        <w:tc>
          <w:tcPr>
            <w:tcW w:w="1874" w:type="dxa"/>
            <w:vAlign w:val="center"/>
          </w:tcPr>
          <w:p w14:paraId="131C8408" w14:textId="74850289" w:rsidR="0091795B" w:rsidRPr="0042713B" w:rsidRDefault="0091795B" w:rsidP="00166431">
            <w:pPr>
              <w:spacing w:line="240" w:lineRule="auto"/>
              <w:rPr>
                <w:rFonts w:ascii="Aptos" w:eastAsia="Aptos" w:hAnsi="Aptos" w:cs="Times New Roman"/>
              </w:rPr>
            </w:pPr>
            <w:r w:rsidRPr="0042713B">
              <w:rPr>
                <w:rFonts w:ascii="Aptos" w:eastAsia="Aptos" w:hAnsi="Aptos" w:cs="Times New Roman"/>
              </w:rPr>
              <w:t>N</w:t>
            </w:r>
          </w:p>
        </w:tc>
        <w:tc>
          <w:tcPr>
            <w:tcW w:w="5535" w:type="dxa"/>
            <w:vAlign w:val="center"/>
          </w:tcPr>
          <w:p w14:paraId="4801D596" w14:textId="64ABFB3D" w:rsidR="0091795B" w:rsidRPr="0042713B" w:rsidRDefault="0091795B" w:rsidP="00166431">
            <w:pPr>
              <w:spacing w:line="240" w:lineRule="auto"/>
            </w:pPr>
            <w:r w:rsidRPr="0042713B">
              <w:t>Number of moles</w:t>
            </w:r>
          </w:p>
        </w:tc>
        <w:tc>
          <w:tcPr>
            <w:tcW w:w="1941" w:type="dxa"/>
            <w:vAlign w:val="center"/>
          </w:tcPr>
          <w:p w14:paraId="096BBB8E" w14:textId="2DDD514F" w:rsidR="0091795B" w:rsidRPr="0042713B" w:rsidRDefault="0042713B" w:rsidP="00166431">
            <w:pPr>
              <w:spacing w:line="240" w:lineRule="auto"/>
              <w:rPr>
                <w:rFonts w:ascii="Aptos Display" w:eastAsia="Times New Roman" w:hAnsi="Aptos Display" w:cs="Times New Roman"/>
                <w:i/>
                <w:iCs/>
              </w:rPr>
            </w:pPr>
            <m:oMathPara>
              <m:oMath>
                <m:r>
                  <w:rPr>
                    <w:rFonts w:ascii="Cambria Math" w:eastAsia="Times New Roman" w:hAnsi="Cambria Math" w:cs="Times New Roman"/>
                  </w:rPr>
                  <m:t>mol</m:t>
                </m:r>
              </m:oMath>
            </m:oMathPara>
          </w:p>
        </w:tc>
      </w:tr>
      <w:tr w:rsidR="003F2B40" w:rsidRPr="00930038" w14:paraId="57982612" w14:textId="77777777" w:rsidTr="003137BE">
        <w:tc>
          <w:tcPr>
            <w:tcW w:w="1874" w:type="dxa"/>
            <w:vAlign w:val="center"/>
          </w:tcPr>
          <w:p w14:paraId="78201A1B" w14:textId="3D888AAA" w:rsidR="006F37E4" w:rsidRPr="0042713B" w:rsidRDefault="006F37E4" w:rsidP="00166431">
            <w:pPr>
              <w:spacing w:line="240" w:lineRule="auto"/>
              <w:rPr>
                <w:rFonts w:ascii="Aptos" w:eastAsia="Aptos" w:hAnsi="Aptos" w:cs="Times New Roman"/>
              </w:rPr>
            </w:pPr>
            <w:r w:rsidRPr="0042713B">
              <w:rPr>
                <w:rFonts w:ascii="Aptos" w:eastAsia="Aptos" w:hAnsi="Aptos" w:cs="Times New Roman"/>
              </w:rPr>
              <w:t>Nu</w:t>
            </w:r>
          </w:p>
        </w:tc>
        <w:tc>
          <w:tcPr>
            <w:tcW w:w="5535" w:type="dxa"/>
            <w:vAlign w:val="center"/>
          </w:tcPr>
          <w:p w14:paraId="02966AC2" w14:textId="5466BC81" w:rsidR="006F37E4" w:rsidRPr="0042713B" w:rsidRDefault="006F37E4" w:rsidP="00166431">
            <w:pPr>
              <w:spacing w:line="240" w:lineRule="auto"/>
            </w:pPr>
            <w:r w:rsidRPr="0042713B">
              <w:t>Nusselt Number</w:t>
            </w:r>
          </w:p>
        </w:tc>
        <w:tc>
          <w:tcPr>
            <w:tcW w:w="1941" w:type="dxa"/>
            <w:vAlign w:val="center"/>
          </w:tcPr>
          <w:p w14:paraId="5F8A4C26" w14:textId="6C29398D" w:rsidR="006F37E4" w:rsidRPr="0042713B" w:rsidRDefault="006F37E4" w:rsidP="00166431">
            <w:pPr>
              <w:spacing w:line="240" w:lineRule="auto"/>
              <w:rPr>
                <w:rFonts w:ascii="Aptos Display" w:eastAsia="Times New Roman" w:hAnsi="Aptos Display" w:cs="Times New Roman"/>
                <w:i/>
                <w:iCs/>
              </w:rPr>
            </w:pPr>
            <w:r w:rsidRPr="0042713B">
              <w:rPr>
                <w:rFonts w:ascii="Aptos Display" w:eastAsia="Times New Roman" w:hAnsi="Aptos Display" w:cs="Times New Roman"/>
                <w:i/>
                <w:iCs/>
              </w:rPr>
              <w:t>-</w:t>
            </w:r>
          </w:p>
        </w:tc>
      </w:tr>
      <w:tr w:rsidR="00883F01" w:rsidRPr="00930038" w14:paraId="5C633070" w14:textId="77777777" w:rsidTr="003137BE">
        <w:tc>
          <w:tcPr>
            <w:tcW w:w="1874" w:type="dxa"/>
            <w:vAlign w:val="center"/>
          </w:tcPr>
          <w:p w14:paraId="5536FB4A" w14:textId="64461BD1" w:rsidR="005737D8" w:rsidRPr="0042713B" w:rsidRDefault="005737D8" w:rsidP="00166431">
            <w:pPr>
              <w:spacing w:line="240" w:lineRule="auto"/>
              <w:rPr>
                <w:rFonts w:ascii="Aptos" w:eastAsia="Aptos" w:hAnsi="Aptos" w:cs="Times New Roman"/>
              </w:rPr>
            </w:pPr>
            <w:r w:rsidRPr="0042713B">
              <w:rPr>
                <w:rFonts w:ascii="Aptos" w:eastAsia="Aptos" w:hAnsi="Aptos" w:cs="Times New Roman"/>
              </w:rPr>
              <w:t>P</w:t>
            </w:r>
          </w:p>
        </w:tc>
        <w:tc>
          <w:tcPr>
            <w:tcW w:w="5535" w:type="dxa"/>
            <w:vAlign w:val="center"/>
          </w:tcPr>
          <w:p w14:paraId="39533AEC" w14:textId="0A80983B" w:rsidR="005737D8" w:rsidRPr="0042713B" w:rsidRDefault="005737D8" w:rsidP="00166431">
            <w:pPr>
              <w:spacing w:line="240" w:lineRule="auto"/>
            </w:pPr>
            <w:r w:rsidRPr="0042713B">
              <w:t>Pressure, or partial pressure with subscript</w:t>
            </w:r>
          </w:p>
        </w:tc>
        <w:tc>
          <w:tcPr>
            <w:tcW w:w="1941" w:type="dxa"/>
            <w:vAlign w:val="center"/>
          </w:tcPr>
          <w:p w14:paraId="49083EEF" w14:textId="7324504E" w:rsidR="005737D8" w:rsidRPr="0042713B" w:rsidRDefault="0042713B" w:rsidP="00166431">
            <w:pPr>
              <w:spacing w:line="240" w:lineRule="auto"/>
              <w:rPr>
                <w:rFonts w:ascii="Aptos Display" w:eastAsia="Times New Roman" w:hAnsi="Aptos Display" w:cs="Times New Roman"/>
                <w:i/>
                <w:iCs/>
              </w:rPr>
            </w:pPr>
            <m:oMathPara>
              <m:oMath>
                <m:r>
                  <w:rPr>
                    <w:rFonts w:ascii="Cambria Math" w:eastAsia="Times New Roman" w:hAnsi="Cambria Math" w:cs="Times New Roman"/>
                  </w:rPr>
                  <m:t>bar</m:t>
                </m:r>
              </m:oMath>
            </m:oMathPara>
          </w:p>
        </w:tc>
      </w:tr>
      <w:tr w:rsidR="00BB7411" w:rsidRPr="00930038" w14:paraId="59A448F2" w14:textId="77777777" w:rsidTr="003137BE">
        <w:tc>
          <w:tcPr>
            <w:tcW w:w="1874" w:type="dxa"/>
            <w:vAlign w:val="center"/>
          </w:tcPr>
          <w:p w14:paraId="2AEF3A51" w14:textId="0530E73C" w:rsidR="006F37E4" w:rsidRPr="0042713B" w:rsidRDefault="00924E48" w:rsidP="00166431">
            <w:pPr>
              <w:spacing w:line="240" w:lineRule="auto"/>
              <w:rPr>
                <w:rFonts w:ascii="Aptos" w:eastAsia="Aptos" w:hAnsi="Aptos" w:cs="Times New Roman"/>
              </w:rPr>
            </w:pPr>
            <m:oMath>
              <m:sSub>
                <m:sSubPr>
                  <m:ctrlPr>
                    <w:rPr>
                      <w:rFonts w:ascii="Cambria Math" w:eastAsia="Aptos" w:hAnsi="Cambria Math" w:cs="Times New Roman"/>
                      <w:i/>
                    </w:rPr>
                  </m:ctrlPr>
                </m:sSubPr>
                <m:e>
                  <m:r>
                    <w:rPr>
                      <w:rFonts w:ascii="Cambria Math" w:eastAsia="Aptos" w:hAnsi="Cambria Math" w:cs="Times New Roman"/>
                    </w:rPr>
                    <m:t>P</m:t>
                  </m:r>
                </m:e>
                <m:sub>
                  <m:r>
                    <w:rPr>
                      <w:rFonts w:ascii="Cambria Math" w:eastAsia="Aptos" w:hAnsi="Cambria Math" w:cs="Times New Roman"/>
                    </w:rPr>
                    <m:t>m</m:t>
                  </m:r>
                </m:sub>
              </m:sSub>
            </m:oMath>
            <w:r w:rsidR="003137BE" w:rsidRPr="0042713B">
              <w:rPr>
                <w:rFonts w:ascii="Aptos" w:eastAsia="Aptos" w:hAnsi="Aptos" w:cs="Times New Roman"/>
              </w:rPr>
              <w:t xml:space="preserve"> </w:t>
            </w:r>
          </w:p>
        </w:tc>
        <w:tc>
          <w:tcPr>
            <w:tcW w:w="5535" w:type="dxa"/>
            <w:vAlign w:val="center"/>
          </w:tcPr>
          <w:p w14:paraId="369D01C7" w14:textId="40D55113" w:rsidR="006F37E4" w:rsidRPr="0042713B" w:rsidRDefault="006F37E4" w:rsidP="00166431">
            <w:pPr>
              <w:spacing w:line="240" w:lineRule="auto"/>
            </w:pPr>
            <w:r w:rsidRPr="0042713B">
              <w:t>Perimeter</w:t>
            </w:r>
          </w:p>
        </w:tc>
        <w:tc>
          <w:tcPr>
            <w:tcW w:w="1941" w:type="dxa"/>
            <w:vAlign w:val="center"/>
          </w:tcPr>
          <w:p w14:paraId="405A0CA7" w14:textId="2F9C8D35" w:rsidR="006F37E4" w:rsidRPr="0042713B" w:rsidRDefault="0042713B" w:rsidP="00166431">
            <w:pPr>
              <w:spacing w:line="240" w:lineRule="auto"/>
              <w:rPr>
                <w:rFonts w:ascii="Aptos Display" w:eastAsia="Times New Roman" w:hAnsi="Aptos Display" w:cs="Times New Roman"/>
                <w:i/>
                <w:iCs/>
              </w:rPr>
            </w:pPr>
            <m:oMathPara>
              <m:oMath>
                <m:r>
                  <w:rPr>
                    <w:rFonts w:ascii="Cambria Math" w:hAnsi="Cambria Math"/>
                  </w:rPr>
                  <m:t>m</m:t>
                </m:r>
              </m:oMath>
            </m:oMathPara>
          </w:p>
        </w:tc>
      </w:tr>
      <w:tr w:rsidR="00892145" w:rsidRPr="00930038" w14:paraId="7C4ACF0B" w14:textId="77777777" w:rsidTr="003137BE">
        <w:tc>
          <w:tcPr>
            <w:tcW w:w="1874" w:type="dxa"/>
            <w:vAlign w:val="center"/>
          </w:tcPr>
          <w:p w14:paraId="6AE2A1F4" w14:textId="5D35DB4F" w:rsidR="006F37E4" w:rsidRPr="0042713B" w:rsidRDefault="006F37E4" w:rsidP="00166431">
            <w:pPr>
              <w:spacing w:line="240" w:lineRule="auto"/>
              <w:rPr>
                <w:rFonts w:ascii="Aptos" w:eastAsia="Aptos" w:hAnsi="Aptos" w:cs="Times New Roman"/>
              </w:rPr>
            </w:pPr>
            <w:proofErr w:type="spellStart"/>
            <w:r w:rsidRPr="0042713B">
              <w:rPr>
                <w:rFonts w:ascii="Aptos" w:eastAsia="Aptos" w:hAnsi="Aptos" w:cs="Times New Roman"/>
              </w:rPr>
              <w:t>Pr</w:t>
            </w:r>
            <w:proofErr w:type="spellEnd"/>
          </w:p>
        </w:tc>
        <w:tc>
          <w:tcPr>
            <w:tcW w:w="5535" w:type="dxa"/>
            <w:vAlign w:val="center"/>
          </w:tcPr>
          <w:p w14:paraId="136BF81E" w14:textId="227110AB" w:rsidR="006F37E4" w:rsidRPr="0042713B" w:rsidRDefault="006F37E4" w:rsidP="00166431">
            <w:pPr>
              <w:spacing w:line="240" w:lineRule="auto"/>
            </w:pPr>
            <w:r w:rsidRPr="0042713B">
              <w:t>Prandtl number</w:t>
            </w:r>
          </w:p>
        </w:tc>
        <w:tc>
          <w:tcPr>
            <w:tcW w:w="1941" w:type="dxa"/>
            <w:vAlign w:val="center"/>
          </w:tcPr>
          <w:p w14:paraId="301A4EB9" w14:textId="32E233B2" w:rsidR="006F37E4" w:rsidRPr="0042713B" w:rsidRDefault="006F37E4" w:rsidP="00166431">
            <w:pPr>
              <w:spacing w:line="240" w:lineRule="auto"/>
              <w:rPr>
                <w:rFonts w:ascii="Aptos Display" w:eastAsia="Times New Roman" w:hAnsi="Aptos Display" w:cs="Times New Roman"/>
                <w:i/>
                <w:iCs/>
              </w:rPr>
            </w:pPr>
            <w:r w:rsidRPr="0042713B">
              <w:rPr>
                <w:rFonts w:ascii="Aptos Display" w:eastAsia="Times New Roman" w:hAnsi="Aptos Display" w:cs="Times New Roman"/>
                <w:i/>
                <w:iCs/>
              </w:rPr>
              <w:t>-</w:t>
            </w:r>
          </w:p>
        </w:tc>
      </w:tr>
      <w:tr w:rsidR="00D15A8D" w:rsidRPr="00930038" w14:paraId="2AF2868E" w14:textId="77777777" w:rsidTr="003137BE">
        <w:tc>
          <w:tcPr>
            <w:tcW w:w="1874" w:type="dxa"/>
            <w:vAlign w:val="center"/>
          </w:tcPr>
          <w:p w14:paraId="53733528" w14:textId="3520B67A" w:rsidR="00D15A8D" w:rsidRPr="0042713B" w:rsidRDefault="00D15A8D" w:rsidP="00166431">
            <w:pPr>
              <w:spacing w:line="240" w:lineRule="auto"/>
              <w:rPr>
                <w:rFonts w:ascii="Aptos" w:eastAsia="Aptos" w:hAnsi="Aptos" w:cs="Times New Roman"/>
              </w:rPr>
            </w:pPr>
            <w:r w:rsidRPr="0042713B">
              <w:rPr>
                <w:rFonts w:ascii="Aptos" w:eastAsia="Aptos" w:hAnsi="Aptos" w:cs="Times New Roman"/>
              </w:rPr>
              <w:t>R</w:t>
            </w:r>
          </w:p>
        </w:tc>
        <w:tc>
          <w:tcPr>
            <w:tcW w:w="5535" w:type="dxa"/>
            <w:vAlign w:val="center"/>
          </w:tcPr>
          <w:p w14:paraId="05CB0F09" w14:textId="2A940A8B" w:rsidR="00D15A8D" w:rsidRPr="0042713B" w:rsidRDefault="00A12F26" w:rsidP="00166431">
            <w:pPr>
              <w:spacing w:line="240" w:lineRule="auto"/>
            </w:pPr>
            <w:r w:rsidRPr="0042713B">
              <w:t>Gas constant</w:t>
            </w:r>
          </w:p>
        </w:tc>
        <w:tc>
          <w:tcPr>
            <w:tcW w:w="1941" w:type="dxa"/>
            <w:vAlign w:val="center"/>
          </w:tcPr>
          <w:p w14:paraId="5A0C7507" w14:textId="03C248DE" w:rsidR="00D15A8D" w:rsidRPr="0042713B" w:rsidRDefault="0042713B" w:rsidP="00166431">
            <w:pPr>
              <w:spacing w:line="240" w:lineRule="auto"/>
              <w:rPr>
                <w:rFonts w:ascii="Aptos Display" w:eastAsia="Times New Roman" w:hAnsi="Aptos Display" w:cs="Times New Roman"/>
                <w:i/>
                <w:iCs/>
              </w:rPr>
            </w:pPr>
            <m:oMathPara>
              <m:oMath>
                <m:r>
                  <w:rPr>
                    <w:rFonts w:ascii="Cambria Math" w:eastAsia="Times New Roman" w:hAnsi="Cambria Math" w:cs="Times New Roman"/>
                  </w:rPr>
                  <m:t>J∙</m:t>
                </m:r>
                <m:sSup>
                  <m:sSupPr>
                    <m:ctrlPr>
                      <w:rPr>
                        <w:rFonts w:ascii="Cambria Math" w:eastAsia="Times New Roman" w:hAnsi="Cambria Math" w:cs="Times New Roman"/>
                        <w:i/>
                        <w:iCs/>
                      </w:rPr>
                    </m:ctrlPr>
                  </m:sSupPr>
                  <m:e>
                    <m:r>
                      <w:rPr>
                        <w:rFonts w:ascii="Cambria Math" w:eastAsia="Times New Roman" w:hAnsi="Cambria Math" w:cs="Times New Roman"/>
                      </w:rPr>
                      <m:t>K</m:t>
                    </m:r>
                  </m:e>
                  <m:sup>
                    <m:r>
                      <w:rPr>
                        <w:rFonts w:ascii="Cambria Math" w:eastAsia="Times New Roman" w:hAnsi="Cambria Math" w:cs="Times New Roman"/>
                      </w:rPr>
                      <m:t>-1</m:t>
                    </m:r>
                  </m:sup>
                </m:sSup>
              </m:oMath>
            </m:oMathPara>
          </w:p>
        </w:tc>
      </w:tr>
      <w:tr w:rsidR="00DD47AE" w:rsidRPr="00930038" w14:paraId="464D075E" w14:textId="77777777" w:rsidTr="003137BE">
        <w:tc>
          <w:tcPr>
            <w:tcW w:w="1874" w:type="dxa"/>
            <w:vAlign w:val="center"/>
          </w:tcPr>
          <w:p w14:paraId="0E2BDF7A" w14:textId="58B47963" w:rsidR="00AD7353" w:rsidRPr="0042713B" w:rsidRDefault="00924E48" w:rsidP="00166431">
            <w:pPr>
              <w:spacing w:line="240" w:lineRule="auto"/>
              <w:rPr>
                <w:rFonts w:ascii="Aptos" w:eastAsia="Aptos" w:hAnsi="Aptos" w:cs="Times New Roman"/>
              </w:rPr>
            </w:pPr>
            <m:oMath>
              <m:sSub>
                <m:sSubPr>
                  <m:ctrlPr>
                    <w:rPr>
                      <w:rFonts w:ascii="Cambria Math" w:eastAsia="Aptos" w:hAnsi="Cambria Math" w:cs="Times New Roman"/>
                      <w:i/>
                    </w:rPr>
                  </m:ctrlPr>
                </m:sSubPr>
                <m:e>
                  <m:r>
                    <w:rPr>
                      <w:rFonts w:ascii="Cambria Math" w:eastAsia="Aptos" w:hAnsi="Cambria Math" w:cs="Times New Roman"/>
                    </w:rPr>
                    <m:t>R</m:t>
                  </m:r>
                </m:e>
                <m:sub>
                  <m:r>
                    <w:rPr>
                      <w:rFonts w:ascii="Cambria Math" w:eastAsia="Aptos" w:hAnsi="Cambria Math" w:cs="Times New Roman"/>
                    </w:rPr>
                    <m:t>o</m:t>
                  </m:r>
                  <m:r>
                    <w:rPr>
                      <w:rFonts w:ascii="Cambria Math" w:eastAsia="Aptos" w:hAnsi="Cambria Math" w:cs="Times New Roman"/>
                    </w:rPr>
                    <m:t>h</m:t>
                  </m:r>
                  <m:r>
                    <w:rPr>
                      <w:rFonts w:ascii="Cambria Math" w:eastAsia="Aptos" w:hAnsi="Cambria Math" w:cs="Times New Roman"/>
                    </w:rPr>
                    <m:t>m</m:t>
                  </m:r>
                </m:sub>
              </m:sSub>
            </m:oMath>
            <w:r w:rsidR="003137BE" w:rsidRPr="0042713B">
              <w:rPr>
                <w:rFonts w:ascii="Aptos" w:eastAsia="Aptos" w:hAnsi="Aptos" w:cs="Times New Roman"/>
              </w:rPr>
              <w:t xml:space="preserve"> </w:t>
            </w:r>
          </w:p>
        </w:tc>
        <w:tc>
          <w:tcPr>
            <w:tcW w:w="5535" w:type="dxa"/>
            <w:vAlign w:val="center"/>
          </w:tcPr>
          <w:p w14:paraId="4428F4FB" w14:textId="5DB0DAF6" w:rsidR="00AD7353" w:rsidRPr="0042713B" w:rsidRDefault="00253FB8" w:rsidP="00166431">
            <w:pPr>
              <w:spacing w:line="240" w:lineRule="auto"/>
            </w:pPr>
            <w:r w:rsidRPr="0042713B">
              <w:t>R</w:t>
            </w:r>
            <w:r w:rsidR="00AD7353" w:rsidRPr="0042713B">
              <w:t>esistan</w:t>
            </w:r>
            <w:r w:rsidRPr="0042713B">
              <w:t>ce</w:t>
            </w:r>
          </w:p>
        </w:tc>
        <w:tc>
          <w:tcPr>
            <w:tcW w:w="1941" w:type="dxa"/>
            <w:vAlign w:val="center"/>
          </w:tcPr>
          <w:p w14:paraId="724B1AB8" w14:textId="39C389F1" w:rsidR="00AD7353" w:rsidRPr="0042713B" w:rsidRDefault="0042713B" w:rsidP="00166431">
            <w:pPr>
              <w:spacing w:line="240" w:lineRule="auto"/>
              <w:rPr>
                <w:rFonts w:ascii="Aptos Display" w:eastAsia="Times New Roman" w:hAnsi="Aptos Display" w:cs="Times New Roman"/>
                <w:i/>
                <w:iCs/>
              </w:rPr>
            </w:pPr>
            <m:oMathPara>
              <m:oMath>
                <m:r>
                  <w:rPr>
                    <w:rFonts w:ascii="Cambria Math" w:eastAsia="Times New Roman" w:hAnsi="Cambria Math" w:cs="Times New Roman"/>
                  </w:rPr>
                  <m:t>Ω</m:t>
                </m:r>
              </m:oMath>
            </m:oMathPara>
          </w:p>
        </w:tc>
      </w:tr>
      <w:tr w:rsidR="00D36DF0" w:rsidRPr="00930038" w14:paraId="43A2D01B" w14:textId="77777777" w:rsidTr="003137BE">
        <w:tc>
          <w:tcPr>
            <w:tcW w:w="1874" w:type="dxa"/>
            <w:vAlign w:val="center"/>
          </w:tcPr>
          <w:p w14:paraId="21B73F4B" w14:textId="5F45D5A5" w:rsidR="00F37436" w:rsidRPr="0042713B" w:rsidRDefault="00924E48" w:rsidP="00166431">
            <w:pPr>
              <w:spacing w:line="240" w:lineRule="auto"/>
              <w:rPr>
                <w:rFonts w:ascii="Aptos" w:eastAsia="Aptos" w:hAnsi="Aptos" w:cs="Times New Roman"/>
              </w:rPr>
            </w:pPr>
            <m:oMath>
              <m:sSub>
                <m:sSubPr>
                  <m:ctrlPr>
                    <w:rPr>
                      <w:rFonts w:ascii="Cambria Math" w:eastAsia="Aptos" w:hAnsi="Cambria Math" w:cs="Times New Roman"/>
                      <w:i/>
                    </w:rPr>
                  </m:ctrlPr>
                </m:sSubPr>
                <m:e>
                  <m:r>
                    <w:rPr>
                      <w:rFonts w:ascii="Cambria Math" w:eastAsia="Aptos" w:hAnsi="Cambria Math" w:cs="Times New Roman"/>
                    </w:rPr>
                    <m:t>r</m:t>
                  </m:r>
                </m:e>
                <m:sub>
                  <m:r>
                    <w:rPr>
                      <w:rFonts w:ascii="Cambria Math" w:eastAsia="Aptos" w:hAnsi="Cambria Math" w:cs="Times New Roman"/>
                    </w:rPr>
                    <m:t>i</m:t>
                  </m:r>
                </m:sub>
              </m:sSub>
            </m:oMath>
            <w:r w:rsidR="003137BE" w:rsidRPr="0042713B">
              <w:rPr>
                <w:rFonts w:ascii="Aptos" w:eastAsia="Aptos" w:hAnsi="Aptos" w:cs="Times New Roman"/>
              </w:rPr>
              <w:t xml:space="preserve"> </w:t>
            </w:r>
          </w:p>
        </w:tc>
        <w:tc>
          <w:tcPr>
            <w:tcW w:w="5535" w:type="dxa"/>
            <w:vAlign w:val="center"/>
          </w:tcPr>
          <w:p w14:paraId="0E03E58F" w14:textId="1EBBE06E" w:rsidR="00F37436" w:rsidRPr="0042713B" w:rsidRDefault="004C35D4" w:rsidP="00166431">
            <w:pPr>
              <w:spacing w:line="240" w:lineRule="auto"/>
            </w:pPr>
            <w:r w:rsidRPr="0042713B">
              <w:t xml:space="preserve">Radius </w:t>
            </w:r>
            <w:r w:rsidR="00B46C95" w:rsidRPr="0042713B">
              <w:t>of layer i</w:t>
            </w:r>
          </w:p>
        </w:tc>
        <w:tc>
          <w:tcPr>
            <w:tcW w:w="1941" w:type="dxa"/>
            <w:vAlign w:val="center"/>
          </w:tcPr>
          <w:p w14:paraId="468A5319" w14:textId="537BE588" w:rsidR="00F37436" w:rsidRPr="0042713B" w:rsidRDefault="0042713B" w:rsidP="00166431">
            <w:pPr>
              <w:spacing w:line="240" w:lineRule="auto"/>
              <w:rPr>
                <w:rFonts w:ascii="Aptos Display" w:eastAsia="Times New Roman" w:hAnsi="Aptos Display" w:cs="Times New Roman"/>
                <w:i/>
                <w:iCs/>
              </w:rPr>
            </w:pPr>
            <m:oMathPara>
              <m:oMath>
                <m:r>
                  <w:rPr>
                    <w:rFonts w:ascii="Cambria Math" w:eastAsia="Times New Roman" w:hAnsi="Cambria Math" w:cs="Times New Roman"/>
                  </w:rPr>
                  <m:t>m</m:t>
                </m:r>
              </m:oMath>
            </m:oMathPara>
          </w:p>
        </w:tc>
      </w:tr>
      <w:tr w:rsidR="00A12F26" w:rsidRPr="00930038" w14:paraId="64F2EE30" w14:textId="77777777" w:rsidTr="003137BE">
        <w:tc>
          <w:tcPr>
            <w:tcW w:w="1874" w:type="dxa"/>
            <w:vAlign w:val="center"/>
          </w:tcPr>
          <w:p w14:paraId="1A9FF089" w14:textId="40A837CD" w:rsidR="001E4A1D" w:rsidRPr="0042713B" w:rsidRDefault="00924E48" w:rsidP="00166431">
            <w:pPr>
              <w:spacing w:line="240" w:lineRule="auto"/>
              <w:rPr>
                <w:rFonts w:ascii="Aptos" w:eastAsia="Aptos" w:hAnsi="Aptos" w:cs="Times New Roman"/>
              </w:rPr>
            </w:pPr>
            <m:oMath>
              <m:sSub>
                <m:sSubPr>
                  <m:ctrlPr>
                    <w:rPr>
                      <w:rFonts w:ascii="Cambria Math" w:eastAsia="Aptos" w:hAnsi="Cambria Math" w:cs="Times New Roman"/>
                      <w:i/>
                    </w:rPr>
                  </m:ctrlPr>
                </m:sSubPr>
                <m:e>
                  <m:r>
                    <w:rPr>
                      <w:rFonts w:ascii="Cambria Math" w:eastAsia="Aptos" w:hAnsi="Cambria Math" w:cs="Times New Roman"/>
                    </w:rPr>
                    <m:t>r</m:t>
                  </m:r>
                </m:e>
                <m:sub>
                  <m:r>
                    <w:rPr>
                      <w:rFonts w:ascii="Cambria Math" w:eastAsia="Aptos" w:hAnsi="Cambria Math" w:cs="Times New Roman"/>
                    </w:rPr>
                    <m:t>j</m:t>
                  </m:r>
                </m:sub>
              </m:sSub>
            </m:oMath>
            <w:r w:rsidR="003137BE" w:rsidRPr="0042713B">
              <w:rPr>
                <w:rFonts w:ascii="Aptos" w:eastAsia="Aptos" w:hAnsi="Aptos" w:cs="Times New Roman"/>
              </w:rPr>
              <w:t xml:space="preserve"> </w:t>
            </w:r>
          </w:p>
        </w:tc>
        <w:tc>
          <w:tcPr>
            <w:tcW w:w="5535" w:type="dxa"/>
            <w:vAlign w:val="center"/>
          </w:tcPr>
          <w:p w14:paraId="04DB77B0" w14:textId="117B66A1" w:rsidR="001E4A1D" w:rsidRPr="0042713B" w:rsidRDefault="007A0F59" w:rsidP="00166431">
            <w:pPr>
              <w:spacing w:line="240" w:lineRule="auto"/>
            </w:pPr>
            <w:r w:rsidRPr="0042713B">
              <w:t>reaction rate of reaction j</w:t>
            </w:r>
          </w:p>
        </w:tc>
        <w:tc>
          <w:tcPr>
            <w:tcW w:w="1941" w:type="dxa"/>
            <w:vAlign w:val="center"/>
          </w:tcPr>
          <w:p w14:paraId="728B4C16" w14:textId="587A6E3B" w:rsidR="001E4A1D" w:rsidRPr="0042713B" w:rsidRDefault="0042713B" w:rsidP="00166431">
            <w:pPr>
              <w:spacing w:line="240" w:lineRule="auto"/>
              <w:rPr>
                <w:rFonts w:ascii="Aptos Display" w:eastAsia="Times New Roman" w:hAnsi="Aptos Display" w:cs="Times New Roman"/>
                <w:i/>
                <w:iCs/>
              </w:rPr>
            </w:pPr>
            <m:oMathPara>
              <m:oMath>
                <m:r>
                  <w:rPr>
                    <w:rFonts w:ascii="Cambria Math" w:eastAsia="Times New Roman" w:hAnsi="Cambria Math" w:cs="Times New Roman"/>
                  </w:rPr>
                  <m:t>mol∙</m:t>
                </m:r>
                <m:sSup>
                  <m:sSupPr>
                    <m:ctrlPr>
                      <w:rPr>
                        <w:rFonts w:ascii="Cambria Math" w:eastAsia="Times New Roman" w:hAnsi="Cambria Math" w:cs="Times New Roman"/>
                        <w:i/>
                        <w:iCs/>
                      </w:rPr>
                    </m:ctrlPr>
                  </m:sSupPr>
                  <m:e>
                    <m:r>
                      <w:rPr>
                        <w:rFonts w:ascii="Cambria Math" w:eastAsia="Times New Roman" w:hAnsi="Cambria Math" w:cs="Times New Roman"/>
                      </w:rPr>
                      <m:t>K</m:t>
                    </m:r>
                  </m:e>
                  <m:sup>
                    <m:r>
                      <w:rPr>
                        <w:rFonts w:ascii="Cambria Math" w:eastAsia="Times New Roman" w:hAnsi="Cambria Math" w:cs="Times New Roman"/>
                      </w:rPr>
                      <m:t>-1</m:t>
                    </m:r>
                  </m:sup>
                </m:sSup>
              </m:oMath>
            </m:oMathPara>
          </w:p>
        </w:tc>
      </w:tr>
      <w:tr w:rsidR="00892145" w:rsidRPr="00930038" w14:paraId="1BC144DD" w14:textId="77777777" w:rsidTr="003137BE">
        <w:tc>
          <w:tcPr>
            <w:tcW w:w="1874" w:type="dxa"/>
            <w:vAlign w:val="center"/>
          </w:tcPr>
          <w:p w14:paraId="21935D91" w14:textId="01E92BED" w:rsidR="006F37E4" w:rsidRPr="0042713B" w:rsidRDefault="006F37E4" w:rsidP="00166431">
            <w:pPr>
              <w:spacing w:line="240" w:lineRule="auto"/>
              <w:rPr>
                <w:rFonts w:ascii="Aptos" w:eastAsia="Aptos" w:hAnsi="Aptos" w:cs="Times New Roman"/>
              </w:rPr>
            </w:pPr>
            <w:r w:rsidRPr="0042713B">
              <w:rPr>
                <w:rFonts w:ascii="Aptos" w:eastAsia="Aptos" w:hAnsi="Aptos" w:cs="Times New Roman"/>
              </w:rPr>
              <w:t>Re</w:t>
            </w:r>
          </w:p>
        </w:tc>
        <w:tc>
          <w:tcPr>
            <w:tcW w:w="5535" w:type="dxa"/>
            <w:vAlign w:val="center"/>
          </w:tcPr>
          <w:p w14:paraId="2D7946AA" w14:textId="5DCC5BE4" w:rsidR="006F37E4" w:rsidRPr="0042713B" w:rsidRDefault="006F37E4" w:rsidP="00166431">
            <w:pPr>
              <w:spacing w:line="240" w:lineRule="auto"/>
            </w:pPr>
            <w:r w:rsidRPr="0042713B">
              <w:t>Reynold’s number</w:t>
            </w:r>
          </w:p>
        </w:tc>
        <w:tc>
          <w:tcPr>
            <w:tcW w:w="1941" w:type="dxa"/>
            <w:vAlign w:val="center"/>
          </w:tcPr>
          <w:p w14:paraId="2098AA12" w14:textId="2AE604F6" w:rsidR="006F37E4" w:rsidRPr="0042713B" w:rsidRDefault="006F37E4" w:rsidP="00166431">
            <w:pPr>
              <w:spacing w:line="240" w:lineRule="auto"/>
              <w:rPr>
                <w:rFonts w:ascii="Aptos Display" w:eastAsia="Times New Roman" w:hAnsi="Aptos Display" w:cs="Times New Roman"/>
                <w:i/>
                <w:iCs/>
              </w:rPr>
            </w:pPr>
            <w:r w:rsidRPr="0042713B">
              <w:rPr>
                <w:rFonts w:ascii="Aptos Display" w:eastAsia="Times New Roman" w:hAnsi="Aptos Display" w:cs="Times New Roman"/>
                <w:i/>
                <w:iCs/>
              </w:rPr>
              <w:t>-</w:t>
            </w:r>
          </w:p>
        </w:tc>
      </w:tr>
      <w:tr w:rsidR="00892145" w:rsidRPr="00930038" w14:paraId="08A6A37C" w14:textId="77777777" w:rsidTr="003137BE">
        <w:tc>
          <w:tcPr>
            <w:tcW w:w="1874" w:type="dxa"/>
            <w:vAlign w:val="center"/>
          </w:tcPr>
          <w:p w14:paraId="193D4556" w14:textId="19BCE146" w:rsidR="006F37E4" w:rsidRPr="0042713B" w:rsidRDefault="0042713B" w:rsidP="00166431">
            <w:pPr>
              <w:spacing w:line="240" w:lineRule="auto"/>
              <w:rPr>
                <w:rFonts w:ascii="Aptos" w:eastAsia="Aptos" w:hAnsi="Aptos" w:cs="Times New Roman"/>
              </w:rPr>
            </w:pPr>
            <m:oMath>
              <m:r>
                <w:rPr>
                  <w:rFonts w:ascii="Cambria Math" w:eastAsia="Aptos" w:hAnsi="Cambria Math" w:cs="Times New Roman"/>
                </w:rPr>
                <m:t>ρ</m:t>
              </m:r>
            </m:oMath>
            <w:r w:rsidR="003137BE" w:rsidRPr="0042713B">
              <w:rPr>
                <w:rFonts w:ascii="Aptos" w:eastAsia="Aptos" w:hAnsi="Aptos" w:cs="Times New Roman"/>
              </w:rPr>
              <w:t xml:space="preserve"> </w:t>
            </w:r>
          </w:p>
        </w:tc>
        <w:tc>
          <w:tcPr>
            <w:tcW w:w="5535" w:type="dxa"/>
            <w:vAlign w:val="center"/>
          </w:tcPr>
          <w:p w14:paraId="5E99A432" w14:textId="0F822D12" w:rsidR="006F37E4" w:rsidRPr="0042713B" w:rsidRDefault="00BF7805" w:rsidP="00166431">
            <w:pPr>
              <w:spacing w:line="240" w:lineRule="auto"/>
            </w:pPr>
            <w:r w:rsidRPr="0042713B">
              <w:t>Density</w:t>
            </w:r>
          </w:p>
        </w:tc>
        <w:tc>
          <w:tcPr>
            <w:tcW w:w="1941" w:type="dxa"/>
            <w:vAlign w:val="center"/>
          </w:tcPr>
          <w:p w14:paraId="473CF598" w14:textId="741C8255" w:rsidR="006F37E4" w:rsidRPr="0042713B" w:rsidRDefault="0042713B" w:rsidP="00166431">
            <w:pPr>
              <w:spacing w:line="240" w:lineRule="auto"/>
              <w:rPr>
                <w:rFonts w:ascii="Aptos Display" w:eastAsia="Times New Roman" w:hAnsi="Aptos Display" w:cs="Times New Roman"/>
                <w:i/>
                <w:iCs/>
              </w:rPr>
            </w:pPr>
            <m:oMathPara>
              <m:oMath>
                <m:r>
                  <w:rPr>
                    <w:rFonts w:ascii="Cambria Math" w:eastAsia="Times New Roman" w:hAnsi="Cambria Math" w:cs="Times New Roman"/>
                  </w:rPr>
                  <m:t>kg∙</m:t>
                </m:r>
                <m:sSup>
                  <m:sSupPr>
                    <m:ctrlPr>
                      <w:rPr>
                        <w:rFonts w:ascii="Cambria Math" w:eastAsia="Times New Roman" w:hAnsi="Cambria Math" w:cs="Times New Roman"/>
                        <w:i/>
                        <w:iCs/>
                      </w:rPr>
                    </m:ctrlPr>
                  </m:sSupPr>
                  <m:e>
                    <m:r>
                      <w:rPr>
                        <w:rFonts w:ascii="Cambria Math" w:eastAsia="Times New Roman" w:hAnsi="Cambria Math" w:cs="Times New Roman"/>
                      </w:rPr>
                      <m:t>m</m:t>
                    </m:r>
                  </m:e>
                  <m:sup>
                    <m:r>
                      <w:rPr>
                        <w:rFonts w:ascii="Cambria Math" w:eastAsia="Times New Roman" w:hAnsi="Cambria Math" w:cs="Times New Roman"/>
                      </w:rPr>
                      <m:t>-3</m:t>
                    </m:r>
                  </m:sup>
                </m:sSup>
              </m:oMath>
            </m:oMathPara>
          </w:p>
        </w:tc>
      </w:tr>
      <w:tr w:rsidR="00DD47AE" w:rsidRPr="00930038" w14:paraId="18EC9C57" w14:textId="77777777" w:rsidTr="003137BE">
        <w:tc>
          <w:tcPr>
            <w:tcW w:w="1874" w:type="dxa"/>
            <w:vAlign w:val="center"/>
          </w:tcPr>
          <w:p w14:paraId="28B8EC12" w14:textId="78442446" w:rsidR="0013573D" w:rsidRPr="0042713B" w:rsidRDefault="0042713B" w:rsidP="00166431">
            <w:pPr>
              <w:spacing w:line="240" w:lineRule="auto"/>
              <w:rPr>
                <w:rFonts w:ascii="Aptos" w:eastAsia="Aptos" w:hAnsi="Aptos" w:cs="Times New Roman"/>
              </w:rPr>
            </w:pPr>
            <m:oMath>
              <m:r>
                <w:rPr>
                  <w:rFonts w:ascii="Cambria Math" w:eastAsia="Aptos" w:hAnsi="Cambria Math" w:cs="Times New Roman"/>
                </w:rPr>
                <m:t>σ</m:t>
              </m:r>
            </m:oMath>
            <w:r w:rsidR="003137BE" w:rsidRPr="0042713B">
              <w:rPr>
                <w:rFonts w:ascii="Aptos" w:eastAsia="Aptos" w:hAnsi="Aptos" w:cs="Times New Roman"/>
              </w:rPr>
              <w:t xml:space="preserve"> </w:t>
            </w:r>
          </w:p>
        </w:tc>
        <w:tc>
          <w:tcPr>
            <w:tcW w:w="5535" w:type="dxa"/>
            <w:vAlign w:val="center"/>
          </w:tcPr>
          <w:p w14:paraId="59453917" w14:textId="6DA51CBD" w:rsidR="0013573D" w:rsidRPr="0042713B" w:rsidRDefault="0013573D" w:rsidP="00166431">
            <w:pPr>
              <w:spacing w:line="240" w:lineRule="auto"/>
            </w:pPr>
            <w:r w:rsidRPr="0042713B">
              <w:t>Stefan Boltzmann constant</w:t>
            </w:r>
          </w:p>
        </w:tc>
        <w:tc>
          <w:tcPr>
            <w:tcW w:w="1941" w:type="dxa"/>
            <w:vAlign w:val="center"/>
          </w:tcPr>
          <w:p w14:paraId="4FAC1D4B" w14:textId="0154D552" w:rsidR="0013573D" w:rsidRPr="0042713B" w:rsidRDefault="0042713B" w:rsidP="00166431">
            <w:pPr>
              <w:spacing w:line="240" w:lineRule="auto"/>
              <w:rPr>
                <w:rFonts w:ascii="Aptos Display" w:eastAsia="Times New Roman" w:hAnsi="Aptos Display" w:cs="Times New Roman"/>
                <w:i/>
                <w:iCs/>
              </w:rPr>
            </w:pPr>
            <m:oMathPara>
              <m:oMath>
                <m:r>
                  <w:rPr>
                    <w:rFonts w:ascii="Cambria Math" w:eastAsia="Times New Roman" w:hAnsi="Cambria Math" w:cs="Times New Roman"/>
                  </w:rPr>
                  <m:t>W∙</m:t>
                </m:r>
                <m:sSup>
                  <m:sSupPr>
                    <m:ctrlPr>
                      <w:rPr>
                        <w:rFonts w:ascii="Cambria Math" w:eastAsia="Times New Roman" w:hAnsi="Cambria Math" w:cs="Times New Roman"/>
                        <w:i/>
                        <w:iCs/>
                      </w:rPr>
                    </m:ctrlPr>
                  </m:sSupPr>
                  <m:e>
                    <m:r>
                      <w:rPr>
                        <w:rFonts w:ascii="Cambria Math" w:eastAsia="Times New Roman" w:hAnsi="Cambria Math" w:cs="Times New Roman"/>
                      </w:rPr>
                      <m:t>m</m:t>
                    </m:r>
                  </m:e>
                  <m:sup>
                    <m:r>
                      <w:rPr>
                        <w:rFonts w:ascii="Cambria Math" w:eastAsia="Times New Roman" w:hAnsi="Cambria Math" w:cs="Times New Roman"/>
                      </w:rPr>
                      <m:t>-2</m:t>
                    </m:r>
                  </m:sup>
                </m:sSup>
                <m:r>
                  <w:rPr>
                    <w:rFonts w:ascii="Cambria Math" w:eastAsia="Times New Roman" w:hAnsi="Cambria Math" w:cs="Times New Roman"/>
                  </w:rPr>
                  <m:t>∙</m:t>
                </m:r>
                <m:sSup>
                  <m:sSupPr>
                    <m:ctrlPr>
                      <w:rPr>
                        <w:rFonts w:ascii="Cambria Math" w:eastAsia="Times New Roman" w:hAnsi="Cambria Math" w:cs="Times New Roman"/>
                        <w:i/>
                        <w:iCs/>
                      </w:rPr>
                    </m:ctrlPr>
                  </m:sSupPr>
                  <m:e>
                    <m:r>
                      <w:rPr>
                        <w:rFonts w:ascii="Cambria Math" w:eastAsia="Times New Roman" w:hAnsi="Cambria Math" w:cs="Times New Roman"/>
                      </w:rPr>
                      <m:t>K</m:t>
                    </m:r>
                  </m:e>
                  <m:sup>
                    <m:r>
                      <w:rPr>
                        <w:rFonts w:ascii="Cambria Math" w:eastAsia="Times New Roman" w:hAnsi="Cambria Math" w:cs="Times New Roman"/>
                      </w:rPr>
                      <m:t>-4</m:t>
                    </m:r>
                  </m:sup>
                </m:sSup>
              </m:oMath>
            </m:oMathPara>
          </w:p>
        </w:tc>
      </w:tr>
      <w:tr w:rsidR="003137BE" w:rsidRPr="00930038" w14:paraId="40A14E4A" w14:textId="77777777" w:rsidTr="003137BE">
        <w:tc>
          <w:tcPr>
            <w:tcW w:w="1874" w:type="dxa"/>
            <w:vAlign w:val="center"/>
          </w:tcPr>
          <w:p w14:paraId="2D0D3FE4" w14:textId="074552F0" w:rsidR="008473BD" w:rsidRPr="0042713B" w:rsidRDefault="008473BD" w:rsidP="00166431">
            <w:pPr>
              <w:spacing w:line="240" w:lineRule="auto"/>
              <w:rPr>
                <w:rFonts w:ascii="Aptos" w:eastAsia="Aptos" w:hAnsi="Aptos" w:cs="Times New Roman"/>
              </w:rPr>
            </w:pPr>
            <w:r w:rsidRPr="0042713B">
              <w:rPr>
                <w:rFonts w:ascii="Aptos" w:eastAsia="Aptos" w:hAnsi="Aptos" w:cs="Times New Roman"/>
              </w:rPr>
              <w:t>T</w:t>
            </w:r>
          </w:p>
        </w:tc>
        <w:tc>
          <w:tcPr>
            <w:tcW w:w="5535" w:type="dxa"/>
            <w:vAlign w:val="center"/>
          </w:tcPr>
          <w:p w14:paraId="7058EB09" w14:textId="0714E64D" w:rsidR="008473BD" w:rsidRPr="0042713B" w:rsidRDefault="008473BD" w:rsidP="00166431">
            <w:pPr>
              <w:spacing w:line="240" w:lineRule="auto"/>
            </w:pPr>
            <w:r w:rsidRPr="0042713B">
              <w:t>Temperature</w:t>
            </w:r>
          </w:p>
        </w:tc>
        <w:tc>
          <w:tcPr>
            <w:tcW w:w="1941" w:type="dxa"/>
            <w:vAlign w:val="center"/>
          </w:tcPr>
          <w:p w14:paraId="1E3DB6FA" w14:textId="5FC6028B" w:rsidR="008473BD" w:rsidRPr="0042713B" w:rsidRDefault="0042713B" w:rsidP="00166431">
            <w:pPr>
              <w:spacing w:line="240" w:lineRule="auto"/>
              <w:rPr>
                <w:rFonts w:ascii="Aptos Display" w:eastAsia="Times New Roman" w:hAnsi="Aptos Display" w:cs="Times New Roman"/>
                <w:i/>
                <w:iCs/>
              </w:rPr>
            </w:pPr>
            <m:oMathPara>
              <m:oMath>
                <m:r>
                  <w:rPr>
                    <w:rFonts w:ascii="Cambria Math" w:eastAsia="Times New Roman" w:hAnsi="Cambria Math" w:cs="Times New Roman"/>
                  </w:rPr>
                  <m:t>°K</m:t>
                </m:r>
              </m:oMath>
            </m:oMathPara>
          </w:p>
        </w:tc>
      </w:tr>
      <w:tr w:rsidR="0042713B" w:rsidRPr="00930038" w14:paraId="075B030E" w14:textId="77777777" w:rsidTr="003137BE">
        <w:tc>
          <w:tcPr>
            <w:tcW w:w="1874" w:type="dxa"/>
            <w:vAlign w:val="center"/>
          </w:tcPr>
          <w:p w14:paraId="3B8626EF" w14:textId="55AE5037" w:rsidR="00D36DF0" w:rsidRPr="0042713B" w:rsidRDefault="0042713B" w:rsidP="00166431">
            <w:pPr>
              <w:spacing w:line="240" w:lineRule="auto"/>
              <w:rPr>
                <w:rFonts w:ascii="Aptos" w:eastAsia="Aptos" w:hAnsi="Aptos" w:cs="Times New Roman"/>
              </w:rPr>
            </w:pPr>
            <m:oMath>
              <m:r>
                <w:rPr>
                  <w:rFonts w:ascii="Cambria Math" w:eastAsia="Aptos" w:hAnsi="Cambria Math" w:cs="Times New Roman"/>
                </w:rPr>
                <m:t>τ</m:t>
              </m:r>
            </m:oMath>
            <w:r w:rsidR="003137BE" w:rsidRPr="0042713B">
              <w:rPr>
                <w:rFonts w:ascii="Aptos" w:eastAsia="Aptos" w:hAnsi="Aptos" w:cs="Times New Roman"/>
              </w:rPr>
              <w:t xml:space="preserve"> </w:t>
            </w:r>
          </w:p>
        </w:tc>
        <w:tc>
          <w:tcPr>
            <w:tcW w:w="5535" w:type="dxa"/>
            <w:vAlign w:val="center"/>
          </w:tcPr>
          <w:p w14:paraId="24907571" w14:textId="721519A3" w:rsidR="00D36DF0" w:rsidRPr="0042713B" w:rsidRDefault="00D36DF0" w:rsidP="00166431">
            <w:pPr>
              <w:spacing w:line="240" w:lineRule="auto"/>
            </w:pPr>
            <w:r w:rsidRPr="0042713B">
              <w:t>Thickness of anode or cathode layer</w:t>
            </w:r>
          </w:p>
        </w:tc>
        <w:tc>
          <w:tcPr>
            <w:tcW w:w="1941" w:type="dxa"/>
            <w:vAlign w:val="center"/>
          </w:tcPr>
          <w:p w14:paraId="54F648FD" w14:textId="39DBF895" w:rsidR="00D36DF0" w:rsidRPr="0042713B" w:rsidRDefault="0042713B" w:rsidP="00166431">
            <w:pPr>
              <w:spacing w:line="240" w:lineRule="auto"/>
              <w:rPr>
                <w:rFonts w:ascii="Aptos Display" w:eastAsia="Times New Roman" w:hAnsi="Aptos Display" w:cs="Times New Roman"/>
                <w:i/>
                <w:iCs/>
              </w:rPr>
            </w:pPr>
            <m:oMathPara>
              <m:oMath>
                <m:r>
                  <w:rPr>
                    <w:rFonts w:ascii="Cambria Math" w:eastAsia="Times New Roman" w:hAnsi="Cambria Math" w:cs="Times New Roman"/>
                  </w:rPr>
                  <m:t>m</m:t>
                </m:r>
              </m:oMath>
            </m:oMathPara>
          </w:p>
        </w:tc>
      </w:tr>
      <w:tr w:rsidR="00883F01" w:rsidRPr="00930038" w14:paraId="2C0BF726" w14:textId="77777777" w:rsidTr="003137BE">
        <w:tc>
          <w:tcPr>
            <w:tcW w:w="1874" w:type="dxa"/>
            <w:vAlign w:val="center"/>
          </w:tcPr>
          <w:p w14:paraId="68C66199" w14:textId="0B6F4D07" w:rsidR="00401C01" w:rsidRPr="0042713B" w:rsidRDefault="00924E48" w:rsidP="00166431">
            <w:pPr>
              <w:spacing w:line="240" w:lineRule="auto"/>
              <w:rPr>
                <w:rFonts w:ascii="Aptos" w:eastAsia="Aptos" w:hAnsi="Aptos" w:cs="Times New Roman"/>
              </w:rPr>
            </w:pPr>
            <m:oMath>
              <m:acc>
                <m:accPr>
                  <m:chr m:val="⃑"/>
                  <m:ctrlPr>
                    <w:rPr>
                      <w:rFonts w:ascii="Cambria Math" w:eastAsiaTheme="minorEastAsia" w:hAnsi="Cambria Math"/>
                      <w:i/>
                    </w:rPr>
                  </m:ctrlPr>
                </m:accPr>
                <m:e>
                  <m:r>
                    <w:rPr>
                      <w:rFonts w:ascii="Cambria Math" w:eastAsiaTheme="minorEastAsia" w:hAnsi="Cambria Math"/>
                    </w:rPr>
                    <m:t>V</m:t>
                  </m:r>
                </m:e>
              </m:acc>
            </m:oMath>
            <w:r w:rsidR="003137BE" w:rsidRPr="0042713B">
              <w:rPr>
                <w:rFonts w:ascii="Aptos" w:eastAsia="Aptos" w:hAnsi="Aptos" w:cs="Times New Roman"/>
              </w:rPr>
              <w:t xml:space="preserve"> </w:t>
            </w:r>
          </w:p>
        </w:tc>
        <w:tc>
          <w:tcPr>
            <w:tcW w:w="5535" w:type="dxa"/>
            <w:vAlign w:val="center"/>
          </w:tcPr>
          <w:p w14:paraId="1D9B13DC" w14:textId="34984623" w:rsidR="00401C01" w:rsidRPr="0042713B" w:rsidRDefault="00C2664B" w:rsidP="00166431">
            <w:pPr>
              <w:spacing w:line="240" w:lineRule="auto"/>
            </w:pPr>
            <w:r w:rsidRPr="0042713B">
              <w:t>Velocity</w:t>
            </w:r>
          </w:p>
        </w:tc>
        <w:tc>
          <w:tcPr>
            <w:tcW w:w="1941" w:type="dxa"/>
            <w:vAlign w:val="center"/>
          </w:tcPr>
          <w:p w14:paraId="61559A43" w14:textId="0ED7B5A3" w:rsidR="00401C01" w:rsidRPr="0042713B" w:rsidRDefault="0042713B" w:rsidP="00166431">
            <w:pPr>
              <w:spacing w:line="240" w:lineRule="auto"/>
              <w:rPr>
                <w:rFonts w:ascii="Aptos Display" w:eastAsia="Times New Roman" w:hAnsi="Aptos Display" w:cs="Times New Roman"/>
                <w:i/>
                <w:iCs/>
              </w:rPr>
            </w:pPr>
            <m:oMathPara>
              <m:oMath>
                <m:r>
                  <w:rPr>
                    <w:rFonts w:ascii="Cambria Math" w:eastAsia="Times New Roman" w:hAnsi="Cambria Math" w:cs="Times New Roman"/>
                  </w:rPr>
                  <m:t>m∙</m:t>
                </m:r>
                <m:sSup>
                  <m:sSupPr>
                    <m:ctrlPr>
                      <w:rPr>
                        <w:rFonts w:ascii="Cambria Math" w:eastAsia="Times New Roman" w:hAnsi="Cambria Math" w:cs="Times New Roman"/>
                        <w:i/>
                        <w:iCs/>
                      </w:rPr>
                    </m:ctrlPr>
                  </m:sSupPr>
                  <m:e>
                    <m:r>
                      <w:rPr>
                        <w:rFonts w:ascii="Cambria Math" w:eastAsia="Times New Roman" w:hAnsi="Cambria Math" w:cs="Times New Roman"/>
                      </w:rPr>
                      <m:t>s</m:t>
                    </m:r>
                  </m:e>
                  <m:sup>
                    <m:r>
                      <w:rPr>
                        <w:rFonts w:ascii="Cambria Math" w:eastAsia="Times New Roman" w:hAnsi="Cambria Math" w:cs="Times New Roman"/>
                      </w:rPr>
                      <m:t>-1</m:t>
                    </m:r>
                  </m:sup>
                </m:sSup>
              </m:oMath>
            </m:oMathPara>
          </w:p>
        </w:tc>
      </w:tr>
      <w:tr w:rsidR="00DD47AE" w:rsidRPr="00930038" w14:paraId="22F0A12C" w14:textId="77777777" w:rsidTr="003137BE">
        <w:tc>
          <w:tcPr>
            <w:tcW w:w="1874" w:type="dxa"/>
            <w:vAlign w:val="center"/>
          </w:tcPr>
          <w:p w14:paraId="63734A0F" w14:textId="0463D6ED" w:rsidR="0013573D" w:rsidRPr="0042713B" w:rsidRDefault="0013573D" w:rsidP="00166431">
            <w:pPr>
              <w:spacing w:line="240" w:lineRule="auto"/>
              <w:rPr>
                <w:rFonts w:ascii="Aptos" w:eastAsia="Aptos" w:hAnsi="Aptos" w:cs="Times New Roman"/>
              </w:rPr>
            </w:pPr>
            <w:r w:rsidRPr="0042713B">
              <w:rPr>
                <w:rFonts w:ascii="Aptos" w:eastAsia="Aptos" w:hAnsi="Aptos" w:cs="Times New Roman"/>
              </w:rPr>
              <w:t>V</w:t>
            </w:r>
          </w:p>
        </w:tc>
        <w:tc>
          <w:tcPr>
            <w:tcW w:w="5535" w:type="dxa"/>
            <w:vAlign w:val="center"/>
          </w:tcPr>
          <w:p w14:paraId="58ED082D" w14:textId="3C19B773" w:rsidR="0013573D" w:rsidRPr="0042713B" w:rsidRDefault="0013573D" w:rsidP="00166431">
            <w:pPr>
              <w:spacing w:line="240" w:lineRule="auto"/>
            </w:pPr>
            <w:r w:rsidRPr="0042713B">
              <w:t>Voltage</w:t>
            </w:r>
          </w:p>
        </w:tc>
        <w:tc>
          <w:tcPr>
            <w:tcW w:w="1941" w:type="dxa"/>
            <w:vAlign w:val="center"/>
          </w:tcPr>
          <w:p w14:paraId="185F8150" w14:textId="419F8B5A" w:rsidR="0013573D" w:rsidRPr="0042713B" w:rsidRDefault="0013573D" w:rsidP="00166431">
            <w:pPr>
              <w:spacing w:line="240" w:lineRule="auto"/>
              <w:rPr>
                <w:rFonts w:ascii="Aptos Display" w:eastAsia="Times New Roman" w:hAnsi="Aptos Display" w:cs="Times New Roman"/>
                <w:i/>
                <w:iCs/>
              </w:rPr>
            </w:pPr>
            <w:r w:rsidRPr="0042713B">
              <w:rPr>
                <w:rFonts w:ascii="Aptos Display" w:eastAsia="Times New Roman" w:hAnsi="Aptos Display" w:cs="Times New Roman"/>
                <w:i/>
                <w:iCs/>
              </w:rPr>
              <w:t>V</w:t>
            </w:r>
          </w:p>
        </w:tc>
      </w:tr>
      <w:tr w:rsidR="00A12F26" w:rsidRPr="00930038" w14:paraId="19FEFBA0" w14:textId="77777777" w:rsidTr="003137BE">
        <w:tc>
          <w:tcPr>
            <w:tcW w:w="1874" w:type="dxa"/>
            <w:vAlign w:val="center"/>
          </w:tcPr>
          <w:p w14:paraId="0CF6A698" w14:textId="144A4A77" w:rsidR="00A12F26" w:rsidRPr="0042713B" w:rsidRDefault="00A12F26" w:rsidP="00166431">
            <w:pPr>
              <w:spacing w:line="240" w:lineRule="auto"/>
              <w:rPr>
                <w:rFonts w:ascii="Aptos" w:eastAsia="Aptos" w:hAnsi="Aptos" w:cs="Times New Roman"/>
                <w:i/>
                <w:iCs/>
              </w:rPr>
            </w:pPr>
            <w:r w:rsidRPr="0042713B">
              <w:rPr>
                <w:rFonts w:ascii="Aptos" w:eastAsia="Aptos" w:hAnsi="Aptos" w:cs="Times New Roman"/>
                <w:i/>
                <w:iCs/>
              </w:rPr>
              <w:t>Subscripts</w:t>
            </w:r>
          </w:p>
        </w:tc>
        <w:tc>
          <w:tcPr>
            <w:tcW w:w="5535" w:type="dxa"/>
            <w:vAlign w:val="center"/>
          </w:tcPr>
          <w:p w14:paraId="6D61BBBB" w14:textId="77777777" w:rsidR="00A12F26" w:rsidRPr="0042713B" w:rsidRDefault="00A12F26" w:rsidP="00166431">
            <w:pPr>
              <w:spacing w:line="240" w:lineRule="auto"/>
            </w:pPr>
          </w:p>
        </w:tc>
        <w:tc>
          <w:tcPr>
            <w:tcW w:w="1941" w:type="dxa"/>
            <w:vAlign w:val="center"/>
          </w:tcPr>
          <w:p w14:paraId="596BDCB5" w14:textId="77777777" w:rsidR="00A12F26" w:rsidRPr="0042713B" w:rsidRDefault="00A12F26" w:rsidP="00166431">
            <w:pPr>
              <w:spacing w:line="240" w:lineRule="auto"/>
              <w:rPr>
                <w:rFonts w:ascii="Aptos Display" w:eastAsia="Times New Roman" w:hAnsi="Aptos Display" w:cs="Times New Roman"/>
              </w:rPr>
            </w:pPr>
          </w:p>
        </w:tc>
      </w:tr>
      <w:tr w:rsidR="00A12F26" w:rsidRPr="00930038" w14:paraId="67F6A7C0" w14:textId="77777777" w:rsidTr="003137BE">
        <w:tc>
          <w:tcPr>
            <w:tcW w:w="1874" w:type="dxa"/>
            <w:vAlign w:val="center"/>
          </w:tcPr>
          <w:p w14:paraId="23D504BB" w14:textId="29FA6E95" w:rsidR="00A12F26" w:rsidRPr="0042713B" w:rsidRDefault="00774722" w:rsidP="00166431">
            <w:pPr>
              <w:spacing w:line="240" w:lineRule="auto"/>
              <w:rPr>
                <w:rFonts w:ascii="Aptos" w:eastAsia="Aptos" w:hAnsi="Aptos" w:cs="Times New Roman"/>
              </w:rPr>
            </w:pPr>
            <w:r w:rsidRPr="0042713B">
              <w:rPr>
                <w:rFonts w:ascii="Aptos" w:eastAsia="Aptos" w:hAnsi="Aptos" w:cs="Times New Roman"/>
              </w:rPr>
              <w:t>A</w:t>
            </w:r>
          </w:p>
        </w:tc>
        <w:tc>
          <w:tcPr>
            <w:tcW w:w="5535" w:type="dxa"/>
            <w:vAlign w:val="center"/>
          </w:tcPr>
          <w:p w14:paraId="3E234E01" w14:textId="186CA4EC" w:rsidR="00A12F26" w:rsidRPr="0042713B" w:rsidRDefault="00774722" w:rsidP="00166431">
            <w:pPr>
              <w:spacing w:line="240" w:lineRule="auto"/>
            </w:pPr>
            <w:r w:rsidRPr="0042713B">
              <w:t>Air</w:t>
            </w:r>
          </w:p>
        </w:tc>
        <w:tc>
          <w:tcPr>
            <w:tcW w:w="1941" w:type="dxa"/>
            <w:vAlign w:val="center"/>
          </w:tcPr>
          <w:p w14:paraId="6B744E8F" w14:textId="77777777" w:rsidR="00A12F26" w:rsidRPr="0042713B" w:rsidRDefault="00A12F26" w:rsidP="00166431">
            <w:pPr>
              <w:spacing w:line="240" w:lineRule="auto"/>
              <w:rPr>
                <w:rFonts w:ascii="Aptos Display" w:eastAsia="Times New Roman" w:hAnsi="Aptos Display" w:cs="Times New Roman"/>
              </w:rPr>
            </w:pPr>
          </w:p>
        </w:tc>
      </w:tr>
      <w:tr w:rsidR="003137BE" w:rsidRPr="00930038" w14:paraId="09CBE6D7" w14:textId="77777777" w:rsidTr="003137BE">
        <w:tc>
          <w:tcPr>
            <w:tcW w:w="1874" w:type="dxa"/>
            <w:vAlign w:val="center"/>
          </w:tcPr>
          <w:p w14:paraId="1E0EA405" w14:textId="6857D434" w:rsidR="003137BE" w:rsidRPr="0042713B" w:rsidRDefault="003137BE" w:rsidP="00166431">
            <w:pPr>
              <w:spacing w:line="240" w:lineRule="auto"/>
              <w:rPr>
                <w:rFonts w:ascii="Aptos" w:eastAsia="Aptos" w:hAnsi="Aptos" w:cs="Times New Roman"/>
              </w:rPr>
            </w:pPr>
            <w:r w:rsidRPr="0042713B">
              <w:rPr>
                <w:rFonts w:ascii="Aptos" w:eastAsia="Aptos" w:hAnsi="Aptos" w:cs="Times New Roman"/>
              </w:rPr>
              <w:t>Act</w:t>
            </w:r>
          </w:p>
        </w:tc>
        <w:tc>
          <w:tcPr>
            <w:tcW w:w="5535" w:type="dxa"/>
            <w:vAlign w:val="center"/>
          </w:tcPr>
          <w:p w14:paraId="32B721F8" w14:textId="55EBFE5D" w:rsidR="003137BE" w:rsidRPr="0042713B" w:rsidRDefault="003137BE" w:rsidP="00166431">
            <w:pPr>
              <w:spacing w:line="240" w:lineRule="auto"/>
            </w:pPr>
            <w:r w:rsidRPr="0042713B">
              <w:t>Activation Overpotential</w:t>
            </w:r>
          </w:p>
        </w:tc>
        <w:tc>
          <w:tcPr>
            <w:tcW w:w="1941" w:type="dxa"/>
            <w:vAlign w:val="center"/>
          </w:tcPr>
          <w:p w14:paraId="369EEBE1" w14:textId="77777777" w:rsidR="003137BE" w:rsidRPr="0042713B" w:rsidRDefault="003137BE" w:rsidP="00166431">
            <w:pPr>
              <w:spacing w:line="240" w:lineRule="auto"/>
              <w:rPr>
                <w:rFonts w:ascii="Aptos Display" w:eastAsia="Times New Roman" w:hAnsi="Aptos Display" w:cs="Times New Roman"/>
              </w:rPr>
            </w:pPr>
          </w:p>
        </w:tc>
      </w:tr>
      <w:tr w:rsidR="00955766" w:rsidRPr="00930038" w14:paraId="122508FF" w14:textId="77777777" w:rsidTr="003137BE">
        <w:tc>
          <w:tcPr>
            <w:tcW w:w="1874" w:type="dxa"/>
            <w:vAlign w:val="center"/>
          </w:tcPr>
          <w:p w14:paraId="3A455CAE" w14:textId="1B7ADADD" w:rsidR="00955766" w:rsidRPr="0042713B" w:rsidRDefault="00955766" w:rsidP="00166431">
            <w:pPr>
              <w:spacing w:line="240" w:lineRule="auto"/>
              <w:rPr>
                <w:rFonts w:ascii="Aptos" w:eastAsia="Aptos" w:hAnsi="Aptos" w:cs="Times New Roman"/>
              </w:rPr>
            </w:pPr>
            <w:r w:rsidRPr="0042713B">
              <w:rPr>
                <w:rFonts w:ascii="Aptos" w:eastAsia="Aptos" w:hAnsi="Aptos" w:cs="Times New Roman"/>
              </w:rPr>
              <w:t>An</w:t>
            </w:r>
          </w:p>
        </w:tc>
        <w:tc>
          <w:tcPr>
            <w:tcW w:w="5535" w:type="dxa"/>
            <w:vAlign w:val="center"/>
          </w:tcPr>
          <w:p w14:paraId="1201474C" w14:textId="15793B5B" w:rsidR="00955766" w:rsidRPr="0042713B" w:rsidRDefault="00955766" w:rsidP="00166431">
            <w:pPr>
              <w:spacing w:line="240" w:lineRule="auto"/>
            </w:pPr>
            <w:r w:rsidRPr="0042713B">
              <w:t>Anode</w:t>
            </w:r>
          </w:p>
        </w:tc>
        <w:tc>
          <w:tcPr>
            <w:tcW w:w="1941" w:type="dxa"/>
            <w:vAlign w:val="center"/>
          </w:tcPr>
          <w:p w14:paraId="5618D80B" w14:textId="77777777" w:rsidR="00955766" w:rsidRPr="0042713B" w:rsidRDefault="00955766" w:rsidP="00166431">
            <w:pPr>
              <w:spacing w:line="240" w:lineRule="auto"/>
              <w:rPr>
                <w:rFonts w:ascii="Aptos Display" w:eastAsia="Times New Roman" w:hAnsi="Aptos Display" w:cs="Times New Roman"/>
              </w:rPr>
            </w:pPr>
          </w:p>
        </w:tc>
      </w:tr>
      <w:tr w:rsidR="008C63CE" w:rsidRPr="00930038" w14:paraId="360B662D" w14:textId="77777777" w:rsidTr="003137BE">
        <w:tc>
          <w:tcPr>
            <w:tcW w:w="1874" w:type="dxa"/>
            <w:vAlign w:val="center"/>
          </w:tcPr>
          <w:p w14:paraId="458F17CD" w14:textId="1ADB284A" w:rsidR="008C63CE" w:rsidRPr="0042713B" w:rsidRDefault="008C63CE" w:rsidP="00166431">
            <w:pPr>
              <w:spacing w:line="240" w:lineRule="auto"/>
              <w:rPr>
                <w:rFonts w:ascii="Aptos" w:eastAsia="Aptos" w:hAnsi="Aptos" w:cs="Times New Roman"/>
              </w:rPr>
            </w:pPr>
            <w:proofErr w:type="spellStart"/>
            <w:r>
              <w:rPr>
                <w:rFonts w:ascii="Aptos" w:eastAsia="Aptos" w:hAnsi="Aptos" w:cs="Times New Roman"/>
              </w:rPr>
              <w:t>Airch</w:t>
            </w:r>
            <w:proofErr w:type="spellEnd"/>
          </w:p>
        </w:tc>
        <w:tc>
          <w:tcPr>
            <w:tcW w:w="5535" w:type="dxa"/>
            <w:vAlign w:val="center"/>
          </w:tcPr>
          <w:p w14:paraId="1D90F8A1" w14:textId="4ADDF430" w:rsidR="008C63CE" w:rsidRPr="0042713B" w:rsidRDefault="008C63CE" w:rsidP="00166431">
            <w:pPr>
              <w:spacing w:line="240" w:lineRule="auto"/>
            </w:pPr>
            <w:r>
              <w:t>Air channel</w:t>
            </w:r>
          </w:p>
        </w:tc>
        <w:tc>
          <w:tcPr>
            <w:tcW w:w="1941" w:type="dxa"/>
            <w:vAlign w:val="center"/>
          </w:tcPr>
          <w:p w14:paraId="5D9EF434" w14:textId="77777777" w:rsidR="008C63CE" w:rsidRPr="0042713B" w:rsidRDefault="008C63CE" w:rsidP="00166431">
            <w:pPr>
              <w:spacing w:line="240" w:lineRule="auto"/>
              <w:rPr>
                <w:rFonts w:ascii="Aptos Display" w:eastAsia="Times New Roman" w:hAnsi="Aptos Display" w:cs="Times New Roman"/>
              </w:rPr>
            </w:pPr>
          </w:p>
        </w:tc>
      </w:tr>
      <w:tr w:rsidR="005E679E" w:rsidRPr="00930038" w14:paraId="6A724D66" w14:textId="77777777" w:rsidTr="003137BE">
        <w:tc>
          <w:tcPr>
            <w:tcW w:w="1874" w:type="dxa"/>
            <w:vAlign w:val="center"/>
          </w:tcPr>
          <w:p w14:paraId="5124D7E2" w14:textId="10BF302B" w:rsidR="005E679E" w:rsidRPr="0042713B" w:rsidRDefault="005E679E" w:rsidP="00166431">
            <w:pPr>
              <w:spacing w:line="240" w:lineRule="auto"/>
              <w:rPr>
                <w:rFonts w:ascii="Aptos" w:eastAsia="Aptos" w:hAnsi="Aptos" w:cs="Times New Roman"/>
              </w:rPr>
            </w:pPr>
            <w:r w:rsidRPr="0042713B">
              <w:rPr>
                <w:rFonts w:ascii="Aptos" w:eastAsia="Aptos" w:hAnsi="Aptos" w:cs="Times New Roman"/>
              </w:rPr>
              <w:t>BT</w:t>
            </w:r>
          </w:p>
        </w:tc>
        <w:tc>
          <w:tcPr>
            <w:tcW w:w="5535" w:type="dxa"/>
            <w:vAlign w:val="center"/>
          </w:tcPr>
          <w:p w14:paraId="0D7AE48D" w14:textId="06742BD1" w:rsidR="005E679E" w:rsidRPr="0042713B" w:rsidRDefault="005E679E" w:rsidP="00166431">
            <w:pPr>
              <w:spacing w:line="240" w:lineRule="auto"/>
            </w:pPr>
            <w:r w:rsidRPr="0042713B">
              <w:t>Benzene to Tolu</w:t>
            </w:r>
            <w:r w:rsidR="00F613EA" w:rsidRPr="0042713B">
              <w:t>ene</w:t>
            </w:r>
          </w:p>
        </w:tc>
        <w:tc>
          <w:tcPr>
            <w:tcW w:w="1941" w:type="dxa"/>
            <w:vAlign w:val="center"/>
          </w:tcPr>
          <w:p w14:paraId="3E9EBAD5" w14:textId="77777777" w:rsidR="005E679E" w:rsidRPr="0042713B" w:rsidRDefault="005E679E" w:rsidP="00166431">
            <w:pPr>
              <w:spacing w:line="240" w:lineRule="auto"/>
              <w:rPr>
                <w:rFonts w:ascii="Aptos Display" w:eastAsia="Times New Roman" w:hAnsi="Aptos Display" w:cs="Times New Roman"/>
              </w:rPr>
            </w:pPr>
          </w:p>
        </w:tc>
      </w:tr>
      <w:tr w:rsidR="00955766" w:rsidRPr="00930038" w14:paraId="7FE65AD2" w14:textId="77777777" w:rsidTr="003137BE">
        <w:tc>
          <w:tcPr>
            <w:tcW w:w="1874" w:type="dxa"/>
            <w:vAlign w:val="center"/>
          </w:tcPr>
          <w:p w14:paraId="36B924F0" w14:textId="333E39F0" w:rsidR="00955766" w:rsidRPr="0042713B" w:rsidRDefault="00955766" w:rsidP="00166431">
            <w:pPr>
              <w:spacing w:line="240" w:lineRule="auto"/>
              <w:rPr>
                <w:rFonts w:ascii="Aptos" w:eastAsia="Aptos" w:hAnsi="Aptos" w:cs="Times New Roman"/>
              </w:rPr>
            </w:pPr>
            <w:r w:rsidRPr="0042713B">
              <w:rPr>
                <w:rFonts w:ascii="Aptos" w:eastAsia="Aptos" w:hAnsi="Aptos" w:cs="Times New Roman"/>
              </w:rPr>
              <w:t>Ca</w:t>
            </w:r>
          </w:p>
        </w:tc>
        <w:tc>
          <w:tcPr>
            <w:tcW w:w="5535" w:type="dxa"/>
            <w:vAlign w:val="center"/>
          </w:tcPr>
          <w:p w14:paraId="77CACAB9" w14:textId="297911F9" w:rsidR="00955766" w:rsidRPr="0042713B" w:rsidRDefault="00955766" w:rsidP="00166431">
            <w:pPr>
              <w:spacing w:line="240" w:lineRule="auto"/>
            </w:pPr>
            <w:r w:rsidRPr="0042713B">
              <w:t>Cathode</w:t>
            </w:r>
          </w:p>
        </w:tc>
        <w:tc>
          <w:tcPr>
            <w:tcW w:w="1941" w:type="dxa"/>
            <w:vAlign w:val="center"/>
          </w:tcPr>
          <w:p w14:paraId="39D01C9C" w14:textId="77777777" w:rsidR="00955766" w:rsidRPr="0042713B" w:rsidRDefault="00955766" w:rsidP="00166431">
            <w:pPr>
              <w:spacing w:line="240" w:lineRule="auto"/>
              <w:rPr>
                <w:rFonts w:ascii="Aptos Display" w:eastAsia="Times New Roman" w:hAnsi="Aptos Display" w:cs="Times New Roman"/>
              </w:rPr>
            </w:pPr>
          </w:p>
        </w:tc>
      </w:tr>
      <w:tr w:rsidR="003137BE" w:rsidRPr="00930038" w14:paraId="7DEB5634" w14:textId="77777777" w:rsidTr="003137BE">
        <w:tc>
          <w:tcPr>
            <w:tcW w:w="1874" w:type="dxa"/>
            <w:vAlign w:val="center"/>
          </w:tcPr>
          <w:p w14:paraId="5EE400E0" w14:textId="208DB323" w:rsidR="003137BE" w:rsidRPr="0042713B" w:rsidRDefault="003137BE" w:rsidP="00166431">
            <w:pPr>
              <w:spacing w:line="240" w:lineRule="auto"/>
              <w:rPr>
                <w:rFonts w:ascii="Aptos" w:eastAsia="Aptos" w:hAnsi="Aptos" w:cs="Times New Roman"/>
              </w:rPr>
            </w:pPr>
            <w:r w:rsidRPr="0042713B">
              <w:rPr>
                <w:rFonts w:ascii="Aptos" w:eastAsia="Aptos" w:hAnsi="Aptos" w:cs="Times New Roman"/>
              </w:rPr>
              <w:t>Conc</w:t>
            </w:r>
          </w:p>
        </w:tc>
        <w:tc>
          <w:tcPr>
            <w:tcW w:w="5535" w:type="dxa"/>
            <w:vAlign w:val="center"/>
          </w:tcPr>
          <w:p w14:paraId="6C026B36" w14:textId="5CD22A88" w:rsidR="003137BE" w:rsidRPr="0042713B" w:rsidRDefault="003137BE" w:rsidP="00166431">
            <w:pPr>
              <w:spacing w:line="240" w:lineRule="auto"/>
            </w:pPr>
            <w:r w:rsidRPr="0042713B">
              <w:t>Concentration Overpotential</w:t>
            </w:r>
          </w:p>
        </w:tc>
        <w:tc>
          <w:tcPr>
            <w:tcW w:w="1941" w:type="dxa"/>
            <w:vAlign w:val="center"/>
          </w:tcPr>
          <w:p w14:paraId="33D7EEA7" w14:textId="77777777" w:rsidR="003137BE" w:rsidRPr="0042713B" w:rsidRDefault="003137BE" w:rsidP="00166431">
            <w:pPr>
              <w:spacing w:line="240" w:lineRule="auto"/>
              <w:rPr>
                <w:rFonts w:ascii="Aptos Display" w:eastAsia="Times New Roman" w:hAnsi="Aptos Display" w:cs="Times New Roman"/>
              </w:rPr>
            </w:pPr>
          </w:p>
        </w:tc>
      </w:tr>
      <w:tr w:rsidR="00F613EA" w:rsidRPr="00930038" w14:paraId="0C4C1298" w14:textId="77777777" w:rsidTr="003137BE">
        <w:tc>
          <w:tcPr>
            <w:tcW w:w="1874" w:type="dxa"/>
            <w:vAlign w:val="center"/>
          </w:tcPr>
          <w:p w14:paraId="428BCD26" w14:textId="7B1C6778" w:rsidR="00F613EA" w:rsidRPr="0042713B" w:rsidRDefault="00F613EA" w:rsidP="00166431">
            <w:pPr>
              <w:spacing w:line="240" w:lineRule="auto"/>
              <w:rPr>
                <w:rFonts w:ascii="Aptos" w:eastAsia="Aptos" w:hAnsi="Aptos" w:cs="Times New Roman"/>
              </w:rPr>
            </w:pPr>
            <w:r w:rsidRPr="0042713B">
              <w:rPr>
                <w:rFonts w:ascii="Aptos" w:eastAsia="Aptos" w:hAnsi="Aptos" w:cs="Times New Roman"/>
              </w:rPr>
              <w:t>EB</w:t>
            </w:r>
          </w:p>
        </w:tc>
        <w:tc>
          <w:tcPr>
            <w:tcW w:w="5535" w:type="dxa"/>
            <w:vAlign w:val="center"/>
          </w:tcPr>
          <w:p w14:paraId="0849F8E2" w14:textId="73081B35" w:rsidR="00F613EA" w:rsidRPr="0042713B" w:rsidRDefault="00F613EA" w:rsidP="00166431">
            <w:pPr>
              <w:spacing w:line="240" w:lineRule="auto"/>
            </w:pPr>
            <w:r w:rsidRPr="0042713B">
              <w:t>Ethylene to Benzene</w:t>
            </w:r>
          </w:p>
        </w:tc>
        <w:tc>
          <w:tcPr>
            <w:tcW w:w="1941" w:type="dxa"/>
            <w:vAlign w:val="center"/>
          </w:tcPr>
          <w:p w14:paraId="18DDB3EC" w14:textId="77777777" w:rsidR="00F613EA" w:rsidRPr="0042713B" w:rsidRDefault="00F613EA" w:rsidP="00166431">
            <w:pPr>
              <w:spacing w:line="240" w:lineRule="auto"/>
              <w:rPr>
                <w:rFonts w:ascii="Aptos Display" w:eastAsia="Times New Roman" w:hAnsi="Aptos Display" w:cs="Times New Roman"/>
              </w:rPr>
            </w:pPr>
          </w:p>
        </w:tc>
      </w:tr>
      <w:tr w:rsidR="000415C4" w:rsidRPr="00930038" w14:paraId="747A628F" w14:textId="77777777" w:rsidTr="003137BE">
        <w:tc>
          <w:tcPr>
            <w:tcW w:w="1874" w:type="dxa"/>
            <w:vAlign w:val="center"/>
          </w:tcPr>
          <w:p w14:paraId="6D097C75" w14:textId="1C74A7CE" w:rsidR="000415C4" w:rsidRPr="0042713B" w:rsidRDefault="000415C4" w:rsidP="00166431">
            <w:pPr>
              <w:spacing w:line="240" w:lineRule="auto"/>
              <w:rPr>
                <w:rFonts w:ascii="Aptos" w:eastAsia="Aptos" w:hAnsi="Aptos" w:cs="Times New Roman"/>
              </w:rPr>
            </w:pPr>
            <w:r w:rsidRPr="0042713B">
              <w:rPr>
                <w:rFonts w:ascii="Aptos" w:eastAsia="Aptos" w:hAnsi="Aptos" w:cs="Times New Roman"/>
              </w:rPr>
              <w:t>F</w:t>
            </w:r>
          </w:p>
        </w:tc>
        <w:tc>
          <w:tcPr>
            <w:tcW w:w="5535" w:type="dxa"/>
            <w:vAlign w:val="center"/>
          </w:tcPr>
          <w:p w14:paraId="1FF87A2F" w14:textId="57FDD9C4" w:rsidR="000415C4" w:rsidRPr="0042713B" w:rsidRDefault="000415C4" w:rsidP="00166431">
            <w:pPr>
              <w:spacing w:line="240" w:lineRule="auto"/>
            </w:pPr>
            <w:r w:rsidRPr="0042713B">
              <w:t>Reacting fuel</w:t>
            </w:r>
          </w:p>
        </w:tc>
        <w:tc>
          <w:tcPr>
            <w:tcW w:w="1941" w:type="dxa"/>
            <w:vAlign w:val="center"/>
          </w:tcPr>
          <w:p w14:paraId="1A742349" w14:textId="77777777" w:rsidR="000415C4" w:rsidRPr="0042713B" w:rsidRDefault="000415C4" w:rsidP="00166431">
            <w:pPr>
              <w:spacing w:line="240" w:lineRule="auto"/>
              <w:rPr>
                <w:rFonts w:ascii="Aptos Display" w:eastAsia="Times New Roman" w:hAnsi="Aptos Display" w:cs="Times New Roman"/>
              </w:rPr>
            </w:pPr>
          </w:p>
        </w:tc>
      </w:tr>
      <w:tr w:rsidR="00343F48" w:rsidRPr="00930038" w14:paraId="0281260D" w14:textId="77777777" w:rsidTr="003137BE">
        <w:tc>
          <w:tcPr>
            <w:tcW w:w="1874" w:type="dxa"/>
            <w:vAlign w:val="center"/>
          </w:tcPr>
          <w:p w14:paraId="6291AC33" w14:textId="20AFF6AB" w:rsidR="00343F48" w:rsidRPr="0042713B" w:rsidRDefault="00343F48" w:rsidP="00166431">
            <w:pPr>
              <w:spacing w:line="240" w:lineRule="auto"/>
              <w:rPr>
                <w:rFonts w:ascii="Aptos" w:eastAsia="Aptos" w:hAnsi="Aptos" w:cs="Times New Roman"/>
              </w:rPr>
            </w:pPr>
            <w:r w:rsidRPr="0042713B">
              <w:rPr>
                <w:rFonts w:ascii="Aptos" w:eastAsia="Aptos" w:hAnsi="Aptos" w:cs="Times New Roman"/>
              </w:rPr>
              <w:t>FDT</w:t>
            </w:r>
          </w:p>
        </w:tc>
        <w:tc>
          <w:tcPr>
            <w:tcW w:w="5535" w:type="dxa"/>
            <w:vAlign w:val="center"/>
          </w:tcPr>
          <w:p w14:paraId="098809E1" w14:textId="1B6A2948" w:rsidR="00343F48" w:rsidRPr="0042713B" w:rsidRDefault="00343F48" w:rsidP="00166431">
            <w:pPr>
              <w:spacing w:line="240" w:lineRule="auto"/>
            </w:pPr>
            <w:r w:rsidRPr="0042713B">
              <w:t>Fuel Delivery Tube</w:t>
            </w:r>
          </w:p>
        </w:tc>
        <w:tc>
          <w:tcPr>
            <w:tcW w:w="1941" w:type="dxa"/>
            <w:vAlign w:val="center"/>
          </w:tcPr>
          <w:p w14:paraId="42EFBF0D" w14:textId="77777777" w:rsidR="00343F48" w:rsidRPr="0042713B" w:rsidRDefault="00343F48" w:rsidP="00166431">
            <w:pPr>
              <w:spacing w:line="240" w:lineRule="auto"/>
              <w:rPr>
                <w:rFonts w:ascii="Aptos Display" w:eastAsia="Times New Roman" w:hAnsi="Aptos Display" w:cs="Times New Roman"/>
              </w:rPr>
            </w:pPr>
          </w:p>
        </w:tc>
      </w:tr>
      <w:tr w:rsidR="008C63CE" w:rsidRPr="00930038" w14:paraId="5DB7FFB6" w14:textId="77777777" w:rsidTr="003137BE">
        <w:tc>
          <w:tcPr>
            <w:tcW w:w="1874" w:type="dxa"/>
            <w:vAlign w:val="center"/>
          </w:tcPr>
          <w:p w14:paraId="170EE7D5" w14:textId="376FB3F4" w:rsidR="008C63CE" w:rsidRPr="0042713B" w:rsidRDefault="008C63CE" w:rsidP="00166431">
            <w:pPr>
              <w:spacing w:line="240" w:lineRule="auto"/>
              <w:rPr>
                <w:rFonts w:ascii="Aptos" w:eastAsia="Aptos" w:hAnsi="Aptos" w:cs="Times New Roman"/>
              </w:rPr>
            </w:pPr>
            <w:proofErr w:type="spellStart"/>
            <w:r>
              <w:rPr>
                <w:rFonts w:ascii="Aptos" w:eastAsia="Aptos" w:hAnsi="Aptos" w:cs="Times New Roman"/>
              </w:rPr>
              <w:t>Fuelch</w:t>
            </w:r>
            <w:proofErr w:type="spellEnd"/>
          </w:p>
        </w:tc>
        <w:tc>
          <w:tcPr>
            <w:tcW w:w="5535" w:type="dxa"/>
            <w:vAlign w:val="center"/>
          </w:tcPr>
          <w:p w14:paraId="31E0A607" w14:textId="45528141" w:rsidR="008C63CE" w:rsidRPr="0042713B" w:rsidRDefault="008C63CE" w:rsidP="00166431">
            <w:pPr>
              <w:spacing w:line="240" w:lineRule="auto"/>
            </w:pPr>
            <w:r>
              <w:t>Fuel channel</w:t>
            </w:r>
          </w:p>
        </w:tc>
        <w:tc>
          <w:tcPr>
            <w:tcW w:w="1941" w:type="dxa"/>
            <w:vAlign w:val="center"/>
          </w:tcPr>
          <w:p w14:paraId="124E379B" w14:textId="77777777" w:rsidR="008C63CE" w:rsidRPr="0042713B" w:rsidRDefault="008C63CE" w:rsidP="00166431">
            <w:pPr>
              <w:spacing w:line="240" w:lineRule="auto"/>
              <w:rPr>
                <w:rFonts w:ascii="Aptos Display" w:eastAsia="Times New Roman" w:hAnsi="Aptos Display" w:cs="Times New Roman"/>
              </w:rPr>
            </w:pPr>
          </w:p>
        </w:tc>
      </w:tr>
      <w:tr w:rsidR="00D92643" w:rsidRPr="00930038" w14:paraId="6FF5FF6D" w14:textId="77777777" w:rsidTr="003137BE">
        <w:tc>
          <w:tcPr>
            <w:tcW w:w="1874" w:type="dxa"/>
            <w:vAlign w:val="center"/>
          </w:tcPr>
          <w:p w14:paraId="6BB205A2" w14:textId="13FC77B1" w:rsidR="00D92643" w:rsidRPr="0042713B" w:rsidRDefault="00D92643" w:rsidP="00166431">
            <w:pPr>
              <w:spacing w:line="240" w:lineRule="auto"/>
              <w:rPr>
                <w:rFonts w:ascii="Aptos" w:eastAsia="Aptos" w:hAnsi="Aptos" w:cs="Times New Roman"/>
              </w:rPr>
            </w:pPr>
            <w:r w:rsidRPr="0042713B">
              <w:rPr>
                <w:rFonts w:ascii="Aptos" w:eastAsia="Aptos" w:hAnsi="Aptos" w:cs="Times New Roman"/>
              </w:rPr>
              <w:t>IC</w:t>
            </w:r>
          </w:p>
        </w:tc>
        <w:tc>
          <w:tcPr>
            <w:tcW w:w="5535" w:type="dxa"/>
            <w:vAlign w:val="center"/>
          </w:tcPr>
          <w:p w14:paraId="278EF90A" w14:textId="05B42299" w:rsidR="00D92643" w:rsidRPr="0042713B" w:rsidRDefault="00D92643" w:rsidP="00166431">
            <w:pPr>
              <w:spacing w:line="240" w:lineRule="auto"/>
            </w:pPr>
            <w:r w:rsidRPr="0042713B">
              <w:t>Interconnect</w:t>
            </w:r>
          </w:p>
        </w:tc>
        <w:tc>
          <w:tcPr>
            <w:tcW w:w="1941" w:type="dxa"/>
            <w:vAlign w:val="center"/>
          </w:tcPr>
          <w:p w14:paraId="32F4AF4E" w14:textId="77777777" w:rsidR="00D92643" w:rsidRPr="0042713B" w:rsidRDefault="00D92643" w:rsidP="00166431">
            <w:pPr>
              <w:spacing w:line="240" w:lineRule="auto"/>
              <w:rPr>
                <w:rFonts w:ascii="Aptos Display" w:eastAsia="Times New Roman" w:hAnsi="Aptos Display" w:cs="Times New Roman"/>
              </w:rPr>
            </w:pPr>
          </w:p>
        </w:tc>
      </w:tr>
      <w:tr w:rsidR="009D789B" w:rsidRPr="00930038" w14:paraId="737C4ABF" w14:textId="77777777" w:rsidTr="003137BE">
        <w:tc>
          <w:tcPr>
            <w:tcW w:w="1874" w:type="dxa"/>
            <w:vAlign w:val="center"/>
          </w:tcPr>
          <w:p w14:paraId="70B312E7" w14:textId="726BDE1B" w:rsidR="009D789B" w:rsidRPr="0042713B" w:rsidRDefault="009D789B" w:rsidP="00166431">
            <w:pPr>
              <w:spacing w:line="240" w:lineRule="auto"/>
              <w:rPr>
                <w:rFonts w:ascii="Aptos" w:eastAsia="Aptos" w:hAnsi="Aptos" w:cs="Times New Roman"/>
              </w:rPr>
            </w:pPr>
            <w:r w:rsidRPr="0042713B">
              <w:rPr>
                <w:rFonts w:ascii="Aptos" w:eastAsia="Aptos" w:hAnsi="Aptos" w:cs="Times New Roman"/>
              </w:rPr>
              <w:t>ICA</w:t>
            </w:r>
          </w:p>
        </w:tc>
        <w:tc>
          <w:tcPr>
            <w:tcW w:w="5535" w:type="dxa"/>
            <w:vAlign w:val="center"/>
          </w:tcPr>
          <w:p w14:paraId="20E91F5B" w14:textId="2F349C5C" w:rsidR="009D789B" w:rsidRPr="0042713B" w:rsidRDefault="009D789B" w:rsidP="00166431">
            <w:pPr>
              <w:spacing w:line="240" w:lineRule="auto"/>
            </w:pPr>
            <w:r w:rsidRPr="0042713B">
              <w:t>Interconnect. air side</w:t>
            </w:r>
          </w:p>
        </w:tc>
        <w:tc>
          <w:tcPr>
            <w:tcW w:w="1941" w:type="dxa"/>
            <w:vAlign w:val="center"/>
          </w:tcPr>
          <w:p w14:paraId="2A64AE37" w14:textId="77777777" w:rsidR="009D789B" w:rsidRPr="0042713B" w:rsidRDefault="009D789B" w:rsidP="00166431">
            <w:pPr>
              <w:spacing w:line="240" w:lineRule="auto"/>
              <w:rPr>
                <w:rFonts w:ascii="Aptos Display" w:eastAsia="Times New Roman" w:hAnsi="Aptos Display" w:cs="Times New Roman"/>
              </w:rPr>
            </w:pPr>
          </w:p>
        </w:tc>
      </w:tr>
      <w:tr w:rsidR="009D789B" w:rsidRPr="00930038" w14:paraId="31F9C3EE" w14:textId="77777777" w:rsidTr="003137BE">
        <w:tc>
          <w:tcPr>
            <w:tcW w:w="1874" w:type="dxa"/>
            <w:vAlign w:val="center"/>
          </w:tcPr>
          <w:p w14:paraId="4E914244" w14:textId="105F344A" w:rsidR="009D789B" w:rsidRPr="0042713B" w:rsidRDefault="009D789B" w:rsidP="00166431">
            <w:pPr>
              <w:spacing w:line="240" w:lineRule="auto"/>
              <w:rPr>
                <w:rFonts w:ascii="Aptos" w:eastAsia="Aptos" w:hAnsi="Aptos" w:cs="Times New Roman"/>
              </w:rPr>
            </w:pPr>
            <w:r w:rsidRPr="0042713B">
              <w:rPr>
                <w:rFonts w:ascii="Aptos" w:eastAsia="Aptos" w:hAnsi="Aptos" w:cs="Times New Roman"/>
              </w:rPr>
              <w:t>ICF</w:t>
            </w:r>
          </w:p>
        </w:tc>
        <w:tc>
          <w:tcPr>
            <w:tcW w:w="5535" w:type="dxa"/>
            <w:vAlign w:val="center"/>
          </w:tcPr>
          <w:p w14:paraId="35A81879" w14:textId="2F65BD92" w:rsidR="009D789B" w:rsidRPr="0042713B" w:rsidRDefault="009D789B" w:rsidP="00166431">
            <w:pPr>
              <w:spacing w:line="240" w:lineRule="auto"/>
            </w:pPr>
            <w:r w:rsidRPr="0042713B">
              <w:t>Interconnect, fuel side</w:t>
            </w:r>
          </w:p>
        </w:tc>
        <w:tc>
          <w:tcPr>
            <w:tcW w:w="1941" w:type="dxa"/>
            <w:vAlign w:val="center"/>
          </w:tcPr>
          <w:p w14:paraId="0CBFB7C5" w14:textId="77777777" w:rsidR="009D789B" w:rsidRPr="0042713B" w:rsidRDefault="009D789B" w:rsidP="00166431">
            <w:pPr>
              <w:spacing w:line="240" w:lineRule="auto"/>
              <w:rPr>
                <w:rFonts w:ascii="Aptos Display" w:eastAsia="Times New Roman" w:hAnsi="Aptos Display" w:cs="Times New Roman"/>
              </w:rPr>
            </w:pPr>
          </w:p>
        </w:tc>
      </w:tr>
      <w:tr w:rsidR="00F613EA" w:rsidRPr="00930038" w14:paraId="40EFBAFE" w14:textId="77777777" w:rsidTr="003137BE">
        <w:tc>
          <w:tcPr>
            <w:tcW w:w="1874" w:type="dxa"/>
            <w:vAlign w:val="center"/>
          </w:tcPr>
          <w:p w14:paraId="22AC5A24" w14:textId="4ADFAA4F" w:rsidR="00F613EA" w:rsidRPr="0042713B" w:rsidRDefault="00F613EA" w:rsidP="00166431">
            <w:pPr>
              <w:spacing w:line="240" w:lineRule="auto"/>
              <w:rPr>
                <w:rFonts w:ascii="Aptos" w:eastAsia="Aptos" w:hAnsi="Aptos" w:cs="Times New Roman"/>
              </w:rPr>
            </w:pPr>
            <w:r w:rsidRPr="0042713B">
              <w:rPr>
                <w:rFonts w:ascii="Aptos" w:eastAsia="Aptos" w:hAnsi="Aptos" w:cs="Times New Roman"/>
              </w:rPr>
              <w:t>ME</w:t>
            </w:r>
          </w:p>
        </w:tc>
        <w:tc>
          <w:tcPr>
            <w:tcW w:w="5535" w:type="dxa"/>
            <w:vAlign w:val="center"/>
          </w:tcPr>
          <w:p w14:paraId="490AE9BA" w14:textId="51B7171B" w:rsidR="00F613EA" w:rsidRPr="0042713B" w:rsidRDefault="00F613EA" w:rsidP="00166431">
            <w:pPr>
              <w:spacing w:line="240" w:lineRule="auto"/>
            </w:pPr>
            <w:r w:rsidRPr="0042713B">
              <w:t>Methane to Ethylene</w:t>
            </w:r>
          </w:p>
        </w:tc>
        <w:tc>
          <w:tcPr>
            <w:tcW w:w="1941" w:type="dxa"/>
            <w:vAlign w:val="center"/>
          </w:tcPr>
          <w:p w14:paraId="42B550F6" w14:textId="77777777" w:rsidR="00F613EA" w:rsidRPr="0042713B" w:rsidRDefault="00F613EA" w:rsidP="00166431">
            <w:pPr>
              <w:spacing w:line="240" w:lineRule="auto"/>
              <w:rPr>
                <w:rFonts w:ascii="Aptos Display" w:eastAsia="Times New Roman" w:hAnsi="Aptos Display" w:cs="Times New Roman"/>
              </w:rPr>
            </w:pPr>
          </w:p>
        </w:tc>
      </w:tr>
      <w:tr w:rsidR="003137BE" w:rsidRPr="00930038" w14:paraId="5886F202" w14:textId="77777777" w:rsidTr="003137BE">
        <w:tc>
          <w:tcPr>
            <w:tcW w:w="1874" w:type="dxa"/>
            <w:vAlign w:val="center"/>
          </w:tcPr>
          <w:p w14:paraId="3F9FA7C1" w14:textId="32E195EC" w:rsidR="003137BE" w:rsidRPr="0042713B" w:rsidRDefault="003137BE" w:rsidP="00166431">
            <w:pPr>
              <w:spacing w:line="240" w:lineRule="auto"/>
              <w:rPr>
                <w:rFonts w:ascii="Aptos" w:eastAsia="Aptos" w:hAnsi="Aptos" w:cs="Times New Roman"/>
              </w:rPr>
            </w:pPr>
            <w:r w:rsidRPr="0042713B">
              <w:rPr>
                <w:rFonts w:ascii="Aptos" w:eastAsia="Aptos" w:hAnsi="Aptos" w:cs="Times New Roman"/>
              </w:rPr>
              <w:t>Ohm</w:t>
            </w:r>
          </w:p>
        </w:tc>
        <w:tc>
          <w:tcPr>
            <w:tcW w:w="5535" w:type="dxa"/>
            <w:vAlign w:val="center"/>
          </w:tcPr>
          <w:p w14:paraId="6AF36915" w14:textId="1D460A74" w:rsidR="003137BE" w:rsidRPr="0042713B" w:rsidRDefault="003137BE" w:rsidP="00166431">
            <w:pPr>
              <w:spacing w:line="240" w:lineRule="auto"/>
            </w:pPr>
            <w:r w:rsidRPr="0042713B">
              <w:t>Ohmic Overpotential</w:t>
            </w:r>
          </w:p>
        </w:tc>
        <w:tc>
          <w:tcPr>
            <w:tcW w:w="1941" w:type="dxa"/>
            <w:vAlign w:val="center"/>
          </w:tcPr>
          <w:p w14:paraId="17133FE5" w14:textId="77777777" w:rsidR="003137BE" w:rsidRPr="0042713B" w:rsidRDefault="003137BE" w:rsidP="00166431">
            <w:pPr>
              <w:spacing w:line="240" w:lineRule="auto"/>
              <w:rPr>
                <w:rFonts w:ascii="Aptos Display" w:eastAsia="Times New Roman" w:hAnsi="Aptos Display" w:cs="Times New Roman"/>
              </w:rPr>
            </w:pPr>
          </w:p>
        </w:tc>
      </w:tr>
      <w:tr w:rsidR="005E679E" w:rsidRPr="00930038" w14:paraId="7E73CB6F" w14:textId="77777777" w:rsidTr="003137BE">
        <w:tc>
          <w:tcPr>
            <w:tcW w:w="1874" w:type="dxa"/>
            <w:vAlign w:val="center"/>
          </w:tcPr>
          <w:p w14:paraId="7B1E42C4" w14:textId="18E0F9DE" w:rsidR="005E679E" w:rsidRPr="0042713B" w:rsidRDefault="005E679E" w:rsidP="00166431">
            <w:pPr>
              <w:spacing w:line="240" w:lineRule="auto"/>
              <w:rPr>
                <w:rFonts w:ascii="Aptos" w:eastAsia="Aptos" w:hAnsi="Aptos" w:cs="Times New Roman"/>
              </w:rPr>
            </w:pPr>
            <w:r w:rsidRPr="0042713B">
              <w:rPr>
                <w:rFonts w:ascii="Aptos" w:eastAsia="Aptos" w:hAnsi="Aptos" w:cs="Times New Roman"/>
              </w:rPr>
              <w:t>ORR</w:t>
            </w:r>
          </w:p>
        </w:tc>
        <w:tc>
          <w:tcPr>
            <w:tcW w:w="5535" w:type="dxa"/>
            <w:vAlign w:val="center"/>
          </w:tcPr>
          <w:p w14:paraId="52F46458" w14:textId="7D89E8A9" w:rsidR="005E679E" w:rsidRPr="0042713B" w:rsidRDefault="005E679E" w:rsidP="00166431">
            <w:pPr>
              <w:spacing w:line="240" w:lineRule="auto"/>
            </w:pPr>
            <w:r w:rsidRPr="0042713B">
              <w:t>Oxidation Reduction Reaction</w:t>
            </w:r>
          </w:p>
        </w:tc>
        <w:tc>
          <w:tcPr>
            <w:tcW w:w="1941" w:type="dxa"/>
            <w:vAlign w:val="center"/>
          </w:tcPr>
          <w:p w14:paraId="04BA69A6" w14:textId="77777777" w:rsidR="005E679E" w:rsidRPr="0042713B" w:rsidRDefault="005E679E" w:rsidP="00166431">
            <w:pPr>
              <w:spacing w:line="240" w:lineRule="auto"/>
              <w:rPr>
                <w:rFonts w:ascii="Aptos Display" w:eastAsia="Times New Roman" w:hAnsi="Aptos Display" w:cs="Times New Roman"/>
              </w:rPr>
            </w:pPr>
          </w:p>
        </w:tc>
      </w:tr>
      <w:tr w:rsidR="00D92643" w:rsidRPr="00930038" w14:paraId="21088F7A" w14:textId="77777777" w:rsidTr="003137BE">
        <w:tc>
          <w:tcPr>
            <w:tcW w:w="1874" w:type="dxa"/>
            <w:vAlign w:val="center"/>
          </w:tcPr>
          <w:p w14:paraId="17DFC36E" w14:textId="1D61C8BB" w:rsidR="00D92643" w:rsidRPr="0042713B" w:rsidRDefault="00D92643" w:rsidP="00166431">
            <w:pPr>
              <w:spacing w:line="240" w:lineRule="auto"/>
              <w:rPr>
                <w:rFonts w:ascii="Aptos" w:eastAsia="Aptos" w:hAnsi="Aptos" w:cs="Times New Roman"/>
              </w:rPr>
            </w:pPr>
            <w:r w:rsidRPr="0042713B">
              <w:rPr>
                <w:rFonts w:ascii="Aptos" w:eastAsia="Aptos" w:hAnsi="Aptos" w:cs="Times New Roman"/>
              </w:rPr>
              <w:t>PEN</w:t>
            </w:r>
          </w:p>
        </w:tc>
        <w:tc>
          <w:tcPr>
            <w:tcW w:w="5535" w:type="dxa"/>
            <w:vAlign w:val="center"/>
          </w:tcPr>
          <w:p w14:paraId="7E591A97" w14:textId="159AA7F9" w:rsidR="00D92643" w:rsidRPr="0042713B" w:rsidRDefault="00D92643" w:rsidP="00166431">
            <w:pPr>
              <w:spacing w:line="240" w:lineRule="auto"/>
            </w:pPr>
            <w:proofErr w:type="spellStart"/>
            <w:r w:rsidRPr="0042713B">
              <w:t>Positrode</w:t>
            </w:r>
            <w:proofErr w:type="spellEnd"/>
            <w:r w:rsidRPr="0042713B">
              <w:t xml:space="preserve">, Electrolyte, </w:t>
            </w:r>
            <w:proofErr w:type="spellStart"/>
            <w:r w:rsidRPr="0042713B">
              <w:t>Negatrode</w:t>
            </w:r>
            <w:proofErr w:type="spellEnd"/>
          </w:p>
        </w:tc>
        <w:tc>
          <w:tcPr>
            <w:tcW w:w="1941" w:type="dxa"/>
            <w:vAlign w:val="center"/>
          </w:tcPr>
          <w:p w14:paraId="3B5E0592" w14:textId="77777777" w:rsidR="00D92643" w:rsidRPr="0042713B" w:rsidRDefault="00D92643" w:rsidP="00166431">
            <w:pPr>
              <w:spacing w:line="240" w:lineRule="auto"/>
              <w:rPr>
                <w:rFonts w:ascii="Aptos Display" w:eastAsia="Times New Roman" w:hAnsi="Aptos Display" w:cs="Times New Roman"/>
              </w:rPr>
            </w:pPr>
          </w:p>
        </w:tc>
      </w:tr>
      <w:tr w:rsidR="009D789B" w:rsidRPr="00930038" w14:paraId="02C47030" w14:textId="77777777" w:rsidTr="003137BE">
        <w:tc>
          <w:tcPr>
            <w:tcW w:w="1874" w:type="dxa"/>
            <w:vAlign w:val="center"/>
          </w:tcPr>
          <w:p w14:paraId="0AE13A43" w14:textId="4FB0D88F" w:rsidR="009D789B" w:rsidRPr="0042713B" w:rsidRDefault="009D789B" w:rsidP="00166431">
            <w:pPr>
              <w:spacing w:line="240" w:lineRule="auto"/>
              <w:rPr>
                <w:rFonts w:ascii="Aptos" w:eastAsia="Aptos" w:hAnsi="Aptos" w:cs="Times New Roman"/>
              </w:rPr>
            </w:pPr>
            <w:r w:rsidRPr="0042713B">
              <w:rPr>
                <w:rFonts w:ascii="Aptos" w:eastAsia="Aptos" w:hAnsi="Aptos" w:cs="Times New Roman"/>
              </w:rPr>
              <w:t>PF</w:t>
            </w:r>
          </w:p>
        </w:tc>
        <w:tc>
          <w:tcPr>
            <w:tcW w:w="5535" w:type="dxa"/>
            <w:vAlign w:val="center"/>
          </w:tcPr>
          <w:p w14:paraId="7D84CDB7" w14:textId="79456D5F" w:rsidR="009D789B" w:rsidRPr="0042713B" w:rsidRDefault="009D789B" w:rsidP="00166431">
            <w:pPr>
              <w:spacing w:line="240" w:lineRule="auto"/>
            </w:pPr>
            <w:r w:rsidRPr="0042713B">
              <w:t>Pre-fuel</w:t>
            </w:r>
          </w:p>
        </w:tc>
        <w:tc>
          <w:tcPr>
            <w:tcW w:w="1941" w:type="dxa"/>
            <w:vAlign w:val="center"/>
          </w:tcPr>
          <w:p w14:paraId="6AD4DA37" w14:textId="77777777" w:rsidR="009D789B" w:rsidRPr="0042713B" w:rsidRDefault="009D789B" w:rsidP="00166431">
            <w:pPr>
              <w:spacing w:line="240" w:lineRule="auto"/>
              <w:rPr>
                <w:rFonts w:ascii="Aptos Display" w:eastAsia="Times New Roman" w:hAnsi="Aptos Display" w:cs="Times New Roman"/>
              </w:rPr>
            </w:pPr>
          </w:p>
        </w:tc>
      </w:tr>
      <w:tr w:rsidR="005E679E" w:rsidRPr="00930038" w14:paraId="014E055D" w14:textId="77777777" w:rsidTr="003137BE">
        <w:tc>
          <w:tcPr>
            <w:tcW w:w="1874" w:type="dxa"/>
            <w:vAlign w:val="center"/>
          </w:tcPr>
          <w:p w14:paraId="14ABF3AE" w14:textId="43957841" w:rsidR="005E679E" w:rsidRPr="0042713B" w:rsidRDefault="005E679E" w:rsidP="00166431">
            <w:pPr>
              <w:spacing w:line="240" w:lineRule="auto"/>
              <w:rPr>
                <w:rFonts w:ascii="Aptos" w:eastAsia="Aptos" w:hAnsi="Aptos" w:cs="Times New Roman"/>
              </w:rPr>
            </w:pPr>
            <w:r w:rsidRPr="0042713B">
              <w:rPr>
                <w:rFonts w:ascii="Aptos" w:eastAsia="Aptos" w:hAnsi="Aptos" w:cs="Times New Roman"/>
              </w:rPr>
              <w:t>PO</w:t>
            </w:r>
          </w:p>
        </w:tc>
        <w:tc>
          <w:tcPr>
            <w:tcW w:w="5535" w:type="dxa"/>
            <w:vAlign w:val="center"/>
          </w:tcPr>
          <w:p w14:paraId="23B010E9" w14:textId="4E77F382" w:rsidR="005E679E" w:rsidRPr="0042713B" w:rsidRDefault="005E679E" w:rsidP="00166431">
            <w:pPr>
              <w:spacing w:line="240" w:lineRule="auto"/>
            </w:pPr>
            <w:r w:rsidRPr="0042713B">
              <w:t>Partial Oxidation of Methane</w:t>
            </w:r>
          </w:p>
        </w:tc>
        <w:tc>
          <w:tcPr>
            <w:tcW w:w="1941" w:type="dxa"/>
            <w:vAlign w:val="center"/>
          </w:tcPr>
          <w:p w14:paraId="3485850D" w14:textId="77777777" w:rsidR="005E679E" w:rsidRPr="0042713B" w:rsidRDefault="005E679E" w:rsidP="00166431">
            <w:pPr>
              <w:spacing w:line="240" w:lineRule="auto"/>
              <w:rPr>
                <w:rFonts w:ascii="Aptos Display" w:eastAsia="Times New Roman" w:hAnsi="Aptos Display" w:cs="Times New Roman"/>
              </w:rPr>
            </w:pPr>
          </w:p>
        </w:tc>
      </w:tr>
      <w:tr w:rsidR="00F613EA" w:rsidRPr="00930038" w14:paraId="37BD9E57" w14:textId="77777777" w:rsidTr="003137BE">
        <w:tc>
          <w:tcPr>
            <w:tcW w:w="1874" w:type="dxa"/>
            <w:vAlign w:val="center"/>
          </w:tcPr>
          <w:p w14:paraId="51344B60" w14:textId="6D1D9ED6" w:rsidR="00F613EA" w:rsidRPr="0042713B" w:rsidRDefault="00F613EA" w:rsidP="00166431">
            <w:pPr>
              <w:spacing w:line="240" w:lineRule="auto"/>
              <w:rPr>
                <w:rFonts w:ascii="Aptos" w:eastAsia="Aptos" w:hAnsi="Aptos" w:cs="Times New Roman"/>
              </w:rPr>
            </w:pPr>
            <w:r w:rsidRPr="0042713B">
              <w:rPr>
                <w:rFonts w:ascii="Aptos" w:eastAsia="Aptos" w:hAnsi="Aptos" w:cs="Times New Roman"/>
              </w:rPr>
              <w:t>SR</w:t>
            </w:r>
          </w:p>
        </w:tc>
        <w:tc>
          <w:tcPr>
            <w:tcW w:w="5535" w:type="dxa"/>
            <w:vAlign w:val="center"/>
          </w:tcPr>
          <w:p w14:paraId="5E3C7BDD" w14:textId="37278441" w:rsidR="00F613EA" w:rsidRPr="0042713B" w:rsidRDefault="00F613EA" w:rsidP="00166431">
            <w:pPr>
              <w:spacing w:line="240" w:lineRule="auto"/>
            </w:pPr>
            <w:r w:rsidRPr="0042713B">
              <w:t>Steam Reforming</w:t>
            </w:r>
          </w:p>
        </w:tc>
        <w:tc>
          <w:tcPr>
            <w:tcW w:w="1941" w:type="dxa"/>
            <w:vAlign w:val="center"/>
          </w:tcPr>
          <w:p w14:paraId="5168ACE5" w14:textId="77777777" w:rsidR="00F613EA" w:rsidRPr="0042713B" w:rsidRDefault="00F613EA" w:rsidP="00166431">
            <w:pPr>
              <w:spacing w:line="240" w:lineRule="auto"/>
              <w:rPr>
                <w:rFonts w:ascii="Aptos Display" w:eastAsia="Times New Roman" w:hAnsi="Aptos Display" w:cs="Times New Roman"/>
              </w:rPr>
            </w:pPr>
          </w:p>
        </w:tc>
      </w:tr>
      <w:tr w:rsidR="00F613EA" w:rsidRPr="00930038" w14:paraId="7A19194E" w14:textId="77777777" w:rsidTr="003137BE">
        <w:tc>
          <w:tcPr>
            <w:tcW w:w="1874" w:type="dxa"/>
            <w:vAlign w:val="center"/>
          </w:tcPr>
          <w:p w14:paraId="595179EA" w14:textId="2970A948" w:rsidR="00F613EA" w:rsidRPr="0042713B" w:rsidRDefault="00F613EA" w:rsidP="00166431">
            <w:pPr>
              <w:spacing w:line="240" w:lineRule="auto"/>
              <w:rPr>
                <w:rFonts w:ascii="Aptos" w:eastAsia="Aptos" w:hAnsi="Aptos" w:cs="Times New Roman"/>
              </w:rPr>
            </w:pPr>
            <w:r w:rsidRPr="0042713B">
              <w:rPr>
                <w:rFonts w:ascii="Aptos" w:eastAsia="Aptos" w:hAnsi="Aptos" w:cs="Times New Roman"/>
              </w:rPr>
              <w:t>WGS</w:t>
            </w:r>
          </w:p>
        </w:tc>
        <w:tc>
          <w:tcPr>
            <w:tcW w:w="5535" w:type="dxa"/>
            <w:vAlign w:val="center"/>
          </w:tcPr>
          <w:p w14:paraId="25BEF042" w14:textId="1EB7D045" w:rsidR="00F613EA" w:rsidRPr="0042713B" w:rsidRDefault="00F613EA" w:rsidP="00166431">
            <w:pPr>
              <w:spacing w:line="240" w:lineRule="auto"/>
            </w:pPr>
            <w:r w:rsidRPr="0042713B">
              <w:t>Water Gas Shift</w:t>
            </w:r>
          </w:p>
        </w:tc>
        <w:tc>
          <w:tcPr>
            <w:tcW w:w="1941" w:type="dxa"/>
            <w:vAlign w:val="center"/>
          </w:tcPr>
          <w:p w14:paraId="2913DD2F" w14:textId="77777777" w:rsidR="00F613EA" w:rsidRPr="0042713B" w:rsidRDefault="00F613EA" w:rsidP="00166431">
            <w:pPr>
              <w:spacing w:line="240" w:lineRule="auto"/>
              <w:rPr>
                <w:rFonts w:ascii="Aptos Display" w:eastAsia="Times New Roman" w:hAnsi="Aptos Display" w:cs="Times New Roman"/>
              </w:rPr>
            </w:pPr>
          </w:p>
        </w:tc>
      </w:tr>
    </w:tbl>
    <w:p w14:paraId="254A7698" w14:textId="2FA2A901" w:rsidR="00EC060C" w:rsidRDefault="00EC060C" w:rsidP="0042713B">
      <w:r>
        <w:br w:type="page"/>
      </w:r>
    </w:p>
    <w:p w14:paraId="06C443F2" w14:textId="182D84C0" w:rsidR="009045FC" w:rsidRDefault="00F81AED" w:rsidP="00F81AED">
      <w:pPr>
        <w:pStyle w:val="Heading1"/>
      </w:pPr>
      <w:bookmarkStart w:id="1" w:name="_Toc165641039"/>
      <w:r>
        <w:lastRenderedPageBreak/>
        <w:t>A</w:t>
      </w:r>
      <w:r w:rsidR="001365B4">
        <w:t>bstract</w:t>
      </w:r>
      <w:bookmarkEnd w:id="1"/>
    </w:p>
    <w:p w14:paraId="50E653D9" w14:textId="66E74989" w:rsidR="00F81AED" w:rsidRPr="009045FC" w:rsidRDefault="009045FC" w:rsidP="00347CCB">
      <w:r>
        <w:t>Protonic Ceramic Fuel Cells (PCFCs) are an emerging mid-temperature fuel cell technology that</w:t>
      </w:r>
      <w:r w:rsidR="00347CCB">
        <w:t xml:space="preserve"> </w:t>
      </w:r>
      <w:r>
        <w:t>specializes in electrochemically converting chemical energy into electrical energy. These PCFCs have</w:t>
      </w:r>
      <w:r w:rsidR="00347CCB">
        <w:t xml:space="preserve"> </w:t>
      </w:r>
      <w:r>
        <w:t xml:space="preserve">been </w:t>
      </w:r>
      <w:r w:rsidR="00A64DF3">
        <w:t>suggested</w:t>
      </w:r>
      <w:r>
        <w:t xml:space="preserve"> as a future technology for flare mitigation</w:t>
      </w:r>
      <w:r w:rsidR="00930B5A">
        <w:t xml:space="preserve"> through the </w:t>
      </w:r>
      <w:r w:rsidR="00A150D4">
        <w:t>cogeneration</w:t>
      </w:r>
      <w:r w:rsidR="00930B5A">
        <w:t xml:space="preserve"> of</w:t>
      </w:r>
      <w:r w:rsidR="00A150D4">
        <w:t xml:space="preserve"> </w:t>
      </w:r>
      <w:r w:rsidR="00FF54E6">
        <w:t>power and</w:t>
      </w:r>
      <w:r w:rsidR="00930B5A">
        <w:t xml:space="preserve"> useful </w:t>
      </w:r>
      <w:r w:rsidR="00A150D4">
        <w:t xml:space="preserve">chemicals. </w:t>
      </w:r>
      <w:r>
        <w:t xml:space="preserve">PCFCs </w:t>
      </w:r>
      <w:r w:rsidR="00A64DF3">
        <w:t>are here proposed to</w:t>
      </w:r>
      <w:r>
        <w:t xml:space="preserve"> accomplish this purpose by utilizing the wasted</w:t>
      </w:r>
      <w:r w:rsidR="00347CCB">
        <w:t xml:space="preserve"> </w:t>
      </w:r>
      <w:r>
        <w:t>methane</w:t>
      </w:r>
      <w:r w:rsidR="009C05C4">
        <w:t xml:space="preserve"> and C</w:t>
      </w:r>
      <w:r w:rsidR="009C05C4">
        <w:rPr>
          <w:vertAlign w:val="subscript"/>
        </w:rPr>
        <w:t>2</w:t>
      </w:r>
      <w:r>
        <w:t xml:space="preserve"> </w:t>
      </w:r>
      <w:r w:rsidR="00F46A89">
        <w:t xml:space="preserve">components </w:t>
      </w:r>
      <w:r>
        <w:t>at these flaring sites to produce electricity, hydrogen, and aromatics. In this study, a numerical</w:t>
      </w:r>
      <w:r w:rsidR="00347CCB">
        <w:t xml:space="preserve"> </w:t>
      </w:r>
      <w:r>
        <w:t>methane-fed protonic ceramic fuel cell model is developed utilizing recent advancements in PCFC</w:t>
      </w:r>
      <w:r w:rsidR="00347CCB">
        <w:t xml:space="preserve"> </w:t>
      </w:r>
      <w:r>
        <w:t>fabrication, innovation, and experimentation. The model used a tubular PCFC geometry and implements</w:t>
      </w:r>
      <w:r w:rsidR="00347CCB">
        <w:t xml:space="preserve"> </w:t>
      </w:r>
      <w:r>
        <w:t>mass and energy balances, as well as electrochemical, and kinetic equations solved using Engineering</w:t>
      </w:r>
      <w:r w:rsidR="00347CCB">
        <w:t xml:space="preserve"> </w:t>
      </w:r>
      <w:r>
        <w:t>Equation Solver (EES) to predict the viability of the PCFC system.</w:t>
      </w:r>
      <w:r w:rsidR="00D3399F">
        <w:t xml:space="preserve"> The system exhibits a </w:t>
      </w:r>
      <w:r w:rsidR="004E49F5">
        <w:t>very small</w:t>
      </w:r>
      <w:r w:rsidR="00D3399F">
        <w:t xml:space="preserve"> power density</w:t>
      </w:r>
      <w:r w:rsidR="001D42F3">
        <w:t xml:space="preserve"> on the order of </w:t>
      </w:r>
      <w:r w:rsidR="00B73A33">
        <w:t>~</w:t>
      </w:r>
      <w:r w:rsidR="004E49F5">
        <w:t xml:space="preserve">0.01 </w:t>
      </w:r>
      <m:oMath>
        <m:r>
          <w:rPr>
            <w:rFonts w:ascii="Cambria Math" w:hAnsi="Cambria Math"/>
          </w:rPr>
          <m:t>W/c</m:t>
        </m:r>
        <m:sSup>
          <m:sSupPr>
            <m:ctrlPr>
              <w:rPr>
                <w:rFonts w:ascii="Cambria Math" w:hAnsi="Cambria Math"/>
                <w:i/>
              </w:rPr>
            </m:ctrlPr>
          </m:sSupPr>
          <m:e>
            <m:r>
              <w:rPr>
                <w:rFonts w:ascii="Cambria Math" w:hAnsi="Cambria Math"/>
              </w:rPr>
              <m:t>m</m:t>
            </m:r>
          </m:e>
          <m:sup>
            <m:r>
              <w:rPr>
                <w:rFonts w:ascii="Cambria Math" w:hAnsi="Cambria Math"/>
              </w:rPr>
              <m:t>2</m:t>
            </m:r>
          </m:sup>
        </m:sSup>
      </m:oMath>
      <w:r w:rsidR="004E49F5">
        <w:rPr>
          <w:rFonts w:eastAsiaTheme="minorEastAsia"/>
        </w:rPr>
        <w:t>, which is much lower</w:t>
      </w:r>
      <w:r w:rsidR="00D3399F">
        <w:t xml:space="preserve"> than other fuel cells </w:t>
      </w:r>
      <w:r w:rsidR="002D7D9C">
        <w:t xml:space="preserve">due to the </w:t>
      </w:r>
      <w:r w:rsidR="007D1721">
        <w:t xml:space="preserve">chosen catalyst prioritizing </w:t>
      </w:r>
      <w:r w:rsidR="000C60C6">
        <w:t xml:space="preserve">the </w:t>
      </w:r>
      <w:r w:rsidR="002D7D9C">
        <w:t xml:space="preserve">slower kinetics of methane </w:t>
      </w:r>
      <w:r w:rsidR="00146D25">
        <w:t>dehydroaromatization</w:t>
      </w:r>
      <w:r w:rsidR="002D7D9C">
        <w:t>. However, t</w:t>
      </w:r>
      <w:r w:rsidR="009B4CBA">
        <w:t>he results</w:t>
      </w:r>
      <w:r w:rsidR="002D7D9C">
        <w:t xml:space="preserve"> also</w:t>
      </w:r>
      <w:r w:rsidR="009B4CBA">
        <w:t xml:space="preserve"> indicate that</w:t>
      </w:r>
      <w:r w:rsidR="00F238AC">
        <w:t xml:space="preserve"> the production of value-added aromatics</w:t>
      </w:r>
      <w:r w:rsidR="00CB1C76">
        <w:t xml:space="preserve"> allow</w:t>
      </w:r>
      <w:r w:rsidR="009B4CBA">
        <w:t xml:space="preserve"> the system </w:t>
      </w:r>
      <w:r w:rsidR="00CB1C76">
        <w:t>to</w:t>
      </w:r>
      <w:r w:rsidR="009B4CBA">
        <w:t xml:space="preserve"> potentia</w:t>
      </w:r>
      <w:r w:rsidR="0043561E">
        <w:t>lly</w:t>
      </w:r>
      <w:r w:rsidR="00CB1C76">
        <w:t xml:space="preserve"> be</w:t>
      </w:r>
      <w:r w:rsidR="0043561E">
        <w:t xml:space="preserve"> very economically friendly if the manufacturing costs can be brought down to 65% of the</w:t>
      </w:r>
      <w:r w:rsidR="003915F4">
        <w:t xml:space="preserve">ir current costs. </w:t>
      </w:r>
      <w:r>
        <w:t>The realistic PCFC model is also</w:t>
      </w:r>
      <w:r w:rsidR="00347CCB">
        <w:t xml:space="preserve"> </w:t>
      </w:r>
      <w:r>
        <w:t xml:space="preserve">compared and measured against competing </w:t>
      </w:r>
      <w:r w:rsidR="00D84AB1">
        <w:t>technologies and</w:t>
      </w:r>
      <w:r w:rsidR="002A66D3">
        <w:t xml:space="preserve"> is found to be </w:t>
      </w:r>
      <w:r w:rsidR="00900EDD">
        <w:t>competitive with current power production practices</w:t>
      </w:r>
      <w:r>
        <w:t>. The results of this study highlight the potential of PCFC technology to transform wasted energy into economic and environmental gains, offering a significant step forward in hydrogen-based sustainable energy practices.</w:t>
      </w:r>
      <w:r w:rsidR="00F81AED">
        <w:br w:type="page"/>
      </w:r>
    </w:p>
    <w:p w14:paraId="53BE7CE7" w14:textId="77777777" w:rsidR="00516572" w:rsidRDefault="00516572" w:rsidP="000F441E">
      <w:pPr>
        <w:sectPr w:rsidR="00516572" w:rsidSect="00AC18A0">
          <w:footerReference w:type="default" r:id="rId9"/>
          <w:pgSz w:w="12240" w:h="15840"/>
          <w:pgMar w:top="1440" w:right="1440" w:bottom="1440" w:left="1440" w:header="720" w:footer="720" w:gutter="0"/>
          <w:pgNumType w:fmt="lowerRoman" w:start="4"/>
          <w:cols w:space="720"/>
          <w:docGrid w:linePitch="360"/>
        </w:sectPr>
      </w:pPr>
    </w:p>
    <w:p w14:paraId="5B33A64B" w14:textId="77777777" w:rsidR="0012282D" w:rsidRDefault="0012282D" w:rsidP="000F441E"/>
    <w:p w14:paraId="05A22B71" w14:textId="77777777" w:rsidR="00E63BCC" w:rsidRDefault="00E63BCC" w:rsidP="00E63BCC"/>
    <w:p w14:paraId="3969426D" w14:textId="77777777" w:rsidR="00E63BCC" w:rsidRDefault="00E63BCC" w:rsidP="00E63BCC">
      <w:pPr>
        <w:pStyle w:val="Heading1"/>
      </w:pPr>
      <w:bookmarkStart w:id="2" w:name="_Toc165641040"/>
      <w:r>
        <w:t>Chapter 1: Introduction</w:t>
      </w:r>
      <w:bookmarkEnd w:id="2"/>
    </w:p>
    <w:p w14:paraId="1626282A" w14:textId="77777777" w:rsidR="00E63BCC" w:rsidRPr="00601085" w:rsidRDefault="00E63BCC" w:rsidP="00E63BCC"/>
    <w:p w14:paraId="50DFA18F" w14:textId="77777777" w:rsidR="00E63BCC" w:rsidRDefault="00E63BCC" w:rsidP="00E63BCC">
      <w:pPr>
        <w:pStyle w:val="Heading2"/>
      </w:pPr>
      <w:bookmarkStart w:id="3" w:name="_Toc149143171"/>
      <w:bookmarkStart w:id="4" w:name="_Toc165641041"/>
      <w:r>
        <w:t>1.1 Current Situation</w:t>
      </w:r>
      <w:bookmarkEnd w:id="3"/>
      <w:r>
        <w:t xml:space="preserve"> with Emissions</w:t>
      </w:r>
      <w:bookmarkEnd w:id="4"/>
    </w:p>
    <w:p w14:paraId="2E45BDAC" w14:textId="25A68A11" w:rsidR="00E63BCC" w:rsidRDefault="00E63BCC" w:rsidP="00E63BCC">
      <w:pPr>
        <w:rPr>
          <w:rFonts w:eastAsiaTheme="minorEastAsia"/>
        </w:rPr>
      </w:pPr>
      <w:r>
        <w:t xml:space="preserve">Climate change is becoming an apparent problem as the world continues to increase greenhouse gas (GHG) emissions. The exponential increase in GHG emissions in the world are directly responsible for global warming, increasing the average surface air temperature by about </w:t>
      </w:r>
      <m:oMath>
        <m:r>
          <w:rPr>
            <w:rFonts w:ascii="Cambria Math" w:hAnsi="Cambria Math"/>
          </w:rPr>
          <m:t>1°</m:t>
        </m:r>
      </m:oMath>
      <w:r>
        <w:rPr>
          <w:rFonts w:eastAsiaTheme="minorEastAsia"/>
        </w:rPr>
        <w:t xml:space="preserve">C since 1900 </w:t>
      </w:r>
      <w:r>
        <w:rPr>
          <w:rFonts w:eastAsiaTheme="minorEastAsia"/>
        </w:rPr>
        <w:fldChar w:fldCharType="begin"/>
      </w:r>
      <w:r>
        <w:rPr>
          <w:rFonts w:eastAsiaTheme="minorEastAsia"/>
        </w:rPr>
        <w:instrText xml:space="preserve"> ADDIN ZOTERO_ITEM CSL_CITATION {"citationID":"aa79l9h21i","properties":{"formattedCitation":"[1]","plainCitation":"[1]","noteIndex":0},"citationItems":[{"id":33,"uris":["http://zotero.org/users/12063231/items/MFV47VCH"],"itemData":{"id":33,"type":"webpage","abstract":"Climate change is one of the defining issues of our time. It is now more certain than ever, based on many lines of evidence, that humans are changing Earth’s climate.","title":"Climate Change: Evidence and Causes 2020","URL":"https://royalsociety.org/-/media/Royal_Society_Content/policy/projects/climate-evidence-causes/climate-change-evidence-causes.pdf","author":[{"family":"Royal Society","given":""}],"accessed":{"date-parts":[["2023",10,15]]}}}],"schema":"https://github.com/citation-style-language/schema/raw/master/csl-citation.json"} </w:instrText>
      </w:r>
      <w:r>
        <w:rPr>
          <w:rFonts w:eastAsiaTheme="minorEastAsia"/>
        </w:rPr>
        <w:fldChar w:fldCharType="separate"/>
      </w:r>
      <w:r w:rsidRPr="001D6BD0">
        <w:rPr>
          <w:rFonts w:ascii="Calibri" w:hAnsi="Calibri" w:cs="Calibri"/>
        </w:rPr>
        <w:t>[1]</w:t>
      </w:r>
      <w:r>
        <w:rPr>
          <w:rFonts w:eastAsiaTheme="minorEastAsia"/>
        </w:rPr>
        <w:fldChar w:fldCharType="end"/>
      </w:r>
      <w:r>
        <w:rPr>
          <w:rFonts w:eastAsiaTheme="minorEastAsia"/>
        </w:rPr>
        <w:t xml:space="preserve">. The vast majority of that increase has occurred since 1990 and can be directly correlated with the expanded use of fossil fuels </w:t>
      </w:r>
      <w:r>
        <w:rPr>
          <w:rFonts w:eastAsiaTheme="minorEastAsia"/>
        </w:rPr>
        <w:fldChar w:fldCharType="begin"/>
      </w:r>
      <w:r>
        <w:rPr>
          <w:rFonts w:eastAsiaTheme="minorEastAsia"/>
        </w:rPr>
        <w:instrText xml:space="preserve"> ADDIN ZOTERO_ITEM CSL_CITATION {"citationID":"a28h5ame1ds","properties":{"formattedCitation":"[1]","plainCitation":"[1]","noteIndex":0},"citationItems":[{"id":33,"uris":["http://zotero.org/users/12063231/items/MFV47VCH"],"itemData":{"id":33,"type":"webpage","abstract":"Climate change is one of the defining issues of our time. It is now more certain than ever, based on many lines of evidence, that humans are changing Earth’s climate.","title":"Climate Change: Evidence and Causes 2020","URL":"https://royalsociety.org/-/media/Royal_Society_Content/policy/projects/climate-evidence-causes/climate-change-evidence-causes.pdf","author":[{"family":"Royal Society","given":""}],"accessed":{"date-parts":[["2023",10,15]]}}}],"schema":"https://github.com/citation-style-language/schema/raw/master/csl-citation.json"} </w:instrText>
      </w:r>
      <w:r>
        <w:rPr>
          <w:rFonts w:eastAsiaTheme="minorEastAsia"/>
        </w:rPr>
        <w:fldChar w:fldCharType="separate"/>
      </w:r>
      <w:r w:rsidRPr="001D6BD0">
        <w:rPr>
          <w:rFonts w:ascii="Calibri" w:hAnsi="Calibri" w:cs="Calibri"/>
        </w:rPr>
        <w:t>[1]</w:t>
      </w:r>
      <w:r>
        <w:rPr>
          <w:rFonts w:eastAsiaTheme="minorEastAsia"/>
        </w:rPr>
        <w:fldChar w:fldCharType="end"/>
      </w:r>
      <w:r>
        <w:rPr>
          <w:rFonts w:eastAsiaTheme="minorEastAsia"/>
        </w:rPr>
        <w:t xml:space="preserve">. The release of GHG can continue to adversely affect global warming for over 100 years after its release; so, as the need for energy continues to grow across the globe, a need for cleaner energy production methods </w:t>
      </w:r>
      <w:r w:rsidR="00D84AB1">
        <w:rPr>
          <w:rFonts w:eastAsiaTheme="minorEastAsia"/>
        </w:rPr>
        <w:t>is</w:t>
      </w:r>
      <w:r>
        <w:rPr>
          <w:rFonts w:eastAsiaTheme="minorEastAsia"/>
        </w:rPr>
        <w:t xml:space="preserve"> necessary to mitigate the detrimental effects of GHG emissions. </w:t>
      </w:r>
    </w:p>
    <w:p w14:paraId="448A3757" w14:textId="77777777" w:rsidR="00E63BCC" w:rsidRDefault="00E63BCC" w:rsidP="00E63BCC">
      <w:pPr>
        <w:rPr>
          <w:rFonts w:eastAsiaTheme="minorEastAsia"/>
        </w:rPr>
      </w:pPr>
      <w:r>
        <w:t xml:space="preserve">In 2021, the U.S. was the second-highest emitting country, accounting for more than 10.85% of the world’s total production-based greenhouse gas emissions </w:t>
      </w:r>
      <w:r>
        <w:fldChar w:fldCharType="begin"/>
      </w:r>
      <w:r>
        <w:instrText xml:space="preserve"> ADDIN ZOTERO_ITEM CSL_CITATION {"citationID":"UDiNsquY","properties":{"formattedCitation":"[2]","plainCitation":"[2]","noteIndex":0},"citationItems":[{"id":133,"uris":["http://zotero.org/users/12063231/items/U5SNC8RY"],"itemData":{"id":133,"type":"webpage","abstract":"Research and data to make progress against the world’s largest problems","container-title":"Our World in Data","title":"CO₂ and Greenhouse Gas Emissions Data Explorer","URL":"https://ourworldindata.org/explorers/co2","accessed":{"date-parts":[["2023",8,9]]}}}],"schema":"https://github.com/citation-style-language/schema/raw/master/csl-citation.json"} </w:instrText>
      </w:r>
      <w:r>
        <w:fldChar w:fldCharType="separate"/>
      </w:r>
      <w:r w:rsidRPr="001D6BD0">
        <w:rPr>
          <w:rFonts w:ascii="Calibri" w:hAnsi="Calibri" w:cs="Calibri"/>
        </w:rPr>
        <w:t>[2]</w:t>
      </w:r>
      <w:r>
        <w:fldChar w:fldCharType="end"/>
      </w:r>
      <w:r>
        <w:t>.</w:t>
      </w:r>
      <w:r w:rsidRPr="008B125B">
        <w:rPr>
          <w:rFonts w:cs="Times New Roman"/>
        </w:rPr>
        <w:t xml:space="preserve"> </w:t>
      </w:r>
      <w:r>
        <w:rPr>
          <w:rFonts w:cs="Times New Roman"/>
        </w:rPr>
        <w:t>Of this total, m</w:t>
      </w:r>
      <w:r>
        <w:rPr>
          <w:rFonts w:eastAsiaTheme="minorEastAsia"/>
        </w:rPr>
        <w:t>ethane emissions are responsible for about 17% of the country’s GHG emissions’ anticipated warming effect over the next 100 years</w:t>
      </w:r>
      <w:r>
        <w:rPr>
          <w:rFonts w:eastAsiaTheme="minorEastAsia"/>
        </w:rPr>
        <w:fldChar w:fldCharType="begin"/>
      </w:r>
      <w:r>
        <w:rPr>
          <w:rFonts w:eastAsiaTheme="minorEastAsia"/>
        </w:rPr>
        <w:instrText xml:space="preserve"> ADDIN ZOTERO_ITEM CSL_CITATION {"citationID":"aa0vkl4q8","properties":{"formattedCitation":"[3]","plainCitation":"[3]","noteIndex":0},"citationItems":[{"id":31,"uris":["http://zotero.org/users/12063231/items/FCJZDX8W"],"itemData":{"id":31,"type":"article-journal","abstract":"Which countries emit the most greenhouse gases each year? How do they compare per person?","container-title":"Our World in Data","journalAbbreviation":"Our World in Data","source":"ourworldindata.org","title":"Greenhouse gas emissions","URL":"https://ourworldindata.org/greenhouse-gas-emissions","author":[{"family":"Ritchie","given":"Hannah"},{"family":"Rosado","given":"Pablo"},{"family":"Roser","given":"Max"}],"accessed":{"date-parts":[["2023",10,16]]},"issued":{"date-parts":[["2023",9,28]]}}}],"schema":"https://github.com/citation-style-language/schema/raw/master/csl-citation.json"} </w:instrText>
      </w:r>
      <w:r>
        <w:rPr>
          <w:rFonts w:eastAsiaTheme="minorEastAsia"/>
        </w:rPr>
        <w:fldChar w:fldCharType="separate"/>
      </w:r>
      <w:r w:rsidRPr="001D6BD0">
        <w:rPr>
          <w:rFonts w:ascii="Calibri" w:hAnsi="Calibri" w:cs="Calibri"/>
        </w:rPr>
        <w:t>[3]</w:t>
      </w:r>
      <w:r>
        <w:rPr>
          <w:rFonts w:eastAsiaTheme="minorEastAsia"/>
        </w:rPr>
        <w:fldChar w:fldCharType="end"/>
      </w:r>
      <w:r>
        <w:rPr>
          <w:rFonts w:eastAsiaTheme="minorEastAsia"/>
        </w:rPr>
        <w:t>. While CO</w:t>
      </w:r>
      <w:r>
        <w:rPr>
          <w:rFonts w:eastAsiaTheme="minorEastAsia"/>
          <w:vertAlign w:val="subscript"/>
        </w:rPr>
        <w:t>2</w:t>
      </w:r>
      <w:r>
        <w:rPr>
          <w:rFonts w:eastAsiaTheme="minorEastAsia"/>
        </w:rPr>
        <w:t xml:space="preserve"> is the most common and longest lasting GHG, methane has a much shorter average post-release lifetime of only around 12 years </w:t>
      </w:r>
      <w:r>
        <w:rPr>
          <w:rFonts w:eastAsiaTheme="minorEastAsia"/>
        </w:rPr>
        <w:fldChar w:fldCharType="begin"/>
      </w:r>
      <w:r>
        <w:rPr>
          <w:rFonts w:eastAsiaTheme="minorEastAsia"/>
        </w:rPr>
        <w:instrText xml:space="preserve"> ADDIN ZOTERO_ITEM CSL_CITATION {"citationID":"akubhcqorp","properties":{"formattedCitation":"[4]","plainCitation":"[4]","noteIndex":0},"citationItems":[{"id":32,"uris":["http://zotero.org/users/12063231/items/548BHNJ5"],"itemData":{"id":32,"type":"webpage","abstract":"Methane Tracker 2021 - Analysis and key findings. A report by the International Energy Agency.","container-title":"IEA","language":"en-GB","title":"Methane and climate change – Methane Tracker 2021 – Analysis","URL":"https://www.iea.org/reports/methane-tracker-2021/methane-and-climate-change","accessed":{"date-parts":[["2023",10,16]]}}}],"schema":"https://github.com/citation-style-language/schema/raw/master/csl-citation.json"} </w:instrText>
      </w:r>
      <w:r>
        <w:rPr>
          <w:rFonts w:eastAsiaTheme="minorEastAsia"/>
        </w:rPr>
        <w:fldChar w:fldCharType="separate"/>
      </w:r>
      <w:r w:rsidRPr="001D6BD0">
        <w:rPr>
          <w:rFonts w:ascii="Calibri" w:hAnsi="Calibri" w:cs="Calibri"/>
        </w:rPr>
        <w:t>[4]</w:t>
      </w:r>
      <w:r>
        <w:rPr>
          <w:rFonts w:eastAsiaTheme="minorEastAsia"/>
        </w:rPr>
        <w:fldChar w:fldCharType="end"/>
      </w:r>
      <w:r>
        <w:rPr>
          <w:rFonts w:eastAsiaTheme="minorEastAsia"/>
        </w:rPr>
        <w:t>. However, in this short 12 year span, methane has a much larger overall warming effect than CO</w:t>
      </w:r>
      <w:r>
        <w:rPr>
          <w:rFonts w:eastAsiaTheme="minorEastAsia"/>
          <w:vertAlign w:val="subscript"/>
        </w:rPr>
        <w:t>2</w:t>
      </w:r>
      <w:r>
        <w:rPr>
          <w:rFonts w:eastAsiaTheme="minorEastAsia"/>
        </w:rPr>
        <w:t>, despite the longer lifetime of CO</w:t>
      </w:r>
      <w:r>
        <w:rPr>
          <w:rFonts w:eastAsiaTheme="minorEastAsia"/>
          <w:vertAlign w:val="subscript"/>
        </w:rPr>
        <w:t>2</w:t>
      </w:r>
      <w:r>
        <w:rPr>
          <w:rFonts w:eastAsiaTheme="minorEastAsia"/>
        </w:rPr>
        <w:t xml:space="preserve"> </w:t>
      </w:r>
      <w:r>
        <w:rPr>
          <w:rFonts w:eastAsiaTheme="minorEastAsia"/>
        </w:rPr>
        <w:fldChar w:fldCharType="begin"/>
      </w:r>
      <w:r>
        <w:rPr>
          <w:rFonts w:eastAsiaTheme="minorEastAsia"/>
        </w:rPr>
        <w:instrText xml:space="preserve"> ADDIN ZOTERO_ITEM CSL_CITATION {"citationID":"a1u8eat2pmc","properties":{"formattedCitation":"[4]","plainCitation":"[4]","noteIndex":0},"citationItems":[{"id":32,"uris":["http://zotero.org/users/12063231/items/548BHNJ5"],"itemData":{"id":32,"type":"webpage","abstract":"Methane Tracker 2021 - Analysis and key findings. A report by the International Energy Agency.","container-title":"IEA","language":"en-GB","title":"Methane and climate change – Methane Tracker 2021 – Analysis","URL":"https://www.iea.org/reports/methane-tracker-2021/methane-and-climate-change","accessed":{"date-parts":[["2023",10,16]]}}}],"schema":"https://github.com/citation-style-language/schema/raw/master/csl-citation.json"} </w:instrText>
      </w:r>
      <w:r>
        <w:rPr>
          <w:rFonts w:eastAsiaTheme="minorEastAsia"/>
        </w:rPr>
        <w:fldChar w:fldCharType="separate"/>
      </w:r>
      <w:r w:rsidRPr="001D6BD0">
        <w:rPr>
          <w:rFonts w:ascii="Calibri" w:hAnsi="Calibri" w:cs="Calibri"/>
        </w:rPr>
        <w:t>[4]</w:t>
      </w:r>
      <w:r>
        <w:rPr>
          <w:rFonts w:eastAsiaTheme="minorEastAsia"/>
        </w:rPr>
        <w:fldChar w:fldCharType="end"/>
      </w:r>
      <w:r>
        <w:rPr>
          <w:rFonts w:eastAsiaTheme="minorEastAsia"/>
        </w:rPr>
        <w:t xml:space="preserve">. Therefore, reducing methane </w:t>
      </w:r>
      <w:r>
        <w:rPr>
          <w:rFonts w:eastAsiaTheme="minorEastAsia"/>
        </w:rPr>
        <w:lastRenderedPageBreak/>
        <w:t xml:space="preserve">emissions could provide a much more immediate impact on global warming due to its short lifetime.  </w:t>
      </w:r>
    </w:p>
    <w:p w14:paraId="0579E5DE" w14:textId="77777777" w:rsidR="00E63BCC" w:rsidRPr="00782E1C" w:rsidRDefault="00E63BCC" w:rsidP="00E63BCC">
      <w:pPr>
        <w:rPr>
          <w:rFonts w:cs="Times New Roman"/>
        </w:rPr>
      </w:pPr>
      <w:r>
        <w:rPr>
          <w:rFonts w:eastAsiaTheme="minorEastAsia"/>
        </w:rPr>
        <w:t>In the U.S., the energy sector is responsible for 40% of the total methane emissions, with two of the leading causes being f</w:t>
      </w:r>
      <w:r>
        <w:rPr>
          <w:rFonts w:cs="Times New Roman"/>
        </w:rPr>
        <w:t>laring and venting of natural gas. Flaring is the process of igniting natural gas so that it combusts into CO</w:t>
      </w:r>
      <w:r>
        <w:rPr>
          <w:rFonts w:cs="Times New Roman"/>
          <w:vertAlign w:val="subscript"/>
        </w:rPr>
        <w:t>2</w:t>
      </w:r>
      <w:r>
        <w:rPr>
          <w:rFonts w:cs="Times New Roman"/>
        </w:rPr>
        <w:t xml:space="preserve"> and byproducts, whereas venting directly releases it into the atmosphere. </w:t>
      </w:r>
      <w:r w:rsidRPr="00782E1C">
        <w:rPr>
          <w:rFonts w:cs="Times New Roman"/>
        </w:rPr>
        <w:t>Overall, the U.S. flares about 1.3% of the total natural gas it collects from deposits</w:t>
      </w:r>
      <w:r>
        <w:rPr>
          <w:rFonts w:cs="Times New Roman"/>
        </w:rPr>
        <w:t>, and while t</w:t>
      </w:r>
      <w:r w:rsidRPr="00782E1C">
        <w:rPr>
          <w:rFonts w:cs="Times New Roman"/>
        </w:rPr>
        <w:t xml:space="preserve">his </w:t>
      </w:r>
      <w:r>
        <w:rPr>
          <w:rFonts w:cs="Times New Roman"/>
        </w:rPr>
        <w:t>number sounds</w:t>
      </w:r>
      <w:r w:rsidRPr="00782E1C">
        <w:rPr>
          <w:rFonts w:cs="Times New Roman"/>
        </w:rPr>
        <w:t xml:space="preserve"> insignificant, it equates to nearly 1.5 billion cubic feet per day (Bcf/d) </w:t>
      </w:r>
      <w:r w:rsidRPr="00782E1C">
        <w:rPr>
          <w:rFonts w:cs="Times New Roman"/>
        </w:rPr>
        <w:fldChar w:fldCharType="begin"/>
      </w:r>
      <w:r>
        <w:rPr>
          <w:rFonts w:cs="Times New Roman"/>
        </w:rPr>
        <w:instrText xml:space="preserve"> ADDIN ZOTERO_ITEM CSL_CITATION {"citationID":"06I8oP7m","properties":{"formattedCitation":"[5]","plainCitation":"[5]","noteIndex":0},"citationItems":[{"id":193,"uris":["http://zotero.org/users/12063231/items/H5NSG5M4"],"itemData":{"id":193,"type":"webpage","abstract":"ND and TX make up most of the flaring and venting in the US due to the remote locations of their oil and natural gas production sites","container-title":"U.S. Energy Information Administration","language":"en","title":"Natural gas venting and flaring in North Dakota and Texas increased in 2019","URL":"https://www.eia.gov/todayinenergy/detail.php?id=46176","author":[{"family":"Geary","given":"Emily"}],"accessed":{"date-parts":[["2023",7,19]]}}}],"schema":"https://github.com/citation-style-language/schema/raw/master/csl-citation.json"} </w:instrText>
      </w:r>
      <w:r w:rsidRPr="00782E1C">
        <w:rPr>
          <w:rFonts w:cs="Times New Roman"/>
        </w:rPr>
        <w:fldChar w:fldCharType="separate"/>
      </w:r>
      <w:r w:rsidRPr="001D6BD0">
        <w:rPr>
          <w:rFonts w:ascii="Calibri" w:hAnsi="Calibri" w:cs="Calibri"/>
        </w:rPr>
        <w:t>[5]</w:t>
      </w:r>
      <w:r w:rsidRPr="00782E1C">
        <w:rPr>
          <w:rFonts w:cs="Times New Roman"/>
        </w:rPr>
        <w:fldChar w:fldCharType="end"/>
      </w:r>
      <w:r w:rsidRPr="00782E1C">
        <w:rPr>
          <w:rFonts w:cs="Times New Roman"/>
        </w:rPr>
        <w:t xml:space="preserve">. </w:t>
      </w:r>
      <w:r>
        <w:rPr>
          <w:rFonts w:cs="Times New Roman"/>
        </w:rPr>
        <w:t xml:space="preserve">These processes are sometimes necessary in oil and gas production for safety reasons, but it is more common to see flaring and venting occur simply due to the price of processing outweighing the final product. This is an unfortunate occurrence that largely plagues oil and gas wellheads in remote locations, not connected to pipeline infrastructure. The added cost of processing the natural gas for transportation (often entailing a sweetening process and cooling to cryo-liquid temperatures) makes natural gas uneconomical for many remote oil and gas producers. </w:t>
      </w:r>
      <w:r w:rsidRPr="00782E1C">
        <w:rPr>
          <w:rFonts w:cs="Times New Roman"/>
        </w:rPr>
        <w:t xml:space="preserve">This is most pronounced in the </w:t>
      </w:r>
      <w:r>
        <w:rPr>
          <w:rFonts w:cs="Times New Roman"/>
        </w:rPr>
        <w:t>U.S.</w:t>
      </w:r>
      <w:r w:rsidRPr="00782E1C">
        <w:rPr>
          <w:rFonts w:cs="Times New Roman"/>
        </w:rPr>
        <w:t xml:space="preserve"> in North Dakota and Texas, two of the largest producing fossil fuels fuel states. Infrastructure capacity constraints account for 84 percent of flaring</w:t>
      </w:r>
      <w:r>
        <w:rPr>
          <w:rFonts w:cs="Times New Roman"/>
        </w:rPr>
        <w:t xml:space="preserve"> that occurs</w:t>
      </w:r>
      <w:r w:rsidRPr="00782E1C">
        <w:rPr>
          <w:rFonts w:cs="Times New Roman"/>
        </w:rPr>
        <w:t xml:space="preserve"> in North Dakota and 64 percent in Texas </w:t>
      </w:r>
      <w:r w:rsidRPr="00782E1C">
        <w:rPr>
          <w:rFonts w:cs="Times New Roman"/>
        </w:rPr>
        <w:fldChar w:fldCharType="begin"/>
      </w:r>
      <w:r>
        <w:rPr>
          <w:rFonts w:cs="Times New Roman"/>
        </w:rPr>
        <w:instrText xml:space="preserve"> ADDIN ZOTERO_ITEM CSL_CITATION {"citationID":"eXXbivWr","properties":{"formattedCitation":"[6]","plainCitation":"[6]","noteIndex":0},"citationItems":[{"id":184,"uris":["http://zotero.org/users/12063231/items/TAILJVSX"],"itemData":{"id":184,"type":"post-weblog","abstract":"Infrastructure capacity constraints account for 84 percent of flaring in North Dakota and 64 percent in Texas","container-title":"Twin Cities","language":"en-US","title":"North Dakota’s gas flaring intensity is highest (by far) in nation","URL":"https://www.twincities.com/2022/12/05/north-dakotas-gas-flaring-intensity-is-highest-by-far-in-nation/","author":[{"family":"Springer","given":"Patrick"}],"accessed":{"date-parts":[["2023",7,19]]},"issued":{"date-parts":[["2022",12,5]]}}}],"schema":"https://github.com/citation-style-language/schema/raw/master/csl-citation.json"} </w:instrText>
      </w:r>
      <w:r w:rsidRPr="00782E1C">
        <w:rPr>
          <w:rFonts w:cs="Times New Roman"/>
        </w:rPr>
        <w:fldChar w:fldCharType="separate"/>
      </w:r>
      <w:r w:rsidRPr="001D6BD0">
        <w:rPr>
          <w:rFonts w:ascii="Calibri" w:hAnsi="Calibri" w:cs="Calibri"/>
        </w:rPr>
        <w:t>[6]</w:t>
      </w:r>
      <w:r w:rsidRPr="00782E1C">
        <w:rPr>
          <w:rFonts w:cs="Times New Roman"/>
        </w:rPr>
        <w:fldChar w:fldCharType="end"/>
      </w:r>
      <w:r w:rsidRPr="00782E1C">
        <w:rPr>
          <w:rFonts w:cs="Times New Roman"/>
        </w:rPr>
        <w:t xml:space="preserve">. </w:t>
      </w:r>
      <w:r>
        <w:rPr>
          <w:rFonts w:cs="Times New Roman"/>
        </w:rPr>
        <w:t xml:space="preserve">The impact of the infrastructure limitations’ in just these two states on flaring is shown in </w:t>
      </w:r>
      <w:r>
        <w:rPr>
          <w:rFonts w:cs="Times New Roman"/>
        </w:rPr>
        <w:fldChar w:fldCharType="begin"/>
      </w:r>
      <w:r>
        <w:rPr>
          <w:rFonts w:cs="Times New Roman"/>
        </w:rPr>
        <w:instrText xml:space="preserve"> REF _Ref145583315 \h </w:instrText>
      </w:r>
      <w:r>
        <w:rPr>
          <w:rFonts w:cs="Times New Roman"/>
        </w:rPr>
      </w:r>
      <w:r>
        <w:rPr>
          <w:rFonts w:cs="Times New Roman"/>
        </w:rPr>
        <w:fldChar w:fldCharType="separate"/>
      </w:r>
      <w:r w:rsidRPr="00782E1C">
        <w:rPr>
          <w:rFonts w:cs="Times New Roman"/>
        </w:rPr>
        <w:t xml:space="preserve">Figure </w:t>
      </w:r>
      <w:r>
        <w:rPr>
          <w:rFonts w:cs="Times New Roman"/>
        </w:rPr>
        <w:t>1.</w:t>
      </w:r>
      <w:r>
        <w:rPr>
          <w:rFonts w:cs="Times New Roman"/>
          <w:noProof/>
        </w:rPr>
        <w:t>1</w:t>
      </w:r>
      <w:r>
        <w:rPr>
          <w:rFonts w:cs="Times New Roman"/>
        </w:rPr>
        <w:fldChar w:fldCharType="end"/>
      </w:r>
      <w:r>
        <w:rPr>
          <w:rFonts w:cs="Times New Roman"/>
        </w:rPr>
        <w:t>.</w:t>
      </w:r>
    </w:p>
    <w:p w14:paraId="30742049" w14:textId="77777777" w:rsidR="00E63BCC" w:rsidRPr="00782E1C" w:rsidRDefault="00E63BCC" w:rsidP="00E63BCC">
      <w:pPr>
        <w:keepNext/>
        <w:jc w:val="center"/>
        <w:rPr>
          <w:rFonts w:cs="Times New Roman"/>
        </w:rPr>
      </w:pPr>
      <w:r w:rsidRPr="00782E1C">
        <w:rPr>
          <w:rFonts w:cs="Times New Roman"/>
          <w:noProof/>
        </w:rPr>
        <w:lastRenderedPageBreak/>
        <w:drawing>
          <wp:inline distT="0" distB="0" distL="0" distR="0" wp14:anchorId="506C554C" wp14:editId="67113526">
            <wp:extent cx="4042793" cy="2425676"/>
            <wp:effectExtent l="0" t="0" r="0" b="0"/>
            <wp:docPr id="411819552" name="Graphic 411819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819552" name="Graphic 411819552"/>
                    <pic:cNvPicPr>
                      <a:picLocks noChangeAspect="1" noChangeArrowheads="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bwMode="auto">
                    <a:xfrm>
                      <a:off x="0" y="0"/>
                      <a:ext cx="4042793" cy="2425676"/>
                    </a:xfrm>
                    <a:prstGeom prst="rect">
                      <a:avLst/>
                    </a:prstGeom>
                  </pic:spPr>
                </pic:pic>
              </a:graphicData>
            </a:graphic>
          </wp:inline>
        </w:drawing>
      </w:r>
    </w:p>
    <w:p w14:paraId="7207518E" w14:textId="77777777" w:rsidR="00E63BCC" w:rsidRDefault="00E63BCC" w:rsidP="00E63BCC">
      <w:pPr>
        <w:pStyle w:val="Caption"/>
        <w:rPr>
          <w:rFonts w:cs="Times New Roman"/>
        </w:rPr>
      </w:pPr>
      <w:bookmarkStart w:id="5" w:name="_Ref145583315"/>
      <w:bookmarkStart w:id="6" w:name="_Toc165641127"/>
      <w:r w:rsidRPr="00782E1C">
        <w:rPr>
          <w:rFonts w:cs="Times New Roman"/>
        </w:rPr>
        <w:t xml:space="preserve">Figure </w:t>
      </w:r>
      <w:r>
        <w:rPr>
          <w:rFonts w:cs="Times New Roman"/>
        </w:rPr>
        <w:t>1.</w:t>
      </w:r>
      <w:r w:rsidRPr="00782E1C">
        <w:rPr>
          <w:rFonts w:cs="Times New Roman"/>
        </w:rPr>
        <w:fldChar w:fldCharType="begin"/>
      </w:r>
      <w:r w:rsidRPr="00782E1C">
        <w:rPr>
          <w:rFonts w:cs="Times New Roman"/>
        </w:rPr>
        <w:instrText>SEQ Figure \* ARABIC</w:instrText>
      </w:r>
      <w:r w:rsidRPr="00782E1C">
        <w:rPr>
          <w:rFonts w:cs="Times New Roman"/>
        </w:rPr>
        <w:fldChar w:fldCharType="separate"/>
      </w:r>
      <w:r>
        <w:rPr>
          <w:rFonts w:cs="Times New Roman"/>
          <w:noProof/>
        </w:rPr>
        <w:t>1</w:t>
      </w:r>
      <w:r w:rsidRPr="00782E1C">
        <w:rPr>
          <w:rFonts w:cs="Times New Roman"/>
        </w:rPr>
        <w:fldChar w:fldCharType="end"/>
      </w:r>
      <w:bookmarkEnd w:id="5"/>
      <w:r w:rsidRPr="00782E1C">
        <w:rPr>
          <w:rFonts w:cs="Times New Roman"/>
        </w:rPr>
        <w:t>: Current U.S. Flaring and Venting Rates</w:t>
      </w:r>
      <w:r>
        <w:rPr>
          <w:rFonts w:cs="Times New Roman"/>
        </w:rPr>
        <w:t xml:space="preserve"> gathered from U.S. Energy Information Administration </w:t>
      </w:r>
      <w:r>
        <w:rPr>
          <w:rFonts w:cs="Times New Roman"/>
        </w:rPr>
        <w:fldChar w:fldCharType="begin"/>
      </w:r>
      <w:r>
        <w:rPr>
          <w:rFonts w:cs="Times New Roman"/>
        </w:rPr>
        <w:instrText xml:space="preserve"> ADDIN ZOTERO_ITEM CSL_CITATION {"citationID":"ts0xnWTS","properties":{"formattedCitation":"[7]","plainCitation":"[7]","noteIndex":0},"citationItems":[{"id":86,"uris":["http://zotero.org/users/12063231/items/2I4TFVUZ"],"itemData":{"id":86,"type":"webpage","title":"Natural Gas Vented and Flared","URL":"https://www.eia.gov/dnav/ng/ng_prod_sum_a_EPG0_VGV_mmcf_a.htm","accessed":{"date-parts":[["2023",9,7]]}}}],"schema":"https://github.com/citation-style-language/schema/raw/master/csl-citation.json"} </w:instrText>
      </w:r>
      <w:r>
        <w:rPr>
          <w:rFonts w:cs="Times New Roman"/>
        </w:rPr>
        <w:fldChar w:fldCharType="separate"/>
      </w:r>
      <w:r w:rsidRPr="001D6BD0">
        <w:rPr>
          <w:rFonts w:cs="Times New Roman"/>
        </w:rPr>
        <w:t>[7]</w:t>
      </w:r>
      <w:r>
        <w:rPr>
          <w:rFonts w:cs="Times New Roman"/>
        </w:rPr>
        <w:fldChar w:fldCharType="end"/>
      </w:r>
      <w:r>
        <w:rPr>
          <w:rFonts w:cs="Times New Roman"/>
        </w:rPr>
        <w:t>. Note: this data is gathered from the federally reported flaring and venting. Some states do not collect or report this data.</w:t>
      </w:r>
      <w:bookmarkEnd w:id="6"/>
    </w:p>
    <w:p w14:paraId="1DD0A7E7" w14:textId="2A2E2CF9" w:rsidR="00E63BCC" w:rsidRDefault="00E63BCC" w:rsidP="00E63BCC">
      <w:r>
        <w:fldChar w:fldCharType="begin"/>
      </w:r>
      <w:r>
        <w:instrText xml:space="preserve"> REF _Ref145583315 \h </w:instrText>
      </w:r>
      <w:r>
        <w:fldChar w:fldCharType="separate"/>
      </w:r>
      <w:r w:rsidRPr="00782E1C">
        <w:rPr>
          <w:rFonts w:cs="Times New Roman"/>
        </w:rPr>
        <w:t xml:space="preserve">Figure </w:t>
      </w:r>
      <w:r>
        <w:rPr>
          <w:rFonts w:cs="Times New Roman"/>
        </w:rPr>
        <w:t>1.</w:t>
      </w:r>
      <w:r>
        <w:rPr>
          <w:rFonts w:cs="Times New Roman"/>
          <w:noProof/>
        </w:rPr>
        <w:t>1</w:t>
      </w:r>
      <w:r>
        <w:fldChar w:fldCharType="end"/>
      </w:r>
      <w:r>
        <w:t xml:space="preserve"> shows that the remote locations</w:t>
      </w:r>
      <w:r w:rsidR="0014726F">
        <w:t>’ limited</w:t>
      </w:r>
      <w:r>
        <w:t xml:space="preserve"> access to pipeline infrastructure in Texas and North Dakota make up a huge portion of the total flaring in the country. It is also worth noting that the substantial decrease in flaring in 2020 and 2021 can be partially attributed to the COVID-19 pandemic that resulted in the price of oil barrels reaching less than $0 </w:t>
      </w:r>
      <w:r>
        <w:fldChar w:fldCharType="begin"/>
      </w:r>
      <w:r>
        <w:instrText xml:space="preserve"> ADDIN ZOTERO_ITEM CSL_CITATION {"citationID":"GywuDh3e","properties":{"formattedCitation":"[8]","plainCitation":"[8]","noteIndex":0},"citationItems":[{"id":67,"uris":["http://zotero.org/users/12063231/items/DPLU3B34"],"itemData":{"id":67,"type":"article-journal","abstract":"Methane emissions associated with the production, transport, and use of oil and natural gas increase the climatic impacts of energy use; however, little is known about how emissions vary temporally and with commodity prices. We present airborne and ground-based data, supported by satellite observations, to measure weekly to monthly changes in total methane emissions in the United States' Permian Basin during a period of volatile oil prices associated with the COVID-19 pandemic. As oil prices declined from </w:instrText>
      </w:r>
      <w:r>
        <w:rPr>
          <w:rFonts w:ascii="Cambria Math" w:hAnsi="Cambria Math" w:cs="Cambria Math"/>
        </w:rPr>
        <w:instrText>∼</w:instrText>
      </w:r>
      <w:r>
        <w:instrText xml:space="preserve"> USD 60 to USD 20 per barrel, emissions changed concurrently from 3.3 % to 1.9 % of natural gas production; as prices partially recovered, emissions increased back to near initial values. Concurrently, total oil and natural gas production only declined by </w:instrText>
      </w:r>
      <w:r>
        <w:rPr>
          <w:rFonts w:ascii="Cambria Math" w:hAnsi="Cambria Math" w:cs="Cambria Math"/>
        </w:rPr>
        <w:instrText>∼</w:instrText>
      </w:r>
      <w:r>
        <w:instrText xml:space="preserve"> 10 % from the peak values seen in the months prior to the crash. Activity data indicate that a rapid decline in well development and subsequent effects on associated gas flaring and midstream infrastructure throughput are the likely drivers of temporary emission reductions. Our results, along with past satellite observations, suggest that under more typical price conditions, the Permian Basin is in a state of overcapacity in which rapidly growing associated gas production exceeds midstream capacity and leads to high methane emissions.","container-title":"Atmospheric Chemistry and Physics","DOI":"10.5194/acp-21-6605-2021","ISSN":"1680-7316","issue":"9","language":"English","note":"publisher: Copernicus GmbH","page":"6605-6626","source":"Copernicus Online Journals","title":"Concurrent variation in oil and gas methane emissions and oil price during the COVID-19 pandemic","volume":"21","author":[{"family":"Lyon","given":"David R."},{"family":"Hmiel","given":"Benjamin"},{"family":"Gautam","given":"Ritesh"},{"family":"Omara","given":"Mark"},{"family":"Roberts","given":"Katherine A."},{"family":"Barkley","given":"Zachary R."},{"family":"Davis","given":"Kenneth J."},{"family":"Miles","given":"Natasha L."},{"family":"Monteiro","given":"Vanessa C."},{"family":"Richardson","given":"Scott J."},{"family":"Conley","given":"Stephen"},{"family":"Smith","given":"Mackenzie L."},{"family":"Jacob","given":"Daniel J."},{"family":"Shen","given":"Lu"},{"family":"Varon","given":"Daniel J."},{"family":"Deng","given":"Aijun"},{"family":"Rudelis","given":"Xander"},{"family":"Sharma","given":"Nikhil"},{"family":"Story","given":"Kyle T."},{"family":"Brandt","given":"Adam R."},{"family":"Kang","given":"Mary"},{"family":"Kort","given":"Eric A."},{"family":"Marchese","given":"Anthony J."},{"family":"Hamburg","given":"Steven P."}],"issued":{"date-parts":[["2021",5,3]]}}}],"schema":"https://github.com/citation-style-language/schema/raw/master/csl-citation.json"} </w:instrText>
      </w:r>
      <w:r>
        <w:fldChar w:fldCharType="separate"/>
      </w:r>
      <w:r w:rsidRPr="001D6BD0">
        <w:rPr>
          <w:rFonts w:ascii="Calibri" w:hAnsi="Calibri" w:cs="Calibri"/>
        </w:rPr>
        <w:t>[8]</w:t>
      </w:r>
      <w:r>
        <w:fldChar w:fldCharType="end"/>
      </w:r>
      <w:r>
        <w:t xml:space="preserve">. Regardless, 70% of natural gas sent to flares are sent to flares that run on a near-constant basis </w:t>
      </w:r>
      <w:r>
        <w:fldChar w:fldCharType="begin"/>
      </w:r>
      <w:r>
        <w:instrText xml:space="preserve"> ADDIN ZOTERO_ITEM CSL_CITATION {"citationID":"a23sqsua4np","properties":{"formattedCitation":"[9]","plainCitation":"[9]","noteIndex":0},"citationItems":[{"id":29,"uris":["http://zotero.org/users/12063231/items/KLHEJKAP"],"itemData":{"id":29,"type":"webpage","abstract":"Non-emergency flaring and venting occur when oil field operators opt to burn the \"associated\" gas that accompanies oil production, or simply release it to the atmosphere, rather than to build the equipment and pipelines to capture it.","container-title":"IEA","language":"en-GB","title":"Gas Flaring - Energy System","URL":"https://www.iea.org/energy-system/fossil-fuels/gas-flaring","accessed":{"date-parts":[["2023",10,16]]}}}],"schema":"https://github.com/citation-style-language/schema/raw/master/csl-citation.json"} </w:instrText>
      </w:r>
      <w:r>
        <w:fldChar w:fldCharType="separate"/>
      </w:r>
      <w:r w:rsidRPr="001D6BD0">
        <w:rPr>
          <w:rFonts w:ascii="Calibri" w:hAnsi="Calibri" w:cs="Calibri"/>
        </w:rPr>
        <w:t>[9]</w:t>
      </w:r>
      <w:r>
        <w:fldChar w:fldCharType="end"/>
      </w:r>
      <w:r>
        <w:t xml:space="preserve">, and these remote locations make up a significant portion of that number. </w:t>
      </w:r>
    </w:p>
    <w:p w14:paraId="68C6115F" w14:textId="77777777" w:rsidR="00E63BCC" w:rsidRDefault="00E63BCC" w:rsidP="00E63BCC">
      <w:pPr>
        <w:pStyle w:val="Heading2"/>
      </w:pPr>
      <w:bookmarkStart w:id="7" w:name="_Toc165641042"/>
      <w:r>
        <w:t>1.2 Role of Electrochemical Cells</w:t>
      </w:r>
      <w:bookmarkEnd w:id="7"/>
    </w:p>
    <w:p w14:paraId="11955C28" w14:textId="77777777" w:rsidR="00E63BCC" w:rsidRPr="00782E1C" w:rsidRDefault="00E63BCC" w:rsidP="00E63BCC">
      <w:pPr>
        <w:rPr>
          <w:rFonts w:eastAsia="Times New Roman" w:cs="Times New Roman"/>
          <w14:ligatures w14:val="none"/>
        </w:rPr>
      </w:pPr>
      <w:r>
        <w:t xml:space="preserve">In light of the issues discussed above, many investors and government programs are looking into developing technologies that can mitigate flaring in all scenarios </w:t>
      </w:r>
      <w:r>
        <w:fldChar w:fldCharType="begin"/>
      </w:r>
      <w:r>
        <w:instrText xml:space="preserve"> ADDIN ZOTERO_ITEM CSL_CITATION {"citationID":"avorrtgfq0","properties":{"formattedCitation":"[10]","plainCitation":"[10]","noteIndex":0},"citationItems":[{"id":87,"uris":["http://zotero.org/users/12063231/items/NZ6D4MNS"],"itemData":{"id":87,"type":"webpage","abstract":"FECM announced up to $30 million for the development of advanced technologies to reduce or eliminate the need for natural gas flaring at oil production sites by converting the unused and otherwise wasted natural gas into value-added products","container-title":"Energy.gov","language":"en","title":"DOE Announces $30 Million for Technologies that Create Valuable Products from Otherwise Wasted Natural Gas While Reducing Methane Emissions from Flaring","URL":"https://www.energy.gov/fecm/articles/doe-announces-30-million-technologies-create-valuable-products-otherwise-wasted","accessed":{"date-parts":[["2023",9,6]]}}}],"schema":"https://github.com/citation-style-language/schema/raw/master/csl-citation.json"} </w:instrText>
      </w:r>
      <w:r>
        <w:fldChar w:fldCharType="separate"/>
      </w:r>
      <w:r w:rsidRPr="001D6BD0">
        <w:rPr>
          <w:rFonts w:ascii="Calibri" w:hAnsi="Calibri" w:cs="Calibri"/>
        </w:rPr>
        <w:t>[10]</w:t>
      </w:r>
      <w:r>
        <w:fldChar w:fldCharType="end"/>
      </w:r>
      <w:r>
        <w:t xml:space="preserve">. One such promising technology is protonic ceramic fuel cells (PCFC). </w:t>
      </w:r>
      <w:r w:rsidRPr="00782E1C">
        <w:rPr>
          <w:rFonts w:eastAsia="Times New Roman" w:cs="Times New Roman"/>
          <w14:ligatures w14:val="none"/>
        </w:rPr>
        <w:t xml:space="preserve">Fuel cells are designed to harness chemical energy and directly transform it into electrical energy. </w:t>
      </w:r>
      <w:r>
        <w:rPr>
          <w:rFonts w:eastAsia="Times New Roman" w:cs="Times New Roman"/>
          <w14:ligatures w14:val="none"/>
        </w:rPr>
        <w:t>Fuel cells have been earmarked as having incredible potential in the energy sector since this process is not limited by the Carnot cycle like other energy systems.</w:t>
      </w:r>
    </w:p>
    <w:p w14:paraId="29FD1A90" w14:textId="03D6A9FD" w:rsidR="00E63BCC" w:rsidRDefault="00E63BCC" w:rsidP="00E63BCC">
      <w:pPr>
        <w:rPr>
          <w:rFonts w:cs="Times New Roman"/>
        </w:rPr>
      </w:pPr>
      <w:r w:rsidRPr="00782E1C">
        <w:rPr>
          <w:rFonts w:eastAsia="Times New Roman" w:cs="Times New Roman"/>
          <w14:ligatures w14:val="none"/>
        </w:rPr>
        <w:lastRenderedPageBreak/>
        <w:t>Fuel cells are</w:t>
      </w:r>
      <w:r>
        <w:rPr>
          <w:rFonts w:eastAsia="Times New Roman" w:cs="Times New Roman"/>
          <w14:ligatures w14:val="none"/>
        </w:rPr>
        <w:t xml:space="preserve"> particularly</w:t>
      </w:r>
      <w:r w:rsidRPr="00782E1C">
        <w:rPr>
          <w:rFonts w:eastAsia="Times New Roman" w:cs="Times New Roman"/>
          <w14:ligatures w14:val="none"/>
        </w:rPr>
        <w:t xml:space="preserve"> desirable because they can store and create clean, green energy, so long as the materials provided are also collected through renewable methods. They have become more and more viable especially due to the drastic improvements made since 2005 </w:t>
      </w:r>
      <w:r w:rsidRPr="00782E1C">
        <w:rPr>
          <w:rFonts w:eastAsia="Times New Roman" w:cs="Times New Roman"/>
          <w14:ligatures w14:val="none"/>
        </w:rPr>
        <w:fldChar w:fldCharType="begin"/>
      </w:r>
      <w:r>
        <w:rPr>
          <w:rFonts w:eastAsia="Times New Roman" w:cs="Times New Roman"/>
          <w14:ligatures w14:val="none"/>
        </w:rPr>
        <w:instrText xml:space="preserve"> ADDIN ZOTERO_ITEM CSL_CITATION {"citationID":"oSEONkQZ","properties":{"formattedCitation":"[11]","plainCitation":"[11]","noteIndex":0},"citationItems":[{"id":197,"uris":["http://zotero.org/users/12063231/items/DQWPZNMK"],"itemData":{"id":197,"type":"article-journal","abstract":"Proton-conducting oxides are a class of solid-state ion-conducting ceramic materials that demonstrate significant hydrogen ion (proton) conductivity at intermediate temperatures (e.g., 300–700</w:instrText>
      </w:r>
      <w:r>
        <w:rPr>
          <w:rFonts w:ascii="Arial" w:eastAsia="Times New Roman" w:hAnsi="Arial" w:cs="Arial"/>
          <w14:ligatures w14:val="none"/>
        </w:rPr>
        <w:instrText> </w:instrText>
      </w:r>
      <w:r>
        <w:rPr>
          <w:rFonts w:ascii="Aptos" w:eastAsia="Times New Roman" w:hAnsi="Aptos" w:cs="Aptos"/>
          <w14:ligatures w14:val="none"/>
        </w:rPr>
        <w:instrText>°</w:instrText>
      </w:r>
      <w:r>
        <w:rPr>
          <w:rFonts w:eastAsia="Times New Roman" w:cs="Times New Roman"/>
          <w14:ligatures w14:val="none"/>
        </w:rPr>
        <w:instrText xml:space="preserve">C). They are garnering significant attention due to several unique characteristics that distinguish them from both higher temperature oxygen ion conducting oxides and lower temperature proton-conducting polymers. By enabling proton-mediated electrochemistry under both dry and wet environments at moderate temperatures, protonic ceramics provide unique opportunities to enhance or synergize a diverse range of complementary electrochemical and thermochemical processes. Because of this potential, significant efforts have been devoted to advancing numerous energy-related applications using these materials. This review aims to comprehensively summarize these applications and analyze the most up-to-date and future developments of proton-conducting oxides. We aim to bring together this diverse subject matter by integrating the fundamentals of proton-conducting oxides with application-oriented insights. We begin with a historical roadmap, followed by a basic overview of the materials, theories and fundamentals, and fabrication and processing technologies underlying the field. The central section of our review summarizes major applications and developments of proton-conducting ceramics, ranging from maturing applications approaching commercialization to embryonic technologies just now emerging from the lab. These include protonic ceramic fuel cells, protonic ceramic electrolysis cells, reversible protonic ceramic electrochemical cells, protonic ceramic membrane reactors, and protonic ceramic electrochemical reactors. For each application, we analyze both the prospects and challenges and offer recommendations for future research directions so that tomorrow's researchers can continue to advance the development and commercialization of these fascinating materials.","container-title":"Applied Physics Reviews","issue":"1","page":"011314","title":"Proton-conducting oxides for energy conversion and storage","volume":"7","author":[{"family":"Duan","given":"Chuancheng"},{"family":"Huang","given":"Jake"},{"family":"Sullivan","given":"Neal"},{"family":"O’Hayre","given":"Ryan"}],"issued":{"date-parts":[["2020",3]]}}}],"schema":"https://github.com/citation-style-language/schema/raw/master/csl-citation.json"} </w:instrText>
      </w:r>
      <w:r w:rsidRPr="00782E1C">
        <w:rPr>
          <w:rFonts w:eastAsia="Times New Roman" w:cs="Times New Roman"/>
          <w14:ligatures w14:val="none"/>
        </w:rPr>
        <w:fldChar w:fldCharType="separate"/>
      </w:r>
      <w:r w:rsidRPr="001D6BD0">
        <w:rPr>
          <w:rFonts w:ascii="Calibri" w:hAnsi="Calibri" w:cs="Calibri"/>
        </w:rPr>
        <w:t>[11]</w:t>
      </w:r>
      <w:r w:rsidRPr="00782E1C">
        <w:rPr>
          <w:rFonts w:eastAsia="Times New Roman" w:cs="Times New Roman"/>
          <w14:ligatures w14:val="none"/>
        </w:rPr>
        <w:fldChar w:fldCharType="end"/>
      </w:r>
      <w:r w:rsidRPr="00782E1C">
        <w:rPr>
          <w:rFonts w:eastAsia="Times New Roman" w:cs="Times New Roman"/>
          <w14:ligatures w14:val="none"/>
        </w:rPr>
        <w:t xml:space="preserve">. </w:t>
      </w:r>
      <w:r>
        <w:rPr>
          <w:rFonts w:cs="Times New Roman"/>
        </w:rPr>
        <w:t>Despite improvements, f</w:t>
      </w:r>
      <w:r w:rsidRPr="00782E1C">
        <w:rPr>
          <w:rFonts w:cs="Times New Roman"/>
        </w:rPr>
        <w:t xml:space="preserve">uel and electrolysis cells are not currently used in the </w:t>
      </w:r>
      <w:r>
        <w:rPr>
          <w:rFonts w:cs="Times New Roman"/>
        </w:rPr>
        <w:t>natural gas</w:t>
      </w:r>
      <w:r w:rsidRPr="00782E1C">
        <w:rPr>
          <w:rFonts w:cs="Times New Roman"/>
        </w:rPr>
        <w:t xml:space="preserve"> market, but they have the potential to make a remarkable difference in a variety of areas, especially relating to </w:t>
      </w:r>
      <w:r>
        <w:rPr>
          <w:rFonts w:cs="Times New Roman"/>
        </w:rPr>
        <w:t xml:space="preserve">chemical production and </w:t>
      </w:r>
      <w:r w:rsidRPr="00782E1C">
        <w:rPr>
          <w:rFonts w:cs="Times New Roman"/>
        </w:rPr>
        <w:t>power plant</w:t>
      </w:r>
      <w:r>
        <w:rPr>
          <w:rFonts w:cs="Times New Roman"/>
        </w:rPr>
        <w:t xml:space="preserve">s due to their ability to run on methane and natural gas </w:t>
      </w:r>
      <w:r>
        <w:rPr>
          <w:rFonts w:cs="Times New Roman"/>
        </w:rPr>
        <w:fldChar w:fldCharType="begin"/>
      </w:r>
      <w:r w:rsidR="00FD20A8">
        <w:rPr>
          <w:rFonts w:cs="Times New Roman"/>
        </w:rPr>
        <w:instrText xml:space="preserve"> ADDIN ZOTERO_ITEM CSL_CITATION {"citationID":"a1odcnudrtu","properties":{"formattedCitation":"[12], [13]","plainCitation":"[12], [13]","noteIndex":0},"citationItems":[{"id":178,"uris":["http://zotero.org/users/12063231/items/67EFNYYN"],"itemData":{"id":178,"type":"article-journal","abstract":"Protonic ceramic fuel cells, like their higher-temperature solid-oxide fuel cell counterparts, can directly use both hydrogen and hydrocarbon fuels to produce electricity at potentially more than 50 per cent efficiency1,2. Most previous direct-hydrocarbon fuel cell research has focused on solid-oxide fuel cells based on oxygen-ion-conducting electrolytes, but carbon deposition (coking) and sulfur poisoning typically occur when such fuel cells are directly operated on hydrocarbon- and/or sulfur-containing fuels, resulting in severe performance degradation over time3–6. Despite studies suggesting good performance and anti-coking resistance in hydrocarbon-fuelled protonic ceramic fuel cells2,7,8, there have been no systematic studies of long-term durability. Here we present results from long-term testing of protonic ceramic fuel cells using a total of 11 different fuels (hydrogen, methane, domestic natural gas (with and without hydrogen sulfide), propane, n-butane, i-butane, iso-octane, methanol, ethanol and ammonia) at temperatures between 500 and 600 degrees Celsius. Several cells have been tested for over 6,000</w:instrText>
      </w:r>
      <w:r w:rsidR="00FD20A8">
        <w:rPr>
          <w:rFonts w:ascii="Arial" w:hAnsi="Arial" w:cs="Arial"/>
        </w:rPr>
        <w:instrText> </w:instrText>
      </w:r>
      <w:r w:rsidR="00FD20A8">
        <w:rPr>
          <w:rFonts w:cs="Times New Roman"/>
        </w:rPr>
        <w:instrText>hours, and we demonstrate excellent performance and exceptional durability (less than 1.5 per cent degradation per 1,000</w:instrText>
      </w:r>
      <w:r w:rsidR="00FD20A8">
        <w:rPr>
          <w:rFonts w:ascii="Arial" w:hAnsi="Arial" w:cs="Arial"/>
        </w:rPr>
        <w:instrText> </w:instrText>
      </w:r>
      <w:r w:rsidR="00FD20A8">
        <w:rPr>
          <w:rFonts w:cs="Times New Roman"/>
        </w:rPr>
        <w:instrText xml:space="preserve">hours in most cases) across all fuels without any modifications in the cell composition or architecture. Large fluctuations in temperature are tolerated, and coking is not observed even after thousands of hours of continuous operation. Finally, sulfur, a notorious poison for both low-temperature and high-temperature fuel cells, does not seem to affect the performance of protonic ceramic fuel cells when supplied at levels consistent with commercial fuels. The fuel flexibility and long-term durability demonstrated by the protonic ceramic fuel cell devices highlight the promise of this technology and its potential for commercial application.","container-title":"Nature","DOI":"10.1038/s41586-018-0082-6","ISSN":"1476-4687","issue":"7704","language":"en","license":"2018 Macmillan Publishers Ltd., part of Springer Nature","note":"number: 7704\npublisher: Nature Publishing Group","page":"217-222","source":"www.nature.com","title":"Highly durable, coking and sulfur tolerant, fuel-flexible protonic ceramic fuel cells","volume":"557","author":[{"family":"Duan","given":"Chuancheng"},{"family":"Kee","given":"Robert J."},{"family":"Zhu","given":"Huayang"},{"family":"Karakaya","given":"Canan"},{"family":"Chen","given":"Yachao"},{"family":"Ricote","given":"Sandrine"},{"family":"Jarry","given":"Angelique"},{"family":"Crumlin","given":"Ethan J."},{"family":"Hook","given":"David"},{"family":"Braun","given":"Robert"},{"family":"Sullivan","given":"Neal P."},{"family":"O’Hayre","given":"Ryan"}],"issued":{"date-parts":[["2018",5]]}}},{"id":187,"uris":["http://zotero.org/users/12063231/items/GPTSEBC5"],"itemData":{"id":187,"type":"article-journal","abstract":"Protonic ceramic electrochemical cells (PCECs) have been intensively studied as the technology that can be employed for power generation, energy storage, and sustainable chemical synthesis. Recently, there have been substantial advances in electrolyte and electrode materials for improving the performance of protonic ceramic fuel cells and protonic ceramic electrolyzers. However, the electrocatalytic materials development for synthesizing chemicals in PCECs has gained less attention, and there is a lack of systematic and fundamental understanding of the PCEC reactor design, reaction mechanisms, and electrode materials. This review comprehensively summarizes and critically evaluates the most up-to-date progress in employing PCECs to synthesize a wide range of chemicals, including ammonia, carbon monoxide, methane, light olefins, and aromatics. Factors that impact the conversion, selectivity, product yield, and energy efficiencies are discussed to provide new insights into designing electrochemical cells, developing electrode materials, and achieving economically viable chemical synthesis. The primary challenges associated with producing chemicals in PCECs are highlighted. Approaches to tackle these challenges are then offered, with a particular focus on deliberately designing electrode materials, aiming to achieve practically valuable product yield and energy efficiency. Finally, perspectives on the future development of PCECs for synthesizing sustainable chemicals are provided.","container-title":"Advanced Science","DOI":"10.1002/advs.202206478","ISSN":"2198-3844","issue":"8","language":"en","license":"© 2023 The Authors. Advanced Science published by Wiley-VCH GmbH","note":"_eprint: https://onlinelibrary.wiley.com/doi/pdf/10.1002/advs.202206478","page":"2206478","source":"Wiley Online Library","title":"Protonic Ceramic Electrochemical Cells for Synthesizing Sustainable Chemicals and Fuels","volume":"10","author":[{"family":"Liu","given":"Fan"},{"family":"Ding","given":"Dong"},{"family":"Duan","given":"Chuancheng"}],"issued":{"date-parts":[["2023"]]}}}],"schema":"https://github.com/citation-style-language/schema/raw/master/csl-citation.json"} </w:instrText>
      </w:r>
      <w:r>
        <w:rPr>
          <w:rFonts w:cs="Times New Roman"/>
        </w:rPr>
        <w:fldChar w:fldCharType="separate"/>
      </w:r>
      <w:r w:rsidR="00FD20A8" w:rsidRPr="00FD20A8">
        <w:rPr>
          <w:rFonts w:ascii="Aptos" w:hAnsi="Aptos" w:cs="Times New Roman"/>
          <w:kern w:val="0"/>
        </w:rPr>
        <w:t>[12], [13]</w:t>
      </w:r>
      <w:r>
        <w:rPr>
          <w:rFonts w:cs="Times New Roman"/>
        </w:rPr>
        <w:fldChar w:fldCharType="end"/>
      </w:r>
      <w:r>
        <w:rPr>
          <w:rFonts w:cs="Times New Roman"/>
        </w:rPr>
        <w:t xml:space="preserve">. </w:t>
      </w:r>
    </w:p>
    <w:p w14:paraId="6DF0CA58" w14:textId="77777777" w:rsidR="00E63BCC" w:rsidRDefault="00E63BCC" w:rsidP="00E63BCC">
      <w:pPr>
        <w:keepNext/>
        <w:jc w:val="center"/>
      </w:pPr>
      <w:r>
        <w:rPr>
          <w:rFonts w:cs="Times New Roman"/>
          <w:noProof/>
        </w:rPr>
        <w:drawing>
          <wp:inline distT="0" distB="0" distL="0" distR="0" wp14:anchorId="1A30EC44" wp14:editId="61E4B109">
            <wp:extent cx="5120640" cy="3490972"/>
            <wp:effectExtent l="0" t="0" r="0" b="0"/>
            <wp:docPr id="1661913016" name="Picture 3" descr="Diagram of 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913016" name="Picture 3" descr="Diagram of a diagram of a machine&#10;&#10;Description automatically generated"/>
                    <pic:cNvPicPr/>
                  </pic:nvPicPr>
                  <pic:blipFill rotWithShape="1">
                    <a:blip r:embed="rId12" cstate="print">
                      <a:extLst>
                        <a:ext uri="{28A0092B-C50C-407E-A947-70E740481C1C}">
                          <a14:useLocalDpi xmlns:a14="http://schemas.microsoft.com/office/drawing/2010/main" val="0"/>
                        </a:ext>
                      </a:extLst>
                    </a:blip>
                    <a:srcRect l="6185" t="14361" r="24371" b="18612"/>
                    <a:stretch/>
                  </pic:blipFill>
                  <pic:spPr bwMode="auto">
                    <a:xfrm>
                      <a:off x="0" y="0"/>
                      <a:ext cx="5122656" cy="3492347"/>
                    </a:xfrm>
                    <a:prstGeom prst="rect">
                      <a:avLst/>
                    </a:prstGeom>
                    <a:ln>
                      <a:noFill/>
                    </a:ln>
                    <a:extLst>
                      <a:ext uri="{53640926-AAD7-44D8-BBD7-CCE9431645EC}">
                        <a14:shadowObscured xmlns:a14="http://schemas.microsoft.com/office/drawing/2010/main"/>
                      </a:ext>
                    </a:extLst>
                  </pic:spPr>
                </pic:pic>
              </a:graphicData>
            </a:graphic>
          </wp:inline>
        </w:drawing>
      </w:r>
    </w:p>
    <w:p w14:paraId="498F8F79" w14:textId="77777777" w:rsidR="00E63BCC" w:rsidRPr="00782E1C" w:rsidRDefault="00E63BCC" w:rsidP="00E63BCC">
      <w:pPr>
        <w:pStyle w:val="Caption"/>
        <w:rPr>
          <w:rFonts w:cs="Times New Roman"/>
        </w:rPr>
      </w:pPr>
      <w:bookmarkStart w:id="8" w:name="_Ref163397112"/>
      <w:bookmarkStart w:id="9" w:name="_Toc165641128"/>
      <w:r>
        <w:t>Figure 1.</w:t>
      </w:r>
      <w:r>
        <w:fldChar w:fldCharType="begin"/>
      </w:r>
      <w:r>
        <w:instrText xml:space="preserve"> SEQ Figure \* ARABIC </w:instrText>
      </w:r>
      <w:r>
        <w:fldChar w:fldCharType="separate"/>
      </w:r>
      <w:r>
        <w:rPr>
          <w:noProof/>
        </w:rPr>
        <w:t>2</w:t>
      </w:r>
      <w:r>
        <w:fldChar w:fldCharType="end"/>
      </w:r>
      <w:bookmarkEnd w:id="8"/>
      <w:r>
        <w:t>: Implementation of PCER for flaring mitigation</w:t>
      </w:r>
      <w:bookmarkEnd w:id="9"/>
    </w:p>
    <w:p w14:paraId="237FF864" w14:textId="1C838791" w:rsidR="00E63BCC" w:rsidRDefault="00E63BCC" w:rsidP="00E63BCC">
      <w:pPr>
        <w:rPr>
          <w:rFonts w:cs="Times New Roman"/>
        </w:rPr>
      </w:pPr>
      <w:r>
        <w:rPr>
          <w:rFonts w:cs="Times New Roman"/>
        </w:rPr>
        <w:fldChar w:fldCharType="begin"/>
      </w:r>
      <w:r>
        <w:rPr>
          <w:rFonts w:cs="Times New Roman"/>
        </w:rPr>
        <w:instrText xml:space="preserve"> REF _Ref163397112 \h </w:instrText>
      </w:r>
      <w:r>
        <w:rPr>
          <w:rFonts w:cs="Times New Roman"/>
        </w:rPr>
      </w:r>
      <w:r>
        <w:rPr>
          <w:rFonts w:cs="Times New Roman"/>
        </w:rPr>
        <w:fldChar w:fldCharType="separate"/>
      </w:r>
      <w:r w:rsidR="00F5293D">
        <w:t>Figure 1.</w:t>
      </w:r>
      <w:r w:rsidR="00F5293D">
        <w:rPr>
          <w:noProof/>
        </w:rPr>
        <w:t>2</w:t>
      </w:r>
      <w:r>
        <w:rPr>
          <w:rFonts w:cs="Times New Roman"/>
        </w:rPr>
        <w:fldChar w:fldCharType="end"/>
      </w:r>
      <w:r>
        <w:rPr>
          <w:rFonts w:cs="Times New Roman"/>
        </w:rPr>
        <w:t xml:space="preserve"> above shows one such potential application wherein a protonic ceramic electrochemical cell reactor (PCER) </w:t>
      </w:r>
      <w:r w:rsidRPr="00782E1C">
        <w:rPr>
          <w:rFonts w:cs="Times New Roman"/>
        </w:rPr>
        <w:t xml:space="preserve">is theorized to be particularly useful </w:t>
      </w:r>
      <w:r>
        <w:rPr>
          <w:rFonts w:cs="Times New Roman"/>
        </w:rPr>
        <w:t>as a</w:t>
      </w:r>
      <w:r w:rsidRPr="00782E1C">
        <w:rPr>
          <w:rFonts w:cs="Times New Roman"/>
        </w:rPr>
        <w:t xml:space="preserve"> natural gas reactor</w:t>
      </w:r>
      <w:r>
        <w:rPr>
          <w:rFonts w:cs="Times New Roman"/>
        </w:rPr>
        <w:t xml:space="preserve"> the cogenerates power and aromatic chemicals from natural gas</w:t>
      </w:r>
      <w:r w:rsidRPr="00782E1C">
        <w:rPr>
          <w:rFonts w:cs="Times New Roman"/>
        </w:rPr>
        <w:t>.</w:t>
      </w:r>
      <w:r>
        <w:rPr>
          <w:rFonts w:cs="Times New Roman"/>
        </w:rPr>
        <w:t xml:space="preserve"> This theory was originally published by Liu et al but is yet to be theoretically or practically confirmed </w:t>
      </w:r>
      <w:r>
        <w:rPr>
          <w:rFonts w:cs="Times New Roman"/>
        </w:rPr>
        <w:fldChar w:fldCharType="begin"/>
      </w:r>
      <w:r w:rsidR="00FD20A8">
        <w:rPr>
          <w:rFonts w:cs="Times New Roman"/>
        </w:rPr>
        <w:instrText xml:space="preserve"> ADDIN ZOTERO_ITEM CSL_CITATION {"citationID":"a2o7rgfj7f2","properties":{"formattedCitation":"[13]","plainCitation":"[13]","noteIndex":0},"citationItems":[{"id":187,"uris":["http://zotero.org/users/12063231/items/GPTSEBC5"],"itemData":{"id":187,"type":"article-journal","abstract":"Protonic ceramic electrochemical cells (PCECs) have been intensively studied as the technology that can be employed for power generation, energy storage, and sustainable chemical synthesis. Recently, there have been substantial advances in electrolyte and electrode materials for improving the performance of protonic ceramic fuel cells and protonic ceramic electrolyzers. However, the electrocatalytic materials development for synthesizing chemicals in PCECs has gained less attention, and there is a lack of systematic and fundamental understanding of the PCEC reactor design, reaction mechanisms, and electrode materials. This review comprehensively summarizes and critically evaluates the most up-to-date progress in employing PCECs to synthesize a wide range of chemicals, including ammonia, carbon monoxide, methane, light olefins, and aromatics. Factors that impact the conversion, selectivity, product yield, and energy efficiencies are discussed to provide new insights into designing electrochemical cells, developing electrode materials, and achieving economically viable chemical synthesis. The primary challenges associated with producing chemicals in PCECs are highlighted. Approaches to tackle these challenges are then offered, with a particular focus on deliberately designing electrode materials, aiming to achieve practically valuable product yield and energy efficiency. Finally, perspectives on the future development of PCECs for synthesizing sustainable chemicals are provided.","container-title":"Advanced Science","DOI":"10.1002/advs.202206478","ISSN":"2198-3844","issue":"8","language":"en","license":"© 2023 The Authors. Advanced Science published by Wiley-VCH GmbH","note":"_eprint: https://onlinelibrary.wiley.com/doi/pdf/10.1002/advs.202206478","page":"2206478","source":"Wiley Online Library","title":"Protonic Ceramic Electrochemical Cells for Synthesizing Sustainable Chemicals and Fuels","volume":"10","author":[{"family":"Liu","given":"Fan"},{"family":"Ding","given":"Dong"},{"family":"Duan","given":"Chuancheng"}],"issued":{"date-parts":[["2023"]]}}}],"schema":"https://github.com/citation-style-language/schema/raw/master/csl-citation.json"} </w:instrText>
      </w:r>
      <w:r>
        <w:rPr>
          <w:rFonts w:cs="Times New Roman"/>
        </w:rPr>
        <w:fldChar w:fldCharType="separate"/>
      </w:r>
      <w:r w:rsidR="00FD20A8" w:rsidRPr="00FD20A8">
        <w:rPr>
          <w:rFonts w:ascii="Aptos" w:hAnsi="Aptos" w:cs="Times New Roman"/>
          <w:kern w:val="0"/>
        </w:rPr>
        <w:t>[13]</w:t>
      </w:r>
      <w:r>
        <w:rPr>
          <w:rFonts w:cs="Times New Roman"/>
        </w:rPr>
        <w:fldChar w:fldCharType="end"/>
      </w:r>
      <w:r>
        <w:rPr>
          <w:rFonts w:cs="Times New Roman"/>
        </w:rPr>
        <w:t>.</w:t>
      </w:r>
      <w:r w:rsidRPr="00782E1C">
        <w:rPr>
          <w:rFonts w:cs="Times New Roman"/>
        </w:rPr>
        <w:t xml:space="preserve"> If </w:t>
      </w:r>
      <w:r w:rsidRPr="00782E1C">
        <w:rPr>
          <w:rFonts w:cs="Times New Roman"/>
        </w:rPr>
        <w:lastRenderedPageBreak/>
        <w:t>such reactors could be placed in the natural gas process</w:t>
      </w:r>
      <w:r>
        <w:rPr>
          <w:rFonts w:cs="Times New Roman"/>
        </w:rPr>
        <w:t xml:space="preserve"> just prior to the flare</w:t>
      </w:r>
      <w:r w:rsidRPr="00782E1C">
        <w:rPr>
          <w:rFonts w:cs="Times New Roman"/>
        </w:rPr>
        <w:t xml:space="preserve">, there </w:t>
      </w:r>
      <w:r>
        <w:rPr>
          <w:rFonts w:cs="Times New Roman"/>
        </w:rPr>
        <w:t>c</w:t>
      </w:r>
      <w:r w:rsidRPr="00782E1C">
        <w:rPr>
          <w:rFonts w:cs="Times New Roman"/>
        </w:rPr>
        <w:t>ould be great environmental improvements and a drastic increase in the overall output and utility of the natural gas, especially as PCFCs continue to improve</w:t>
      </w:r>
      <w:r w:rsidRPr="00782E1C">
        <w:rPr>
          <w:rFonts w:cs="Times New Roman"/>
        </w:rPr>
        <w:fldChar w:fldCharType="begin"/>
      </w:r>
      <w:r>
        <w:rPr>
          <w:rFonts w:cs="Times New Roman"/>
        </w:rPr>
        <w:instrText xml:space="preserve"> ADDIN ZOTERO_ITEM CSL_CITATION {"citationID":"86JjXHe4","properties":{"formattedCitation":"[11]","plainCitation":"[11]","noteIndex":0},"citationItems":[{"id":197,"uris":["http://zotero.org/users/12063231/items/DQWPZNMK"],"itemData":{"id":197,"type":"article-journal","abstract":"Proton-conducting oxides are a class of solid-state ion-conducting ceramic materials that demonstrate significant hydrogen ion (proton) conductivity at intermediate temperatures (e.g., 300–700 °C). They are garnering significant attention due to several unique characteristics that distinguish them from both higher temperature oxygen ion conducting oxides and lower temperature proton-conducting polymers. By enabling proton-mediated electrochemistry under both dry and wet environments at moderate temperatures, protonic ceramics provide unique opportunities to enhance or synergize a diverse range of complementary electrochemical and thermochemical processes. Because of this potential, significant efforts have been devoted to advancing numerous energy-related applications using these materials. This review aims to comprehensively summarize these applications and analyze the most up-to-date and future developments of proton-conducting oxides. We aim to bring together this diverse subject matter by integrating the fundamentals of proton-conducting oxides with application-oriented insights. We begin with a historical roadmap, followed by a basic overview of the materials, theories and fundamentals, and fabrication and processing technologies underlying the field. The central section of our review summarizes major applications and developments of proton-conducting ceramics, ranging from maturing applications approaching commercialization to embryonic technologies just now emerging from the lab. These include protonic ceramic fuel cells, protonic ceramic electrolysis cells, reversible protonic ceramic electrochemical cells, protonic ceramic membrane reactors, and protonic ceramic electrochemical reactors. For each application, we analyze both the prospects and challenges and offer recommendations for future research directions so that tomorrow's researchers can continue to advance the development and commercialization of these fascinating materials.","container-title":"Applied Physics Reviews","issue":"1","page":"011314","title":"Proton-conducting oxides for energy conversion and storage","volume":"7","author":[{"family":"Duan","given":"Chuancheng"},{"family":"Huang","given":"Jake"},{"family":"Sullivan","given":"Neal"},{"family":"O’Hayre","given":"Ryan"}],"issued":{"date-parts":[["2020",3]]}}}],"schema":"https://github.com/citation-style-language/schema/raw/master/csl-citation.json"} </w:instrText>
      </w:r>
      <w:r w:rsidRPr="00782E1C">
        <w:rPr>
          <w:rFonts w:cs="Times New Roman"/>
        </w:rPr>
        <w:fldChar w:fldCharType="separate"/>
      </w:r>
      <w:r w:rsidRPr="001D6BD0">
        <w:rPr>
          <w:rFonts w:ascii="Calibri" w:hAnsi="Calibri" w:cs="Calibri"/>
        </w:rPr>
        <w:t>[11]</w:t>
      </w:r>
      <w:r w:rsidRPr="00782E1C">
        <w:rPr>
          <w:rFonts w:cs="Times New Roman"/>
        </w:rPr>
        <w:fldChar w:fldCharType="end"/>
      </w:r>
      <w:r w:rsidRPr="00782E1C">
        <w:rPr>
          <w:rFonts w:cs="Times New Roman"/>
        </w:rPr>
        <w:t xml:space="preserve">. </w:t>
      </w:r>
    </w:p>
    <w:p w14:paraId="7F68C939" w14:textId="183D5E09" w:rsidR="00E63BCC" w:rsidRDefault="00E63BCC" w:rsidP="00E63BCC">
      <w:r>
        <w:t xml:space="preserve">The idea of utilizing methane in fuel cells for the cogeneration of power and value-added chemicals has been a topic of several studies </w:t>
      </w:r>
      <w:r>
        <w:fldChar w:fldCharType="begin"/>
      </w:r>
      <w:r w:rsidR="00CA7A9D">
        <w:instrText xml:space="preserve"> ADDIN ZOTERO_ITEM CSL_CITATION {"citationID":"a2nhukgilf6","properties":{"formattedCitation":"[14], [15], [16]","plainCitation":"[14], [15], [16]","noteIndex":0},"citationItems":[{"id":151,"uris":["http://zotero.org/users/12063231/items/QFTKJAPB"],"itemData":{"id":151,"type":"article-journal","abstract":"Protonic ceramic fuel cells (PCFCs) are promising electrochemical devices to achieve power-ethylene cogeneration. A model of a tubular C2H6-fed PCFC, including an internal reforming section (IRS) and an electrochemical reaction section (ERS), is constructed to investigate the effects of structural parameters on the cogeneration performance. Increasing cell length and ERS markedly enhance the ethylene yield. The highest ethylene yield of 44% is obtained in a 10 cm PCFC at 973 K. The positive effect of thickening the entire anode or IRS on yield is not as pronounced as extending the cell length or ERS. Except that the increase of IRS thickness leads to the decrease of the current density, the increase of other structural parameters causes the current density to increase first and then decrease. By decreasing the ERS ratio, the current density can be enhanced up to 14% and reaches the highest value of 2235 A m−2 at 973 K in an 8 cm PCFC with a 30% ERS ratio. This model provides an insightful understanding of the interrelationship between the structural parameters and the cogeneration performance of PCFC. This model can also serve as a valuable tool for the PCFC fuelled with other hydrocarbons.","container-title":"Energy","DOI":"10.1016/j.energy.2022.126193","ISSN":"0360-5442","journalAbbreviation":"Energy","language":"en","page":"126193","source":"ScienceDirect","title":"Protonic ceramic fuel cells for power-ethylene cogeneration: A modelling study on structural parameters","title-short":"Protonic ceramic fuel cells for power-ethylene cogeneration","volume":"264","author":[{"family":"Li","given":"Zheng"},{"family":"He","given":"Qijiao"},{"family":"Wang","given":"Chen"},{"family":"Yu","given":"Na"},{"family":"Bello","given":"Idris Temitope"},{"family":"Guo","given":"Meiting"},{"family":"Ni","given":"Meng"}],"issued":{"date-parts":[["2023",2,1]]}}},{"id":176,"uris":["http://zotero.org/users/12063231/items/RNASIFC3"],"itemData":{"id":176,"type":"article-journal","abstract":"Ethylene is a vital chemical worldwide but its production is very energy-intensive with high CO2 emissions. C2H6-fueled proton ceramic fuel cells (PCFCs) are promising electrochemical processes for cogeneration of ethylene and electric power with high performance and low emission. Herein, a tubular thermos-electrochemical model is established to investigate the characteristics of C2H6-fueled PCFC. Parametric studies are performed to examine the effects of operating voltage, inlet fuel flow rate, and inlet temperature on PCFC cogeneration performance. PCFC under open-circuit voltage (OCV) condition at 700 °C, the ethane conversion and ethylene selectivity are 15.69% and 99.47%, respectively. The ethylene production is enhanced by the electrochemical reaction. At 0.4 V and 700 °C, the conversion of ethane is increased to 32.59% and the PCFC can deliver a peak power density of 146.12 mW cm−2. Increasing the inlet temperature significantly improves the cogeneration performance of PCFC but also increases the temperature gradient in the cell. In addition, H2 depletion in the anode results in local electrochemical performance degradation. The results demonstrate the enhanced ethylene production by electrochemical processes and the operating and structural parameters can be optimized in the subsequent study to further improve ethylene production.","container-title":"Journal of Power Sources","DOI":"10.1016/j.jpowsour.2022.231503","ISSN":"0378-7753","journalAbbreviation":"Journal of Power Sources","language":"en","page":"231503","source":"ScienceDirect","title":"Ethylene and power cogeneration from proton ceramic fuel cells (PCFC): A thermo-electrochemical modelling study","title-short":"Ethylene and power cogeneration from proton ceramic fuel cells (PCFC)","volume":"536","author":[{"family":"Li","given":"Zheng"},{"family":"He","given":"Qijiao"},{"family":"Wang","given":"Chen"},{"family":"Xu","given":"Qidong"},{"family":"Guo","given":"Meiting"},{"family":"Bello","given":"Idris Temitope"},{"family":"Ni","given":"Meng"}],"issued":{"date-parts":[["2022",7,15]]}}},{"id":889,"uris":["http://zotero.org/users/12063231/items/Y8JJUZJ8"],"itemData":{"id":889,"type":"article-journal","abstract":"Here, we present protonic ceramic fuel cells (PCFCs) that achieve the internal dry reforming of methane (DRM) at 550°C–650°C to simultaneously generate power, produce syngas or hydrogen as chemical building blocks, and to mitigate two harmful greenhouse gases. We developed an oxide-supported in situ exsolved Ni-Ru catalyst (Sm0.2Ce0.7Ni0.1Ru0.05O2-δ, i.e., SDC-Ni-Ru). The in situ exsolved Ru clusters favor the CO2 activation step, while the Ni clusters promote the CH4 activation. The synergy between Ni and Ru clusters simultaneously improves the CH4 and CO2 activation, enhancing the DRM activity. Additionally, we discovered that the Ru clusters alter the DRM pathway, favoring the formation of monodentate carbonate species, which subsequently accelerates the oxidization of −CH</w:instrText>
      </w:r>
      <w:r w:rsidR="00CA7A9D">
        <w:rPr>
          <w:rFonts w:ascii="Cambria Math" w:hAnsi="Cambria Math" w:cs="Cambria Math"/>
        </w:rPr>
        <w:instrText>∗</w:instrText>
      </w:r>
      <w:r w:rsidR="00CA7A9D">
        <w:instrText xml:space="preserve"> species on Ni clusters and improves the coking tolerance. The PCFCs equipped with this SDC-Ni-Ru internal DRM catalyst attain exceptional and durable power densities using a mixture of CH4 and CO2 as the fuel, setting a record for DRM-PCFCs.","container-title":"Joule","DOI":"10.1016/j.joule.2023.05.009","ISSN":"2542-4351","issue":"6","journalAbbreviation":"Joule","page":"1308-1332","source":"ScienceDirect","title":"Process-intensified protonic ceramic fuel cells for power generation, chemical production, and greenhouse gas mitigation","volume":"7","author":[{"family":"Liu","given":"Fan"},{"family":"Deng","given":"Hao"},{"family":"Ding","given":"Hanping"},{"family":"Kazempoor","given":"Pejman"},{"family":"Liu","given":"Bin"},{"family":"Duan","given":"Chuancheng"}],"issued":{"date-parts":[["2023",6,21]]}}}],"schema":"https://github.com/citation-style-language/schema/raw/master/csl-citation.json"} </w:instrText>
      </w:r>
      <w:r>
        <w:fldChar w:fldCharType="separate"/>
      </w:r>
      <w:r w:rsidR="00CA7A9D" w:rsidRPr="00CA7A9D">
        <w:rPr>
          <w:rFonts w:ascii="Aptos" w:hAnsi="Aptos" w:cs="Times New Roman"/>
          <w:kern w:val="0"/>
        </w:rPr>
        <w:t>[14], [15], [16]</w:t>
      </w:r>
      <w:r>
        <w:fldChar w:fldCharType="end"/>
      </w:r>
      <w:r>
        <w:t xml:space="preserve">, but it is far more common for studies to focus on either power </w:t>
      </w:r>
      <w:r>
        <w:rPr>
          <w:i/>
          <w:iCs/>
        </w:rPr>
        <w:t>or</w:t>
      </w:r>
      <w:r>
        <w:t xml:space="preserve"> chemical production. A common practice, which </w:t>
      </w:r>
      <w:r w:rsidR="00E9792B">
        <w:t>is</w:t>
      </w:r>
      <w:r>
        <w:t xml:space="preserve"> utilized throughout this work, is for these processes to be distinguished by referring to the system as a PCFC when the intention is power production and a protonic ceramic electrochemical (or electrolysis) cell (PCEC) for chemical production. For example, Hong, et al. published a PCFC study in 2023 boasting an incredible methane conversion rate of up to &gt;85% at 700 </w:t>
      </w:r>
      <m:oMath>
        <m:r>
          <w:rPr>
            <w:rFonts w:ascii="Cambria Math" w:hAnsi="Cambria Math"/>
          </w:rPr>
          <m:t>°</m:t>
        </m:r>
      </m:oMath>
      <w:r>
        <w:rPr>
          <w:rFonts w:eastAsiaTheme="minorEastAsia"/>
        </w:rPr>
        <w:t>C</w:t>
      </w:r>
      <w:r>
        <w:t xml:space="preserve"> from a methane and carbon dioxide mixture to produce syngas </w:t>
      </w:r>
      <w:r>
        <w:fldChar w:fldCharType="begin"/>
      </w:r>
      <w:r w:rsidR="00CA7A9D">
        <w:instrText xml:space="preserve"> ADDIN ZOTERO_ITEM CSL_CITATION {"citationID":"fCCmajYL","properties":{"formattedCitation":"[17]","plainCitation":"[17]","noteIndex":0},"citationItems":[{"id":68,"uris":["http://zotero.org/users/12063231/items/XDF5IPBV"],"itemData":{"id":68,"type":"article-journal","abstract":"Ni-(Rh, Co) bimetallic catalysts anchored on BaZr0.4Ce0.4Y0.1Yb0.1O3-δ, the anode backbone of proton-conducting ceramic fuel cells, exhibit superior activity and stability during dry reforming of methane at low temperatures below 600 °C. 4Ni1M (4 wt% Ni, 1 wt% Rh or Co) are synthesized at the optimum calcination temperature of 500 °C that is obtained by identifying the characteristics of their particle size and interaction with the support. 4Ni1M show consistent structural properties with alloy formation and interact actively with CH4 and CO2. Under all operating conditions, the order of activity and durability is 4Ni1Rh &gt; 4Ni1Co </w:instrText>
      </w:r>
      <w:r w:rsidR="00CA7A9D">
        <w:rPr>
          <w:rFonts w:ascii="Cambria Math" w:hAnsi="Cambria Math" w:cs="Cambria Math"/>
        </w:rPr>
        <w:instrText>≫</w:instrText>
      </w:r>
      <w:r w:rsidR="00CA7A9D">
        <w:instrText xml:space="preserve"> 5Ni (5</w:instrText>
      </w:r>
      <w:r w:rsidR="00CA7A9D">
        <w:rPr>
          <w:rFonts w:ascii="Aptos" w:hAnsi="Aptos" w:cs="Aptos"/>
        </w:rPr>
        <w:instrText> </w:instrText>
      </w:r>
      <w:r w:rsidR="00CA7A9D">
        <w:instrText xml:space="preserve">wt% Ni). Post-mortem analysis after the durability test shows that 4Ni1M have a close association with carbon (formation and removal) when exposed to CH4 and CO2, improving their carbon resistance. This demonstrates that alloying Rh or Co with Ni in the anode of proton-conducting ceramic fuel cells enables their carbon–neutral operation while maintaining high activity and durability.","container-title":"Chemical Engineering Journal","DOI":"10.1016/j.cej.2023.142334","ISSN":"1385-8947","journalAbbreviation":"Chemical Engineering Journal","page":"142334","source":"ScienceDirect","title":"Carbon-neutral conversion of methane supported by Ni-(Rh, Co) bimetallic catalysts for low-temperature proton-conducting ceramic fuel cells","volume":"462","author":[{"family":"Hong","given":"Kyungpyo"},{"family":"Min","given":"Jihong"},{"family":"Min","given":"Gyubin"},{"family":"Bae","given":"Yonggyun"},{"family":"Hong","given":"Jongsup"}],"issued":{"date-parts":[["2023",4,15]]}}}],"schema":"https://github.com/citation-style-language/schema/raw/master/csl-citation.json"} </w:instrText>
      </w:r>
      <w:r>
        <w:fldChar w:fldCharType="separate"/>
      </w:r>
      <w:r w:rsidR="00CA7A9D" w:rsidRPr="00CA7A9D">
        <w:rPr>
          <w:rFonts w:ascii="Calibri" w:hAnsi="Calibri" w:cs="Calibri"/>
        </w:rPr>
        <w:t>[17]</w:t>
      </w:r>
      <w:r>
        <w:fldChar w:fldCharType="end"/>
      </w:r>
      <w:r>
        <w:t>. However, his study does not discuss power generation results from the cell, so this would designate it as a PCEC system for the purpose of discussions in this work. To consider the idea of cogeneration, PCFC and PCEC studies are considered together under the umbrella of PCER</w:t>
      </w:r>
      <w:r w:rsidR="00936742">
        <w:t>s</w:t>
      </w:r>
      <w:r>
        <w:t xml:space="preserve"> throughout this work.</w:t>
      </w:r>
    </w:p>
    <w:p w14:paraId="3145FF09" w14:textId="6AAE0189" w:rsidR="00E63BCC" w:rsidRPr="00307203" w:rsidRDefault="00E63BCC" w:rsidP="00307203">
      <w:pPr>
        <w:pStyle w:val="Heading2"/>
      </w:pPr>
      <w:bookmarkStart w:id="10" w:name="_Toc165641043"/>
      <w:r>
        <w:t>1.3 Project Description</w:t>
      </w:r>
      <w:bookmarkEnd w:id="10"/>
    </w:p>
    <w:p w14:paraId="6555CE2A" w14:textId="77777777" w:rsidR="00E63BCC" w:rsidRDefault="00E63BCC" w:rsidP="00E63BCC">
      <w:pPr>
        <w:pStyle w:val="Heading3"/>
      </w:pPr>
      <w:bookmarkStart w:id="11" w:name="_Toc165641044"/>
      <w:r>
        <w:t>1.3.1 Rationale</w:t>
      </w:r>
      <w:bookmarkEnd w:id="11"/>
    </w:p>
    <w:p w14:paraId="307DDFBA" w14:textId="542C7C93" w:rsidR="00307203" w:rsidRPr="00782E1C" w:rsidRDefault="00D8622A" w:rsidP="00307203">
      <w:pPr>
        <w:rPr>
          <w:rFonts w:cs="Times New Roman"/>
        </w:rPr>
      </w:pPr>
      <w:proofErr w:type="gramStart"/>
      <w:r>
        <w:t>In light of</w:t>
      </w:r>
      <w:proofErr w:type="gramEnd"/>
      <w:r>
        <w:t xml:space="preserve"> the possibility suggested by </w:t>
      </w:r>
      <w:r>
        <w:fldChar w:fldCharType="begin"/>
      </w:r>
      <w:r>
        <w:instrText xml:space="preserve"> REF _Ref163397112 \h </w:instrText>
      </w:r>
      <w:r>
        <w:fldChar w:fldCharType="separate"/>
      </w:r>
      <w:r>
        <w:t>Figure 1.</w:t>
      </w:r>
      <w:r>
        <w:rPr>
          <w:noProof/>
        </w:rPr>
        <w:t>2</w:t>
      </w:r>
      <w:r>
        <w:fldChar w:fldCharType="end"/>
      </w:r>
      <w:r>
        <w:t>, t</w:t>
      </w:r>
      <w:r w:rsidR="00E63BCC">
        <w:rPr>
          <w:rFonts w:cs="Times New Roman"/>
        </w:rPr>
        <w:t xml:space="preserve">he aim of this work is to ascertain the theoretical and economic viability of implementing a protonic ceramic modular reactor to cogenerate power and aromatics to utilize currently stranded/flared natural gas. PCERs optimized for the cogeneration of power and aromatic chemicals from methane/natural gas </w:t>
      </w:r>
      <w:r w:rsidR="00E63BCC">
        <w:rPr>
          <w:rFonts w:cs="Times New Roman"/>
        </w:rPr>
        <w:lastRenderedPageBreak/>
        <w:t>are yet to be assembled. As such, there is no specific experimental data from which to build a theoretical model to estimate the benefits of such a device. Therefore, this work utilize</w:t>
      </w:r>
      <w:r w:rsidR="00AA7956">
        <w:rPr>
          <w:rFonts w:cs="Times New Roman"/>
        </w:rPr>
        <w:t>s</w:t>
      </w:r>
      <w:r w:rsidR="00E63BCC">
        <w:rPr>
          <w:rFonts w:cs="Times New Roman"/>
        </w:rPr>
        <w:t xml:space="preserve"> the knowledge of existing PCFCs and aromatic chemical production catalysts </w:t>
      </w:r>
      <w:r w:rsidR="003F3F47">
        <w:rPr>
          <w:rFonts w:cs="Times New Roman"/>
        </w:rPr>
        <w:t>to</w:t>
      </w:r>
      <w:r w:rsidR="00E63BCC">
        <w:rPr>
          <w:rFonts w:cs="Times New Roman"/>
        </w:rPr>
        <w:t xml:space="preserve"> estimate optimal parameters and capabilities of the system.</w:t>
      </w:r>
      <w:r w:rsidR="007A27F2">
        <w:rPr>
          <w:rFonts w:cs="Times New Roman"/>
        </w:rPr>
        <w:t xml:space="preserve"> The goal for the optimized model </w:t>
      </w:r>
      <w:r w:rsidR="00AA7956">
        <w:rPr>
          <w:rFonts w:cs="Times New Roman"/>
        </w:rPr>
        <w:t xml:space="preserve">is </w:t>
      </w:r>
      <w:r w:rsidR="007A27F2">
        <w:rPr>
          <w:rFonts w:cs="Times New Roman"/>
        </w:rPr>
        <w:t>to achieve the following</w:t>
      </w:r>
      <w:r w:rsidR="00307203">
        <w:rPr>
          <w:rFonts w:cs="Times New Roman"/>
        </w:rPr>
        <w:t xml:space="preserve"> outcomes </w:t>
      </w:r>
      <w:r w:rsidR="00307203" w:rsidRPr="00782E1C">
        <w:rPr>
          <w:rFonts w:cs="Times New Roman"/>
        </w:rPr>
        <w:fldChar w:fldCharType="begin"/>
      </w:r>
      <w:r w:rsidR="00CA7A9D">
        <w:rPr>
          <w:rFonts w:cs="Times New Roman"/>
        </w:rPr>
        <w:instrText xml:space="preserve"> ADDIN ZOTERO_ITEM CSL_CITATION {"citationID":"Pju3jRTk","properties":{"formattedCitation":"[18]","plainCitation":"[18]","noteIndex":0},"citationItems":[{"id":186,"uris":["http://zotero.org/users/12063231/items/NMBA8JJL"],"itemData":{"id":186,"type":"webpage","container-title":"netl.doe.gov","language":"en","title":"Project Landing Page","URL":"https://netl.doe.gov/project-information","accessed":{"date-parts":[["2023",7,19]]}}}],"schema":"https://github.com/citation-style-language/schema/raw/master/csl-citation.json"} </w:instrText>
      </w:r>
      <w:r w:rsidR="00307203" w:rsidRPr="00782E1C">
        <w:rPr>
          <w:rFonts w:cs="Times New Roman"/>
        </w:rPr>
        <w:fldChar w:fldCharType="separate"/>
      </w:r>
      <w:r w:rsidR="00CA7A9D" w:rsidRPr="00CA7A9D">
        <w:rPr>
          <w:rFonts w:ascii="Calibri" w:hAnsi="Calibri" w:cs="Calibri"/>
        </w:rPr>
        <w:t>[18]</w:t>
      </w:r>
      <w:r w:rsidR="00307203" w:rsidRPr="00782E1C">
        <w:rPr>
          <w:rFonts w:cs="Times New Roman"/>
        </w:rPr>
        <w:fldChar w:fldCharType="end"/>
      </w:r>
      <w:r w:rsidR="00307203" w:rsidRPr="00782E1C">
        <w:rPr>
          <w:rFonts w:cs="Times New Roman"/>
        </w:rPr>
        <w:t>:</w:t>
      </w:r>
    </w:p>
    <w:p w14:paraId="67FCBF2E" w14:textId="77777777" w:rsidR="00307203" w:rsidRPr="00782E1C" w:rsidRDefault="00307203" w:rsidP="00307203">
      <w:pPr>
        <w:pStyle w:val="ListParagraph"/>
        <w:numPr>
          <w:ilvl w:val="0"/>
          <w:numId w:val="1"/>
        </w:numPr>
        <w:spacing w:after="160" w:line="259" w:lineRule="auto"/>
        <w:jc w:val="left"/>
        <w:rPr>
          <w:rFonts w:cs="Times New Roman"/>
        </w:rPr>
      </w:pPr>
      <w:r w:rsidRPr="00782E1C">
        <w:rPr>
          <w:rFonts w:cs="Times New Roman"/>
        </w:rPr>
        <w:t>Achieves &gt;30% natural gas conversion</w:t>
      </w:r>
    </w:p>
    <w:p w14:paraId="663F3508" w14:textId="77777777" w:rsidR="00307203" w:rsidRPr="00782E1C" w:rsidRDefault="00307203" w:rsidP="00307203">
      <w:pPr>
        <w:pStyle w:val="ListParagraph"/>
        <w:numPr>
          <w:ilvl w:val="0"/>
          <w:numId w:val="1"/>
        </w:numPr>
        <w:spacing w:after="160" w:line="259" w:lineRule="auto"/>
        <w:jc w:val="left"/>
        <w:rPr>
          <w:rFonts w:cs="Times New Roman"/>
        </w:rPr>
      </w:pPr>
      <w:r w:rsidRPr="00782E1C">
        <w:rPr>
          <w:rFonts w:cs="Times New Roman"/>
        </w:rPr>
        <w:t xml:space="preserve">Achieves </w:t>
      </w:r>
      <w:proofErr w:type="gramStart"/>
      <w:r w:rsidRPr="00782E1C">
        <w:rPr>
          <w:rFonts w:cs="Times New Roman"/>
        </w:rPr>
        <w:t>an aromatics</w:t>
      </w:r>
      <w:proofErr w:type="gramEnd"/>
      <w:r w:rsidRPr="00782E1C">
        <w:rPr>
          <w:rFonts w:cs="Times New Roman"/>
        </w:rPr>
        <w:t xml:space="preserve"> yield of &gt;50%</w:t>
      </w:r>
    </w:p>
    <w:p w14:paraId="21E24E46" w14:textId="77777777" w:rsidR="00307203" w:rsidRPr="00940988" w:rsidRDefault="00307203" w:rsidP="00307203">
      <w:pPr>
        <w:pStyle w:val="ListParagraph"/>
        <w:numPr>
          <w:ilvl w:val="0"/>
          <w:numId w:val="1"/>
        </w:numPr>
        <w:spacing w:after="160" w:line="259" w:lineRule="auto"/>
        <w:jc w:val="left"/>
        <w:rPr>
          <w:rFonts w:cs="Times New Roman"/>
        </w:rPr>
      </w:pPr>
      <w:r w:rsidRPr="00782E1C">
        <w:rPr>
          <w:rFonts w:cs="Times New Roman"/>
        </w:rPr>
        <w:t>Overall &gt;90% reduction in CO2 emissions</w:t>
      </w:r>
    </w:p>
    <w:p w14:paraId="67087C72" w14:textId="77777777" w:rsidR="00E63BCC" w:rsidRDefault="00E63BCC" w:rsidP="00E63BCC">
      <w:pPr>
        <w:pStyle w:val="Heading3"/>
      </w:pPr>
      <w:bookmarkStart w:id="12" w:name="_Toc165641045"/>
      <w:r>
        <w:t>1.3.2 Project Objectives</w:t>
      </w:r>
      <w:bookmarkEnd w:id="12"/>
    </w:p>
    <w:p w14:paraId="4B9B14A7" w14:textId="77777777" w:rsidR="00E63BCC" w:rsidRDefault="00E63BCC" w:rsidP="00E63BCC">
      <w:pPr>
        <w:pStyle w:val="ListParagraph"/>
        <w:numPr>
          <w:ilvl w:val="0"/>
          <w:numId w:val="2"/>
        </w:numPr>
        <w:jc w:val="left"/>
      </w:pPr>
      <w:r>
        <w:t>Develop a model for the PCER theorized by the DOE goals</w:t>
      </w:r>
    </w:p>
    <w:p w14:paraId="17743272" w14:textId="77777777" w:rsidR="00E63BCC" w:rsidRDefault="00E63BCC" w:rsidP="00E63BCC">
      <w:pPr>
        <w:pStyle w:val="ListParagraph"/>
        <w:numPr>
          <w:ilvl w:val="0"/>
          <w:numId w:val="2"/>
        </w:numPr>
        <w:jc w:val="left"/>
      </w:pPr>
      <w:r>
        <w:t>Optimize input parameters for the PCER system</w:t>
      </w:r>
    </w:p>
    <w:p w14:paraId="5FC008D8" w14:textId="77777777" w:rsidR="00E63BCC" w:rsidRDefault="00E63BCC" w:rsidP="00E63BCC">
      <w:pPr>
        <w:pStyle w:val="ListParagraph"/>
        <w:numPr>
          <w:ilvl w:val="0"/>
          <w:numId w:val="2"/>
        </w:numPr>
        <w:jc w:val="left"/>
      </w:pPr>
      <w:r>
        <w:t>Identify realistic power and chemical outputs from such a system</w:t>
      </w:r>
    </w:p>
    <w:p w14:paraId="6520209B" w14:textId="77777777" w:rsidR="00E63BCC" w:rsidRPr="00746C09" w:rsidRDefault="00E63BCC" w:rsidP="00E63BCC">
      <w:pPr>
        <w:pStyle w:val="ListParagraph"/>
        <w:numPr>
          <w:ilvl w:val="0"/>
          <w:numId w:val="2"/>
        </w:numPr>
        <w:jc w:val="left"/>
      </w:pPr>
      <w:r>
        <w:t>Perform a rough economic analysis to establish minimum performance capabilities</w:t>
      </w:r>
    </w:p>
    <w:p w14:paraId="1C8FC7DB" w14:textId="77777777" w:rsidR="00E63BCC" w:rsidRDefault="00E63BCC" w:rsidP="00E63BCC">
      <w:pPr>
        <w:pStyle w:val="Heading2"/>
      </w:pPr>
      <w:bookmarkStart w:id="13" w:name="_Toc165641046"/>
      <w:r>
        <w:t>1.4 Thesis Structure</w:t>
      </w:r>
      <w:bookmarkEnd w:id="13"/>
    </w:p>
    <w:p w14:paraId="52F2E577" w14:textId="53371931" w:rsidR="00E63BCC" w:rsidRDefault="00E63BCC" w:rsidP="00E63BCC">
      <w:r>
        <w:t xml:space="preserve">The thesis is organized into 6 chapters. The subsequent chapters and sections </w:t>
      </w:r>
      <w:r w:rsidR="00E9792B">
        <w:t>are</w:t>
      </w:r>
      <w:r>
        <w:t xml:space="preserve"> outlined as follows:</w:t>
      </w:r>
    </w:p>
    <w:p w14:paraId="4B59D5F4" w14:textId="690D3825" w:rsidR="00E63BCC" w:rsidRDefault="00E63BCC" w:rsidP="00E63BCC">
      <w:r>
        <w:t>Chapter 2 discuss</w:t>
      </w:r>
      <w:r w:rsidR="00855AFC">
        <w:t>es</w:t>
      </w:r>
      <w:r>
        <w:t xml:space="preserve"> the technological background necessary for this project. This is done by first discussing the operation of fuel cells and how they fit into a power system in section 2.1. This is followed by a large discussion on the methane dehydroaromatization (MDA) reaction in section 2.2, since understanding the reaction is critical in effectively </w:t>
      </w:r>
      <w:r>
        <w:lastRenderedPageBreak/>
        <w:t xml:space="preserve">modeling the PCER’s capabilities. Finally, these discussions </w:t>
      </w:r>
      <w:r w:rsidR="00E9792B">
        <w:t>are</w:t>
      </w:r>
      <w:r>
        <w:t xml:space="preserve"> merged to introduce the suggested MDA reaction mechanism in the PCER in section 2.3.</w:t>
      </w:r>
    </w:p>
    <w:p w14:paraId="5071D5AB" w14:textId="34B07FF9" w:rsidR="00E63BCC" w:rsidRDefault="00E63BCC" w:rsidP="00E63BCC">
      <w:r>
        <w:t>Chapter 3 detail</w:t>
      </w:r>
      <w:r w:rsidR="00855AFC">
        <w:t>s</w:t>
      </w:r>
      <w:r>
        <w:t xml:space="preserve"> the model formulation and the exact constants used for the reaction and electrochemical cell sub-models. Appropriate justification </w:t>
      </w:r>
      <w:r w:rsidR="00EB6FFF">
        <w:t xml:space="preserve">is </w:t>
      </w:r>
      <w:r>
        <w:t xml:space="preserve">provided as to why some methods and approaches </w:t>
      </w:r>
      <w:r w:rsidR="00EB6FFF">
        <w:t>are</w:t>
      </w:r>
      <w:r>
        <w:t xml:space="preserve"> chosen over others. </w:t>
      </w:r>
    </w:p>
    <w:p w14:paraId="3A1EEDC5" w14:textId="3ECE7028" w:rsidR="00E63BCC" w:rsidRDefault="00E63BCC" w:rsidP="00E63BCC">
      <w:r>
        <w:t>Chapter 4 highlight</w:t>
      </w:r>
      <w:r w:rsidR="00855AFC">
        <w:t>s</w:t>
      </w:r>
      <w:r>
        <w:t xml:space="preserve"> the results from the PCER model. This </w:t>
      </w:r>
      <w:r w:rsidR="00E9792B">
        <w:t>is</w:t>
      </w:r>
      <w:r>
        <w:t xml:space="preserve"> done by first validating the model in section 4.1, and then </w:t>
      </w:r>
      <w:r w:rsidR="0014726F">
        <w:t>identifying</w:t>
      </w:r>
      <w:r>
        <w:t xml:space="preserve"> important parametric relationships and guidelines for the PCER operation in subsequent sections.</w:t>
      </w:r>
    </w:p>
    <w:p w14:paraId="4F946094" w14:textId="10A3BB71" w:rsidR="00E63BCC" w:rsidRDefault="00E63BCC" w:rsidP="00E63BCC">
      <w:r>
        <w:t>Chapter 5 include</w:t>
      </w:r>
      <w:r w:rsidR="00855AFC">
        <w:t>s</w:t>
      </w:r>
      <w:r>
        <w:t xml:space="preserve"> an economic discussion and </w:t>
      </w:r>
      <w:r w:rsidR="0014726F">
        <w:t>considers</w:t>
      </w:r>
      <w:r>
        <w:t xml:space="preserve"> the results from chapter 4 to determine whether the suggested PCER system is economically viable. An Aspen-HYSYS model </w:t>
      </w:r>
      <w:r w:rsidR="00E9792B">
        <w:t>is</w:t>
      </w:r>
      <w:r>
        <w:t xml:space="preserve"> used to reliably estimate the cost and returns of the PCFC system.</w:t>
      </w:r>
    </w:p>
    <w:p w14:paraId="0A49E895" w14:textId="3003BF9A" w:rsidR="00E63BCC" w:rsidRPr="0006260A" w:rsidRDefault="00E63BCC" w:rsidP="00E63BCC">
      <w:r>
        <w:t>Chapter 6 provide</w:t>
      </w:r>
      <w:r w:rsidR="00855AFC">
        <w:t>s</w:t>
      </w:r>
      <w:r>
        <w:t xml:space="preserve"> a summary of conclusions and recommendations for further research efforts.  </w:t>
      </w:r>
    </w:p>
    <w:p w14:paraId="6AF129D2" w14:textId="77777777" w:rsidR="00E63BCC" w:rsidRDefault="00E63BCC">
      <w:pPr>
        <w:spacing w:after="160" w:line="259" w:lineRule="auto"/>
        <w:ind w:firstLine="0"/>
        <w:jc w:val="left"/>
        <w:rPr>
          <w:rFonts w:asciiTheme="majorHAnsi" w:eastAsiaTheme="majorEastAsia" w:hAnsiTheme="majorHAnsi" w:cstheme="majorBidi"/>
          <w:b/>
          <w:sz w:val="36"/>
          <w:szCs w:val="40"/>
        </w:rPr>
      </w:pPr>
      <w:r>
        <w:br w:type="page"/>
      </w:r>
    </w:p>
    <w:p w14:paraId="298DEC5F" w14:textId="77777777" w:rsidR="00E63BCC" w:rsidRDefault="00E63BCC" w:rsidP="00E170BA">
      <w:pPr>
        <w:pStyle w:val="Heading1"/>
      </w:pPr>
    </w:p>
    <w:p w14:paraId="65E583F3" w14:textId="40DE41C5" w:rsidR="00E170BA" w:rsidRDefault="00E170BA" w:rsidP="00E170BA">
      <w:pPr>
        <w:pStyle w:val="Heading1"/>
      </w:pPr>
      <w:bookmarkStart w:id="14" w:name="_Toc165641047"/>
      <w:r>
        <w:t>Chapter 2: Technological Background</w:t>
      </w:r>
      <w:bookmarkEnd w:id="14"/>
    </w:p>
    <w:p w14:paraId="3103F87D" w14:textId="77777777" w:rsidR="00E170BA" w:rsidRDefault="00E170BA" w:rsidP="00E170BA">
      <w:pPr>
        <w:pStyle w:val="Heading2"/>
      </w:pPr>
      <w:bookmarkStart w:id="15" w:name="_Toc165641048"/>
      <w:r>
        <w:t>2.1 Fuel Cells</w:t>
      </w:r>
      <w:bookmarkEnd w:id="15"/>
    </w:p>
    <w:p w14:paraId="0060ACE1" w14:textId="77777777" w:rsidR="00E170BA" w:rsidRDefault="00E170BA" w:rsidP="00E170BA">
      <w:pPr>
        <w:pStyle w:val="Heading3"/>
      </w:pPr>
      <w:bookmarkStart w:id="16" w:name="_Toc165641049"/>
      <w:r>
        <w:t>2.1.1 Fuel Cell Concepts</w:t>
      </w:r>
      <w:bookmarkEnd w:id="16"/>
    </w:p>
    <w:p w14:paraId="17D4E292" w14:textId="067DDBBF" w:rsidR="00E170BA" w:rsidRDefault="00E170BA" w:rsidP="00E170BA">
      <w:pPr>
        <w:rPr>
          <w:rFonts w:eastAsia="Times New Roman" w:cs="Times New Roman"/>
          <w14:ligatures w14:val="none"/>
        </w:rPr>
      </w:pPr>
      <w:r w:rsidRPr="00782E1C">
        <w:rPr>
          <w:rFonts w:eastAsia="Times New Roman" w:cs="Times New Roman"/>
          <w14:ligatures w14:val="none"/>
        </w:rPr>
        <w:t xml:space="preserve">While there are many types of fuel cells, </w:t>
      </w:r>
      <w:r>
        <w:rPr>
          <w:rFonts w:eastAsia="Times New Roman" w:cs="Times New Roman"/>
          <w14:ligatures w14:val="none"/>
        </w:rPr>
        <w:t>PCFCs</w:t>
      </w:r>
      <w:r w:rsidRPr="00782E1C">
        <w:rPr>
          <w:rFonts w:eastAsia="Times New Roman" w:cs="Times New Roman"/>
          <w14:ligatures w14:val="none"/>
        </w:rPr>
        <w:t xml:space="preserve"> represent one of the most promising avenues of</w:t>
      </w:r>
      <w:r>
        <w:rPr>
          <w:rFonts w:eastAsia="Times New Roman" w:cs="Times New Roman"/>
          <w14:ligatures w14:val="none"/>
        </w:rPr>
        <w:t xml:space="preserve"> energy storage systems for future</w:t>
      </w:r>
      <w:r w:rsidRPr="00782E1C">
        <w:rPr>
          <w:rFonts w:eastAsia="Times New Roman" w:cs="Times New Roman"/>
          <w14:ligatures w14:val="none"/>
        </w:rPr>
        <w:t xml:space="preserve"> industrial </w:t>
      </w:r>
      <w:r>
        <w:rPr>
          <w:rFonts w:eastAsia="Times New Roman" w:cs="Times New Roman"/>
          <w14:ligatures w14:val="none"/>
        </w:rPr>
        <w:t>applications. One of the biggest draws to PCFCs over other fuel cell types like</w:t>
      </w:r>
      <w:r w:rsidRPr="00782E1C">
        <w:rPr>
          <w:rFonts w:eastAsia="Times New Roman" w:cs="Times New Roman"/>
          <w14:ligatures w14:val="none"/>
        </w:rPr>
        <w:t xml:space="preserve"> </w:t>
      </w:r>
      <w:r>
        <w:rPr>
          <w:rFonts w:eastAsia="Times New Roman" w:cs="Times New Roman"/>
          <w14:ligatures w14:val="none"/>
        </w:rPr>
        <w:t>solid oxide fuel cells (SOFC) is due to their ability to</w:t>
      </w:r>
      <w:r w:rsidRPr="00782E1C">
        <w:rPr>
          <w:rFonts w:eastAsia="Times New Roman" w:cs="Times New Roman"/>
          <w14:ligatures w14:val="none"/>
        </w:rPr>
        <w:t xml:space="preserve"> operate effectively in intermediate temperature ranges of </w:t>
      </w:r>
      <m:oMath>
        <m:r>
          <w:rPr>
            <w:rFonts w:ascii="Cambria Math" w:hAnsi="Cambria Math" w:cs="Times New Roman"/>
          </w:rPr>
          <m:t>∼ 400-750 °</m:t>
        </m:r>
        <m:r>
          <w:rPr>
            <w:rFonts w:ascii="Cambria Math" w:hAnsi="Cambria Math" w:cs="Times New Roman"/>
            <w:i/>
          </w:rPr>
          <w:fldChar w:fldCharType="begin"/>
        </m:r>
        <m:r>
          <m:rPr>
            <m:sty m:val="p"/>
          </m:rPr>
          <w:rPr>
            <w:rFonts w:ascii="Cambria Math" w:hAnsi="Cambria Math" w:cs="Times New Roman"/>
          </w:rPr>
          <m:t xml:space="preserve"> ADDIN ZOTERO_ITEM CSL_CITATION {"citationID":"KgsPaLzE","properties":{"formattedCitation":"[4]","plainCitation":"[4]","dontUpdate":true,"noteIndex":0},"citationItems":[{"id":200,"uris":["http://zotero.org/users/12063231/items/N34P65TC"],"itemData":{"id":200,"type":"article-journal","abstract":"Solid oxide fuel cells (SOFCs) and electrolysis cells (SOECs) are promising energy conversion devices, on whose basis green hydrogen energy technologies can be developed to support the transition to a carbon-free future. As compared with oxygen-conducting cells, the operational temperatures of protonic ceramic fuel cells (PCFCs) and electrolysis cells (PCECs) can be reduced by several hundreds of degrees (down to low- and intermediate-temperature ranges of 400–700 °C) while maintaining high performance and efficiency. This is due to the distinctive characteristics of charge carriers for proton-conducting electrolytes. However, despite achieving outstanding lab-scale performance, the prospects for industrial scaling of PCFCs and PCECs remain hazy, at least in the near future, in contrast to commercially available SOFCs and SOECs. In this review, we reveal the reasons for the delayed technological development, which need to be addressed in order to transfer fundamental findings into industrial processes. Possible solutions to the identified problems are also highlighted.","container-title":"Materials Reports: Energy","DOI":"10.1016/j.matre.2022.100158","ISSN":"2666-9358","issue":"4","journalAbbreviation":"Materials Reports: Energy","language":"en","page":"100158","source":"ScienceDirect","title":"Electrolyte materials for protonic ceramic electrochemical cells: Main limitations and potential solutions","title-short":"Electrolyte materials for protonic ceramic electrochemical cells","volume":"2","author":[{"family":"Kasyanova","given":"Anna V."},{"family":"Zvonareva","given":"Inna A."},{"family":"Tarasova","given":"Natalia A."},{"family":"Bi","given":"Lei"},{"family":"Medvedev","given":"Dmitry A."},{"family":"Shao","given":"Zongping"}],"issued":{"date-parts":[["2022",11,1]]}}}],"schema":"https://github.com/citation-style-language/schema/raw/master/csl-citation.json"} </m:t>
        </m:r>
        <m:r>
          <w:rPr>
            <w:rFonts w:ascii="Cambria Math" w:hAnsi="Cambria Math" w:cs="Times New Roman"/>
            <w:i/>
          </w:rPr>
          <w:fldChar w:fldCharType="separate"/>
        </m:r>
        <m:r>
          <w:rPr>
            <w:rFonts w:ascii="Cambria Math" w:hAnsi="Cambria Math" w:cs="Times New Roman"/>
            <w:i/>
          </w:rPr>
          <w:fldChar w:fldCharType="end"/>
        </m:r>
      </m:oMath>
      <w:r w:rsidRPr="00782E1C">
        <w:rPr>
          <w:rFonts w:eastAsia="Times New Roman" w:cs="Times New Roman"/>
          <w14:ligatures w14:val="none"/>
        </w:rPr>
        <w:fldChar w:fldCharType="begin"/>
      </w:r>
      <w:r w:rsidRPr="00782E1C">
        <w:rPr>
          <w:rFonts w:eastAsia="Times New Roman" w:cs="Times New Roman"/>
          <w14:ligatures w14:val="none"/>
        </w:rPr>
        <w:fldChar w:fldCharType="end"/>
      </w:r>
      <w:r>
        <w:rPr>
          <w:rFonts w:eastAsia="Times New Roman" w:cs="Times New Roman"/>
          <w14:ligatures w14:val="none"/>
        </w:rPr>
        <w:t xml:space="preserve">C </w:t>
      </w:r>
      <w:r w:rsidRPr="00782E1C">
        <w:rPr>
          <w:rFonts w:eastAsia="Times New Roman" w:cs="Times New Roman"/>
          <w14:ligatures w14:val="none"/>
        </w:rPr>
        <w:fldChar w:fldCharType="begin"/>
      </w:r>
      <w:r w:rsidR="00CA7A9D">
        <w:rPr>
          <w:rFonts w:eastAsia="Times New Roman" w:cs="Times New Roman"/>
          <w14:ligatures w14:val="none"/>
        </w:rPr>
        <w:instrText xml:space="preserve"> ADDIN ZOTERO_ITEM CSL_CITATION {"citationID":"N218gWlv","properties":{"formattedCitation":"[19]","plainCitation":"[19]","noteIndex":0},"citationItems":[{"id":200,"uris":["http://zotero.org/users/12063231/items/N34P65TC"],"itemData":{"id":200,"type":"article-journal","abstract":"Solid oxide fuel cells (SOFCs) and electrolysis cells (SOECs) are promising energy conversion devices, on whose basis green hydrogen energy technologies can be developed to support the transition to a carbon-free future. As compared with oxygen-conducting cells, the operational temperatures of protonic ceramic fuel cells (PCFCs) and electrolysis cells (PCECs) can be reduced by several hundreds of degrees (down to low- and intermediate-temperature ranges of 400–700 °C) while maintaining high performance and efficiency. This is due to the distinctive characteristics of charge carriers for proton-conducting electrolytes. However, despite achieving outstanding lab-scale performance, the prospects for industrial scaling of PCFCs and PCECs remain hazy, at least in the near future, in contrast to commercially available SOFCs and SOECs. In this review, we reveal the reasons for the delayed technological development, which need to be addressed in order to transfer fundamental findings into industrial processes. Possible solutions to the identified problems are also highlighted.","container-title":"Materials Reports: Energy","DOI":"10.1016/j.matre.2022.100158","ISSN":"2666-9358","issue":"4","journalAbbreviation":"Materials Reports: Energy","language":"en","page":"100158","source":"ScienceDirect","title":"Electrolyte materials for protonic ceramic electrochemical cells: Main limitations and potential solutions","title-short":"Electrolyte materials for protonic ceramic electrochemical cells","volume":"2","author":[{"family":"Kasyanova","given":"Anna V."},{"family":"Zvonareva","given":"Inna A."},{"family":"Tarasova","given":"Natalia A."},{"family":"Bi","given":"Lei"},{"family":"Medvedev","given":"Dmitry A."},{"family":"Shao","given":"Zongping"}],"issued":{"date-parts":[["2022",11,1]]}}}],"schema":"https://github.com/citation-style-language/schema/raw/master/csl-citation.json"} </w:instrText>
      </w:r>
      <w:r w:rsidRPr="00782E1C">
        <w:rPr>
          <w:rFonts w:eastAsia="Times New Roman" w:cs="Times New Roman"/>
          <w14:ligatures w14:val="none"/>
        </w:rPr>
        <w:fldChar w:fldCharType="separate"/>
      </w:r>
      <w:r w:rsidR="00CA7A9D" w:rsidRPr="00CA7A9D">
        <w:rPr>
          <w:rFonts w:ascii="Calibri" w:hAnsi="Calibri" w:cs="Calibri"/>
        </w:rPr>
        <w:t>[19]</w:t>
      </w:r>
      <w:r w:rsidRPr="00782E1C">
        <w:rPr>
          <w:rFonts w:eastAsia="Times New Roman" w:cs="Times New Roman"/>
          <w14:ligatures w14:val="none"/>
        </w:rPr>
        <w:fldChar w:fldCharType="end"/>
      </w:r>
      <w:r>
        <w:rPr>
          <w:rFonts w:eastAsia="Times New Roman" w:cs="Times New Roman"/>
          <w14:ligatures w14:val="none"/>
        </w:rPr>
        <w:t xml:space="preserve">, whereas SOFCs require temperatures of 600-1000 </w:t>
      </w:r>
      <m:oMath>
        <m:r>
          <w:rPr>
            <w:rFonts w:ascii="Cambria Math" w:eastAsia="Times New Roman" w:hAnsi="Cambria Math" w:cs="Times New Roman"/>
            <w14:ligatures w14:val="none"/>
          </w:rPr>
          <m:t>°</m:t>
        </m:r>
      </m:oMath>
      <w:r>
        <w:rPr>
          <w:rFonts w:eastAsia="Times New Roman" w:cs="Times New Roman"/>
          <w14:ligatures w14:val="none"/>
        </w:rPr>
        <w:t>C</w:t>
      </w:r>
      <w:r w:rsidRPr="00782E1C">
        <w:rPr>
          <w:rFonts w:eastAsia="Times New Roman" w:cs="Times New Roman"/>
          <w14:ligatures w14:val="none"/>
        </w:rPr>
        <w:t>.</w:t>
      </w:r>
    </w:p>
    <w:p w14:paraId="5D04C2AC" w14:textId="77777777" w:rsidR="00E170BA" w:rsidRPr="00782E1C" w:rsidRDefault="00E170BA" w:rsidP="00E170BA">
      <w:pPr>
        <w:rPr>
          <w:rFonts w:eastAsia="Times New Roman" w:cs="Times New Roman"/>
          <w14:ligatures w14:val="none"/>
        </w:rPr>
      </w:pPr>
      <w:r w:rsidRPr="00782E1C">
        <w:rPr>
          <w:rFonts w:eastAsia="Times New Roman" w:cs="Times New Roman"/>
          <w14:ligatures w14:val="none"/>
        </w:rPr>
        <w:t xml:space="preserve">The setup and process within a PCFC is relatively straightforward. Fuel cells can </w:t>
      </w:r>
      <w:r>
        <w:rPr>
          <w:rFonts w:eastAsia="Times New Roman" w:cs="Times New Roman"/>
          <w14:ligatures w14:val="none"/>
        </w:rPr>
        <w:t>o</w:t>
      </w:r>
      <w:r w:rsidRPr="00782E1C">
        <w:rPr>
          <w:rFonts w:cs="Times New Roman"/>
        </w:rPr>
        <w:t>perate as a galvanic reactor</w:t>
      </w:r>
      <w:r w:rsidRPr="00782E1C">
        <w:rPr>
          <w:rFonts w:eastAsia="Times New Roman" w:cs="Times New Roman"/>
          <w14:ligatures w14:val="none"/>
        </w:rPr>
        <w:t xml:space="preserve"> consisting of an anode and cathode, usually separated by a conductive electrolyte.</w:t>
      </w:r>
      <w:r>
        <w:rPr>
          <w:rFonts w:eastAsia="Times New Roman" w:cs="Times New Roman"/>
          <w14:ligatures w14:val="none"/>
        </w:rPr>
        <w:t xml:space="preserve"> This stack of three mediums is often referred to in literature as the </w:t>
      </w:r>
      <w:proofErr w:type="spellStart"/>
      <w:r>
        <w:rPr>
          <w:rFonts w:eastAsia="Times New Roman" w:cs="Times New Roman"/>
          <w14:ligatures w14:val="none"/>
        </w:rPr>
        <w:t>positrode</w:t>
      </w:r>
      <w:proofErr w:type="spellEnd"/>
      <w:r>
        <w:rPr>
          <w:rFonts w:eastAsia="Times New Roman" w:cs="Times New Roman"/>
          <w14:ligatures w14:val="none"/>
        </w:rPr>
        <w:t xml:space="preserve">, electrolyte, </w:t>
      </w:r>
      <w:proofErr w:type="spellStart"/>
      <w:r>
        <w:rPr>
          <w:rFonts w:eastAsia="Times New Roman" w:cs="Times New Roman"/>
          <w14:ligatures w14:val="none"/>
        </w:rPr>
        <w:t>negatrode</w:t>
      </w:r>
      <w:proofErr w:type="spellEnd"/>
      <w:r>
        <w:rPr>
          <w:rFonts w:eastAsia="Times New Roman" w:cs="Times New Roman"/>
          <w14:ligatures w14:val="none"/>
        </w:rPr>
        <w:t xml:space="preserve"> (PEN) assembly.</w:t>
      </w:r>
      <w:r w:rsidRPr="00782E1C">
        <w:rPr>
          <w:rFonts w:eastAsia="Times New Roman" w:cs="Times New Roman"/>
          <w14:ligatures w14:val="none"/>
        </w:rPr>
        <w:t xml:space="preserve"> In a PCFC, hydrogen</w:t>
      </w:r>
      <w:r>
        <w:rPr>
          <w:rFonts w:eastAsia="Times New Roman" w:cs="Times New Roman"/>
          <w14:ligatures w14:val="none"/>
        </w:rPr>
        <w:t>-rich</w:t>
      </w:r>
      <w:r w:rsidRPr="00782E1C">
        <w:rPr>
          <w:rFonts w:eastAsia="Times New Roman" w:cs="Times New Roman"/>
          <w14:ligatures w14:val="none"/>
        </w:rPr>
        <w:t xml:space="preserve"> fuel is supplied to the anode, which</w:t>
      </w:r>
      <w:r>
        <w:rPr>
          <w:rFonts w:eastAsia="Times New Roman" w:cs="Times New Roman"/>
          <w14:ligatures w14:val="none"/>
        </w:rPr>
        <w:t xml:space="preserve"> is ionized and</w:t>
      </w:r>
      <w:r w:rsidRPr="00782E1C">
        <w:rPr>
          <w:rFonts w:eastAsia="Times New Roman" w:cs="Times New Roman"/>
          <w14:ligatures w14:val="none"/>
        </w:rPr>
        <w:t xml:space="preserve"> passe</w:t>
      </w:r>
      <w:r>
        <w:rPr>
          <w:rFonts w:eastAsia="Times New Roman" w:cs="Times New Roman"/>
          <w14:ligatures w14:val="none"/>
        </w:rPr>
        <w:t>d</w:t>
      </w:r>
      <w:r w:rsidRPr="00782E1C">
        <w:rPr>
          <w:rFonts w:eastAsia="Times New Roman" w:cs="Times New Roman"/>
          <w14:ligatures w14:val="none"/>
        </w:rPr>
        <w:t xml:space="preserve"> through a proton-conducting electrolyte to react with oxygen that is supplied on the cathode side </w:t>
      </w:r>
      <w:r>
        <w:rPr>
          <w:rFonts w:eastAsia="Times New Roman" w:cs="Times New Roman"/>
          <w14:ligatures w14:val="none"/>
        </w:rPr>
        <w:t>to</w:t>
      </w:r>
      <w:r w:rsidRPr="00782E1C">
        <w:rPr>
          <w:rFonts w:eastAsia="Times New Roman" w:cs="Times New Roman"/>
          <w14:ligatures w14:val="none"/>
        </w:rPr>
        <w:t xml:space="preserve"> output water. </w:t>
      </w:r>
      <w:r>
        <w:rPr>
          <w:rFonts w:eastAsia="Times New Roman" w:cs="Times New Roman"/>
          <w14:ligatures w14:val="none"/>
        </w:rPr>
        <w:t>As the hydrogen is dissociated into protons</w:t>
      </w:r>
      <w:r w:rsidRPr="00782E1C">
        <w:rPr>
          <w:rFonts w:eastAsia="Times New Roman" w:cs="Times New Roman"/>
          <w14:ligatures w14:val="none"/>
        </w:rPr>
        <w:t xml:space="preserve">, the </w:t>
      </w:r>
      <w:r>
        <w:rPr>
          <w:rFonts w:eastAsia="Times New Roman" w:cs="Times New Roman"/>
          <w14:ligatures w14:val="none"/>
        </w:rPr>
        <w:t xml:space="preserve">emitted </w:t>
      </w:r>
      <w:r w:rsidRPr="00782E1C">
        <w:rPr>
          <w:rFonts w:eastAsia="Times New Roman" w:cs="Times New Roman"/>
          <w14:ligatures w14:val="none"/>
        </w:rPr>
        <w:t>electrons are passed through a circuit, generating power</w:t>
      </w:r>
      <w:r>
        <w:rPr>
          <w:rFonts w:eastAsia="Times New Roman" w:cs="Times New Roman"/>
          <w14:ligatures w14:val="none"/>
        </w:rPr>
        <w:t xml:space="preserve"> as shown in </w:t>
      </w:r>
      <w:r>
        <w:rPr>
          <w:rFonts w:eastAsia="Times New Roman" w:cs="Times New Roman"/>
          <w14:ligatures w14:val="none"/>
        </w:rPr>
        <w:fldChar w:fldCharType="begin"/>
      </w:r>
      <w:r>
        <w:rPr>
          <w:rFonts w:eastAsia="Times New Roman" w:cs="Times New Roman"/>
          <w14:ligatures w14:val="none"/>
        </w:rPr>
        <w:instrText xml:space="preserve"> REF _Ref163417944 \h </w:instrText>
      </w:r>
      <w:r>
        <w:rPr>
          <w:rFonts w:eastAsia="Times New Roman" w:cs="Times New Roman"/>
          <w14:ligatures w14:val="none"/>
        </w:rPr>
      </w:r>
      <w:r>
        <w:rPr>
          <w:rFonts w:eastAsia="Times New Roman" w:cs="Times New Roman"/>
          <w14:ligatures w14:val="none"/>
        </w:rPr>
        <w:fldChar w:fldCharType="separate"/>
      </w:r>
      <w:r>
        <w:t>Figure 2.</w:t>
      </w:r>
      <w:r>
        <w:rPr>
          <w:noProof/>
        </w:rPr>
        <w:t>1</w:t>
      </w:r>
      <w:r>
        <w:rPr>
          <w:rFonts w:eastAsia="Times New Roman" w:cs="Times New Roman"/>
          <w14:ligatures w14:val="none"/>
        </w:rPr>
        <w:fldChar w:fldCharType="end"/>
      </w:r>
      <w:r w:rsidRPr="00782E1C">
        <w:rPr>
          <w:rFonts w:eastAsia="Times New Roman" w:cs="Times New Roman"/>
          <w14:ligatures w14:val="none"/>
        </w:rPr>
        <w:t xml:space="preserve">. </w:t>
      </w:r>
    </w:p>
    <w:p w14:paraId="1AAD1B35" w14:textId="77777777" w:rsidR="00E170BA" w:rsidRDefault="00E170BA" w:rsidP="00E170BA"/>
    <w:p w14:paraId="7DF97A52" w14:textId="77777777" w:rsidR="00E170BA" w:rsidRDefault="00E170BA" w:rsidP="00E170BA">
      <w:pPr>
        <w:keepNext/>
        <w:jc w:val="center"/>
      </w:pPr>
      <w:r>
        <w:rPr>
          <w:noProof/>
        </w:rPr>
        <w:lastRenderedPageBreak/>
        <w:drawing>
          <wp:inline distT="0" distB="0" distL="0" distR="0" wp14:anchorId="561078CB" wp14:editId="50F6DAD0">
            <wp:extent cx="2959083" cy="1401203"/>
            <wp:effectExtent l="0" t="0" r="0" b="0"/>
            <wp:docPr id="590068797" name="Picture 3" descr="A video game screen with a cube in the 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068797" name="Picture 3" descr="A video game screen with a cube in the air&#10;&#10;Description automatically generated"/>
                    <pic:cNvPicPr/>
                  </pic:nvPicPr>
                  <pic:blipFill rotWithShape="1">
                    <a:blip r:embed="rId13" cstate="print">
                      <a:extLst>
                        <a:ext uri="{28A0092B-C50C-407E-A947-70E740481C1C}">
                          <a14:useLocalDpi xmlns:a14="http://schemas.microsoft.com/office/drawing/2010/main" val="0"/>
                        </a:ext>
                      </a:extLst>
                    </a:blip>
                    <a:srcRect l="35364" t="35165" r="32262" b="53998"/>
                    <a:stretch/>
                  </pic:blipFill>
                  <pic:spPr bwMode="auto">
                    <a:xfrm>
                      <a:off x="0" y="0"/>
                      <a:ext cx="2977767" cy="1410050"/>
                    </a:xfrm>
                    <a:prstGeom prst="rect">
                      <a:avLst/>
                    </a:prstGeom>
                    <a:ln>
                      <a:noFill/>
                    </a:ln>
                    <a:extLst>
                      <a:ext uri="{53640926-AAD7-44D8-BBD7-CCE9431645EC}">
                        <a14:shadowObscured xmlns:a14="http://schemas.microsoft.com/office/drawing/2010/main"/>
                      </a:ext>
                    </a:extLst>
                  </pic:spPr>
                </pic:pic>
              </a:graphicData>
            </a:graphic>
          </wp:inline>
        </w:drawing>
      </w:r>
    </w:p>
    <w:p w14:paraId="66D69339" w14:textId="77777777" w:rsidR="00E170BA" w:rsidRDefault="00E170BA" w:rsidP="00E170BA">
      <w:pPr>
        <w:pStyle w:val="Caption"/>
      </w:pPr>
      <w:bookmarkStart w:id="17" w:name="_Ref163417944"/>
      <w:bookmarkStart w:id="18" w:name="_Ref163417933"/>
      <w:bookmarkStart w:id="19" w:name="_Toc165641129"/>
      <w:r>
        <w:t>Figure 2.</w:t>
      </w:r>
      <w:r>
        <w:fldChar w:fldCharType="begin"/>
      </w:r>
      <w:r>
        <w:instrText xml:space="preserve"> SEQ Figure \* ARABIC </w:instrText>
      </w:r>
      <w:r>
        <w:fldChar w:fldCharType="separate"/>
      </w:r>
      <w:r>
        <w:rPr>
          <w:noProof/>
        </w:rPr>
        <w:t>1</w:t>
      </w:r>
      <w:r>
        <w:fldChar w:fldCharType="end"/>
      </w:r>
      <w:bookmarkEnd w:id="17"/>
      <w:r>
        <w:t>: Standard hydrogen-fed PCFC mechanism</w:t>
      </w:r>
      <w:bookmarkEnd w:id="18"/>
      <w:bookmarkEnd w:id="19"/>
    </w:p>
    <w:p w14:paraId="50DAE03A" w14:textId="77777777" w:rsidR="00E170BA" w:rsidRDefault="00E170BA" w:rsidP="00E170BA">
      <w:r>
        <w:t>The cell reactions can be represented as follows:</w:t>
      </w:r>
    </w:p>
    <w:p w14:paraId="77D8E7D6" w14:textId="77777777" w:rsidR="00E170BA" w:rsidRPr="00A13F3A" w:rsidRDefault="00E170BA" w:rsidP="00E170B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
        <w:gridCol w:w="7727"/>
        <w:gridCol w:w="22"/>
        <w:gridCol w:w="682"/>
      </w:tblGrid>
      <w:tr w:rsidR="00E170BA" w14:paraId="4713C1AF" w14:textId="77777777" w:rsidTr="002E7584">
        <w:tc>
          <w:tcPr>
            <w:tcW w:w="933" w:type="dxa"/>
            <w:vAlign w:val="center"/>
          </w:tcPr>
          <w:p w14:paraId="5742E39E" w14:textId="77777777" w:rsidR="00E170BA" w:rsidRDefault="00E170BA" w:rsidP="002E7584">
            <w:pPr>
              <w:spacing w:before="120" w:after="120" w:line="240" w:lineRule="auto"/>
              <w:ind w:firstLine="0"/>
              <w:jc w:val="center"/>
            </w:pPr>
          </w:p>
        </w:tc>
        <w:tc>
          <w:tcPr>
            <w:tcW w:w="7784" w:type="dxa"/>
            <w:vAlign w:val="center"/>
          </w:tcPr>
          <w:p w14:paraId="3C230D60" w14:textId="77777777" w:rsidR="00E170BA" w:rsidRDefault="00924E48" w:rsidP="002E7584">
            <w:pPr>
              <w:spacing w:before="120" w:after="120" w:line="240" w:lineRule="auto"/>
            </w:pPr>
            <m:oMath>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→2</m:t>
              </m:r>
              <m:sSup>
                <m:sSupPr>
                  <m:ctrlPr>
                    <w:rPr>
                      <w:rFonts w:ascii="Cambria Math" w:hAnsi="Cambria Math"/>
                      <w:i/>
                    </w:rPr>
                  </m:ctrlPr>
                </m:sSupPr>
                <m:e>
                  <m:r>
                    <w:rPr>
                      <w:rFonts w:ascii="Cambria Math" w:hAnsi="Cambria Math"/>
                    </w:rPr>
                    <m:t>H</m:t>
                  </m:r>
                </m:e>
                <m:sup>
                  <m:r>
                    <w:rPr>
                      <w:rFonts w:ascii="Cambria Math" w:hAnsi="Cambria Math"/>
                    </w:rPr>
                    <m:t>+</m:t>
                  </m:r>
                </m:sup>
              </m:sSup>
              <m:r>
                <w:rPr>
                  <w:rFonts w:ascii="Cambria Math" w:hAnsi="Cambria Math"/>
                </w:rPr>
                <m:t>+2</m:t>
              </m:r>
              <m:sSup>
                <m:sSupPr>
                  <m:ctrlPr>
                    <w:rPr>
                      <w:rFonts w:ascii="Cambria Math" w:hAnsi="Cambria Math"/>
                      <w:i/>
                    </w:rPr>
                  </m:ctrlPr>
                </m:sSupPr>
                <m:e>
                  <m:r>
                    <w:rPr>
                      <w:rFonts w:ascii="Cambria Math" w:hAnsi="Cambria Math"/>
                    </w:rPr>
                    <m:t>e</m:t>
                  </m:r>
                </m:e>
                <m:sup>
                  <m:r>
                    <w:rPr>
                      <w:rFonts w:ascii="Cambria Math" w:hAnsi="Cambria Math"/>
                    </w:rPr>
                    <m:t>-</m:t>
                  </m:r>
                </m:sup>
              </m:sSup>
            </m:oMath>
            <w:r w:rsidR="00E170BA">
              <w:rPr>
                <w:rFonts w:eastAsiaTheme="minorEastAsia"/>
              </w:rPr>
              <w:t xml:space="preserve"> anode reaction</w:t>
            </w:r>
          </w:p>
        </w:tc>
        <w:tc>
          <w:tcPr>
            <w:tcW w:w="643" w:type="dxa"/>
            <w:gridSpan w:val="2"/>
            <w:vAlign w:val="center"/>
          </w:tcPr>
          <w:p w14:paraId="27C4E1B6" w14:textId="77777777" w:rsidR="00E170BA" w:rsidRDefault="00E170BA" w:rsidP="002E7584">
            <w:pPr>
              <w:spacing w:before="120" w:after="120" w:line="240" w:lineRule="auto"/>
              <w:ind w:firstLine="0"/>
              <w:jc w:val="center"/>
            </w:pPr>
            <w:r>
              <w:t>(2.1)</w:t>
            </w:r>
          </w:p>
        </w:tc>
      </w:tr>
      <w:tr w:rsidR="00E170BA" w14:paraId="49E00B67" w14:textId="77777777" w:rsidTr="002E7584">
        <w:tc>
          <w:tcPr>
            <w:tcW w:w="936" w:type="dxa"/>
            <w:vAlign w:val="center"/>
          </w:tcPr>
          <w:p w14:paraId="5BFA23C0" w14:textId="77777777" w:rsidR="00E170BA" w:rsidRDefault="00E170BA" w:rsidP="002E7584">
            <w:pPr>
              <w:spacing w:before="120" w:after="120" w:line="240" w:lineRule="auto"/>
              <w:ind w:firstLine="0"/>
              <w:jc w:val="center"/>
            </w:pPr>
          </w:p>
        </w:tc>
        <w:tc>
          <w:tcPr>
            <w:tcW w:w="7806" w:type="dxa"/>
            <w:gridSpan w:val="2"/>
            <w:vAlign w:val="center"/>
          </w:tcPr>
          <w:p w14:paraId="263A5A0A" w14:textId="77777777" w:rsidR="00E170BA" w:rsidRDefault="00E170BA" w:rsidP="002E7584">
            <w:pPr>
              <w:spacing w:before="120" w:after="120" w:line="240" w:lineRule="auto"/>
            </w:pPr>
            <m:oMath>
              <m:r>
                <w:rPr>
                  <w:rFonts w:ascii="Cambria Math" w:hAnsi="Cambria Math"/>
                </w:rPr>
                <m:t>0.5</m:t>
              </m:r>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+2</m:t>
              </m:r>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m:t>
                  </m:r>
                </m:sup>
              </m:sSup>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sup>
              </m:s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O</m:t>
              </m:r>
            </m:oMath>
            <w:r>
              <w:rPr>
                <w:rFonts w:eastAsiaTheme="minorEastAsia"/>
              </w:rPr>
              <w:t xml:space="preserve"> cathode reaction</w:t>
            </w:r>
          </w:p>
        </w:tc>
        <w:tc>
          <w:tcPr>
            <w:tcW w:w="618" w:type="dxa"/>
            <w:vAlign w:val="center"/>
          </w:tcPr>
          <w:p w14:paraId="279CEA95" w14:textId="77777777" w:rsidR="00E170BA" w:rsidRDefault="00E170BA" w:rsidP="002E7584">
            <w:pPr>
              <w:spacing w:before="120" w:after="120" w:line="240" w:lineRule="auto"/>
              <w:ind w:firstLine="0"/>
              <w:jc w:val="center"/>
            </w:pPr>
            <w:r>
              <w:t>(2.2)</w:t>
            </w:r>
          </w:p>
        </w:tc>
      </w:tr>
    </w:tbl>
    <w:p w14:paraId="33224DE1" w14:textId="77777777" w:rsidR="00E170BA" w:rsidRPr="00A13F3A" w:rsidRDefault="00E170BA" w:rsidP="00E170BA">
      <w:r>
        <w:t xml:space="preserve">Equations 2.1 and 2.2 combine to create the water formation reaction. This reaction is very exothermic and can help reach and/or maintain the high operating temperatures in the cell. </w:t>
      </w:r>
    </w:p>
    <w:p w14:paraId="461273F3" w14:textId="77777777" w:rsidR="00E170BA" w:rsidRDefault="00E170BA" w:rsidP="00E170BA">
      <w:pPr>
        <w:pStyle w:val="Heading3"/>
        <w:rPr>
          <w:rFonts w:eastAsia="Times New Roman"/>
        </w:rPr>
      </w:pPr>
      <w:bookmarkStart w:id="20" w:name="_Toc165641050"/>
      <w:r>
        <w:rPr>
          <w:rFonts w:eastAsia="Times New Roman"/>
        </w:rPr>
        <w:t>2.1.2 Fuel Flexibility</w:t>
      </w:r>
      <w:bookmarkEnd w:id="20"/>
    </w:p>
    <w:p w14:paraId="4CF7087E" w14:textId="2E7FD767" w:rsidR="00E170BA" w:rsidRDefault="00E170BA" w:rsidP="00E170BA">
      <w:pPr>
        <w:rPr>
          <w:rFonts w:eastAsia="Times New Roman" w:cs="Times New Roman"/>
          <w14:ligatures w14:val="none"/>
        </w:rPr>
      </w:pPr>
      <w:r>
        <w:rPr>
          <w:rFonts w:eastAsia="Times New Roman" w:cs="Times New Roman"/>
          <w14:ligatures w14:val="none"/>
        </w:rPr>
        <w:t xml:space="preserve">PCFCs always achieve their highest efficiencies when hydrogen is the fuel, but hydrogen is a very expensive feedstock and is one of the biggest challenges in justifying industrial application. Alternatively, PCFCs have proven capable of running on natural gas, methane, ethanol, propane, butane, ammonia and other hydrogen-rich hydrocarbons </w:t>
      </w:r>
      <w:r>
        <w:rPr>
          <w:rFonts w:eastAsia="Times New Roman" w:cs="Times New Roman"/>
          <w14:ligatures w14:val="none"/>
        </w:rPr>
        <w:fldChar w:fldCharType="begin"/>
      </w:r>
      <w:r w:rsidR="008231CC">
        <w:rPr>
          <w:rFonts w:eastAsia="Times New Roman" w:cs="Times New Roman"/>
          <w14:ligatures w14:val="none"/>
        </w:rPr>
        <w:instrText xml:space="preserve"> ADDIN ZOTERO_ITEM CSL_CITATION {"citationID":"a2jtr6p96b1","properties":{"formattedCitation":"[12]","plainCitation":"[12]","noteIndex":0},"citationItems":[{"id":178,"uris":["http://zotero.org/users/12063231/items/67EFNYYN"],"itemData":{"id":178,"type":"article-journal","abstract":"Protonic ceramic fuel cells, like their higher-temperature solid-oxide fuel cell counterparts, can directly use both hydrogen and hydrocarbon fuels to produce electricity at potentially more than 50 per cent efficiency1,2. Most previous direct-hydrocarbon fuel cell research has focused on solid-oxide fuel cells based on oxygen-ion-conducting electrolytes, but carbon deposition (coking) and sulfur poisoning typically occur when such fuel cells are directly operated on hydrocarbon- and/or sulfur-containing fuels, resulting in severe performance degradation over time3–6. Despite studies suggesting good performance and anti-coking resistance in hydrocarbon-fuelled protonic ceramic fuel cells2,7,8, there have been no systematic studies of long-term durability. Here we present results from long-term testing of protonic ceramic fuel cells using a total of 11 different fuels (hydrogen, methane, domestic natural gas (with and without hydrogen sulfide), propane, n-butane, i-butane, iso-octane, methanol, ethanol and ammonia) at temperatures between 500 and 600 degrees Celsius. Several cells have been tested for over 6,000</w:instrText>
      </w:r>
      <w:r w:rsidR="008231CC">
        <w:rPr>
          <w:rFonts w:ascii="Arial" w:eastAsia="Times New Roman" w:hAnsi="Arial" w:cs="Arial"/>
          <w14:ligatures w14:val="none"/>
        </w:rPr>
        <w:instrText> </w:instrText>
      </w:r>
      <w:r w:rsidR="008231CC">
        <w:rPr>
          <w:rFonts w:eastAsia="Times New Roman" w:cs="Times New Roman"/>
          <w14:ligatures w14:val="none"/>
        </w:rPr>
        <w:instrText>hours, and we demonstrate excellent performance and exceptional durability (less than 1.5 per cent degradation per 1,000</w:instrText>
      </w:r>
      <w:r w:rsidR="008231CC">
        <w:rPr>
          <w:rFonts w:ascii="Arial" w:eastAsia="Times New Roman" w:hAnsi="Arial" w:cs="Arial"/>
          <w14:ligatures w14:val="none"/>
        </w:rPr>
        <w:instrText> </w:instrText>
      </w:r>
      <w:r w:rsidR="008231CC">
        <w:rPr>
          <w:rFonts w:eastAsia="Times New Roman" w:cs="Times New Roman"/>
          <w14:ligatures w14:val="none"/>
        </w:rPr>
        <w:instrText xml:space="preserve">hours in most cases) across all fuels without any modifications in the cell composition or architecture. Large fluctuations in temperature are tolerated, and coking is not observed even after thousands of hours of continuous operation. Finally, sulfur, a notorious poison for both low-temperature and high-temperature fuel cells, does not seem to affect the performance of protonic ceramic fuel cells when supplied at levels consistent with commercial fuels. The fuel flexibility and long-term durability demonstrated by the protonic ceramic fuel cell devices highlight the promise of this technology and its potential for commercial application.","container-title":"Nature","DOI":"10.1038/s41586-018-0082-6","ISSN":"1476-4687","issue":"7704","language":"en","license":"2018 Macmillan Publishers Ltd., part of Springer Nature","note":"number: 7704\npublisher: Nature Publishing Group","page":"217-222","source":"www.nature.com","title":"Highly durable, coking and sulfur tolerant, fuel-flexible protonic ceramic fuel cells","volume":"557","author":[{"family":"Duan","given":"Chuancheng"},{"family":"Kee","given":"Robert J."},{"family":"Zhu","given":"Huayang"},{"family":"Karakaya","given":"Canan"},{"family":"Chen","given":"Yachao"},{"family":"Ricote","given":"Sandrine"},{"family":"Jarry","given":"Angelique"},{"family":"Crumlin","given":"Ethan J."},{"family":"Hook","given":"David"},{"family":"Braun","given":"Robert"},{"family":"Sullivan","given":"Neal P."},{"family":"O’Hayre","given":"Ryan"}],"issued":{"date-parts":[["2018",5]]}}}],"schema":"https://github.com/citation-style-language/schema/raw/master/csl-citation.json"} </w:instrText>
      </w:r>
      <w:r>
        <w:rPr>
          <w:rFonts w:eastAsia="Times New Roman" w:cs="Times New Roman"/>
          <w14:ligatures w14:val="none"/>
        </w:rPr>
        <w:fldChar w:fldCharType="separate"/>
      </w:r>
      <w:r w:rsidR="008231CC" w:rsidRPr="008231CC">
        <w:rPr>
          <w:rFonts w:ascii="Aptos" w:hAnsi="Aptos"/>
        </w:rPr>
        <w:t>[12]</w:t>
      </w:r>
      <w:r>
        <w:rPr>
          <w:rFonts w:eastAsia="Times New Roman" w:cs="Times New Roman"/>
          <w14:ligatures w14:val="none"/>
        </w:rPr>
        <w:fldChar w:fldCharType="end"/>
      </w:r>
      <w:r>
        <w:rPr>
          <w:rFonts w:eastAsia="Times New Roman" w:cs="Times New Roman"/>
          <w14:ligatures w14:val="none"/>
        </w:rPr>
        <w:t>.</w:t>
      </w:r>
      <w:r w:rsidRPr="00782E1C">
        <w:rPr>
          <w:rFonts w:eastAsia="Times New Roman" w:cs="Times New Roman"/>
          <w14:ligatures w14:val="none"/>
        </w:rPr>
        <w:t xml:space="preserve"> </w:t>
      </w:r>
      <w:r>
        <w:rPr>
          <w:rFonts w:eastAsia="Times New Roman" w:cs="Times New Roman"/>
          <w14:ligatures w14:val="none"/>
        </w:rPr>
        <w:t xml:space="preserve">This is possible due to the high temperature of the cell, which helps to provide the activation energy needed for the decomposition of hydrocarbons into carbon and hydrogen. For methane and natural gas, which is the focus of this study, the power output of the cell has shown a drop to roughly 60% of its hydrogen-fed counterpart </w:t>
      </w:r>
      <w:r>
        <w:rPr>
          <w:rFonts w:eastAsia="Times New Roman" w:cs="Times New Roman"/>
          <w14:ligatures w14:val="none"/>
        </w:rPr>
        <w:fldChar w:fldCharType="begin"/>
      </w:r>
      <w:r w:rsidR="008231CC">
        <w:rPr>
          <w:rFonts w:eastAsia="Times New Roman" w:cs="Times New Roman"/>
          <w14:ligatures w14:val="none"/>
        </w:rPr>
        <w:instrText xml:space="preserve"> ADDIN ZOTERO_ITEM CSL_CITATION {"citationID":"aj9g619d16","properties":{"formattedCitation":"[12]","plainCitation":"[12]","noteIndex":0},"citationItems":[{"id":178,"uris":["http://zotero.org/users/12063231/items/67EFNYYN"],"itemData":{"id":178,"type":"article-journal","abstract":"Protonic ceramic fuel cells, like their higher-temperature solid-oxide fuel cell counterparts, can directly use both hydrogen and hydrocarbon fuels to produce electricity at potentially more than 50 per cent efficiency1,2. Most previous direct-hydrocarbon fuel cell research has focused on solid-oxide fuel cells based on oxygen-ion-conducting electrolytes, but carbon deposition (coking) and sulfur poisoning typically occur when such fuel cells are directly operated on hydrocarbon- and/or sulfur-containing fuels, resulting in severe performance degradation over time3–6. Despite studies suggesting good performance and anti-coking resistance in hydrocarbon-fuelled protonic ceramic fuel cells2,7,8, there have been no systematic studies of long-term durability. Here we present results from long-term testing of protonic ceramic fuel cells using a total of 11 different fuels (hydrogen, methane, domestic natural gas (with and without hydrogen sulfide), propane, n-butane, i-butane, iso-octane, methanol, ethanol and ammonia) at temperatures between 500 and 600 degrees Celsius. Several cells have been tested for over 6,000</w:instrText>
      </w:r>
      <w:r w:rsidR="008231CC">
        <w:rPr>
          <w:rFonts w:ascii="Arial" w:eastAsia="Times New Roman" w:hAnsi="Arial" w:cs="Arial"/>
          <w14:ligatures w14:val="none"/>
        </w:rPr>
        <w:instrText> </w:instrText>
      </w:r>
      <w:r w:rsidR="008231CC">
        <w:rPr>
          <w:rFonts w:eastAsia="Times New Roman" w:cs="Times New Roman"/>
          <w14:ligatures w14:val="none"/>
        </w:rPr>
        <w:instrText>hours, and we demonstrate excellent performance and exceptional durability (less than 1.5 per cent degradation per 1,000</w:instrText>
      </w:r>
      <w:r w:rsidR="008231CC">
        <w:rPr>
          <w:rFonts w:ascii="Arial" w:eastAsia="Times New Roman" w:hAnsi="Arial" w:cs="Arial"/>
          <w14:ligatures w14:val="none"/>
        </w:rPr>
        <w:instrText> </w:instrText>
      </w:r>
      <w:r w:rsidR="008231CC">
        <w:rPr>
          <w:rFonts w:eastAsia="Times New Roman" w:cs="Times New Roman"/>
          <w14:ligatures w14:val="none"/>
        </w:rPr>
        <w:instrText xml:space="preserve">hours in most cases) across all fuels without any modifications in the cell composition or architecture. Large fluctuations in temperature are tolerated, and coking is not observed even after thousands of hours of continuous operation. Finally, sulfur, a notorious poison for both low-temperature and high-temperature fuel cells, does not seem to affect the performance of protonic ceramic fuel cells when supplied at levels consistent with commercial fuels. The fuel flexibility and long-term durability demonstrated by the protonic ceramic fuel cell devices highlight the promise of this technology and its potential for commercial application.","container-title":"Nature","DOI":"10.1038/s41586-018-0082-6","ISSN":"1476-4687","issue":"7704","language":"en","license":"2018 Macmillan Publishers Ltd., part of Springer Nature","note":"number: 7704\npublisher: Nature Publishing Group","page":"217-222","source":"www.nature.com","title":"Highly durable, coking and sulfur tolerant, fuel-flexible protonic ceramic fuel cells","volume":"557","author":[{"family":"Duan","given":"Chuancheng"},{"family":"Kee","given":"Robert J."},{"family":"Zhu","given":"Huayang"},{"family":"Karakaya","given":"Canan"},{"family":"Chen","given":"Yachao"},{"family":"Ricote","given":"Sandrine"},{"family":"Jarry","given":"Angelique"},{"family":"Crumlin","given":"Ethan J."},{"family":"Hook","given":"David"},{"family":"Braun","given":"Robert"},{"family":"Sullivan","given":"Neal P."},{"family":"O’Hayre","given":"Ryan"}],"issued":{"date-parts":[["2018",5]]}}}],"schema":"https://github.com/citation-style-language/schema/raw/master/csl-citation.json"} </w:instrText>
      </w:r>
      <w:r>
        <w:rPr>
          <w:rFonts w:eastAsia="Times New Roman" w:cs="Times New Roman"/>
          <w14:ligatures w14:val="none"/>
        </w:rPr>
        <w:fldChar w:fldCharType="separate"/>
      </w:r>
      <w:r w:rsidR="008231CC" w:rsidRPr="008231CC">
        <w:rPr>
          <w:rFonts w:ascii="Aptos" w:hAnsi="Aptos"/>
        </w:rPr>
        <w:t>[12]</w:t>
      </w:r>
      <w:r>
        <w:rPr>
          <w:rFonts w:eastAsia="Times New Roman" w:cs="Times New Roman"/>
          <w14:ligatures w14:val="none"/>
        </w:rPr>
        <w:fldChar w:fldCharType="end"/>
      </w:r>
      <w:r>
        <w:rPr>
          <w:rFonts w:eastAsia="Times New Roman" w:cs="Times New Roman"/>
          <w14:ligatures w14:val="none"/>
        </w:rPr>
        <w:t xml:space="preserve">. </w:t>
      </w:r>
    </w:p>
    <w:p w14:paraId="3C0DB419" w14:textId="77777777" w:rsidR="00E170BA" w:rsidRDefault="00E170BA" w:rsidP="00E170BA">
      <w:pPr>
        <w:pStyle w:val="Heading3"/>
        <w:rPr>
          <w:rFonts w:eastAsia="Times New Roman"/>
        </w:rPr>
      </w:pPr>
      <w:bookmarkStart w:id="21" w:name="_Toc165641051"/>
      <w:r>
        <w:rPr>
          <w:rFonts w:eastAsia="Times New Roman"/>
        </w:rPr>
        <w:lastRenderedPageBreak/>
        <w:t>2.1.3 Challenges and developments in PCFCs</w:t>
      </w:r>
      <w:bookmarkEnd w:id="21"/>
    </w:p>
    <w:p w14:paraId="74C2F341" w14:textId="77777777" w:rsidR="00E170BA" w:rsidRDefault="00E170BA" w:rsidP="00E170BA">
      <w:pPr>
        <w:rPr>
          <w:rFonts w:eastAsia="Times New Roman" w:cs="Times New Roman"/>
          <w14:ligatures w14:val="none"/>
        </w:rPr>
      </w:pPr>
      <w:r>
        <w:rPr>
          <w:rFonts w:eastAsia="Times New Roman" w:cs="Times New Roman"/>
          <w14:ligatures w14:val="none"/>
        </w:rPr>
        <w:t>There are a variety of challenges faced by PCFCs. Some notable challenges include, but are not limited to the following points:</w:t>
      </w:r>
    </w:p>
    <w:p w14:paraId="75FAEC16" w14:textId="532035AA" w:rsidR="00E170BA" w:rsidRDefault="00E170BA" w:rsidP="00E170BA">
      <w:pPr>
        <w:pStyle w:val="ListParagraph"/>
        <w:numPr>
          <w:ilvl w:val="0"/>
          <w:numId w:val="10"/>
        </w:numPr>
        <w:rPr>
          <w:rFonts w:eastAsia="Times New Roman" w:cs="Times New Roman"/>
          <w14:ligatures w14:val="none"/>
        </w:rPr>
      </w:pPr>
      <w:r>
        <w:rPr>
          <w:rFonts w:eastAsia="Times New Roman" w:cs="Times New Roman"/>
          <w14:ligatures w14:val="none"/>
        </w:rPr>
        <w:t xml:space="preserve">Stability and resistance to coking </w:t>
      </w:r>
      <w:r>
        <w:rPr>
          <w:rFonts w:eastAsia="Times New Roman" w:cs="Times New Roman"/>
          <w14:ligatures w14:val="none"/>
        </w:rPr>
        <w:fldChar w:fldCharType="begin"/>
      </w:r>
      <w:r w:rsidR="008231CC">
        <w:rPr>
          <w:rFonts w:eastAsia="Times New Roman" w:cs="Times New Roman"/>
          <w14:ligatures w14:val="none"/>
        </w:rPr>
        <w:instrText xml:space="preserve"> ADDIN ZOTERO_ITEM CSL_CITATION {"citationID":"a2223ii09is","properties":{"formattedCitation":"[13]","plainCitation":"[13]","noteIndex":0},"citationItems":[{"id":187,"uris":["http://zotero.org/users/12063231/items/GPTSEBC5"],"itemData":{"id":187,"type":"article-journal","abstract":"Protonic ceramic electrochemical cells (PCECs) have been intensively studied as the technology that can be employed for power generation, energy storage, and sustainable chemical synthesis. Recently, there have been substantial advances in electrolyte and electrode materials for improving the performance of protonic ceramic fuel cells and protonic ceramic electrolyzers. However, the electrocatalytic materials development for synthesizing chemicals in PCECs has gained less attention, and there is a lack of systematic and fundamental understanding of the PCEC reactor design, reaction mechanisms, and electrode materials. This review comprehensively summarizes and critically evaluates the most up-to-date progress in employing PCECs to synthesize a wide range of chemicals, including ammonia, carbon monoxide, methane, light olefins, and aromatics. Factors that impact the conversion, selectivity, product yield, and energy efficiencies are discussed to provide new insights into designing electrochemical cells, developing electrode materials, and achieving economically viable chemical synthesis. The primary challenges associated with producing chemicals in PCECs are highlighted. Approaches to tackle these challenges are then offered, with a particular focus on deliberately designing electrode materials, aiming to achieve practically valuable product yield and energy efficiency. Finally, perspectives on the future development of PCECs for synthesizing sustainable chemicals are provided.","container-title":"Advanced Science","DOI":"10.1002/advs.202206478","ISSN":"2198-3844","issue":"8","language":"en","license":"© 2023 The Authors. Advanced Science published by Wiley-VCH GmbH","note":"_eprint: https://onlinelibrary.wiley.com/doi/pdf/10.1002/advs.202206478","page":"2206478","source":"Wiley Online Library","title":"Protonic Ceramic Electrochemical Cells for Synthesizing Sustainable Chemicals and Fuels","volume":"10","author":[{"family":"Liu","given":"Fan"},{"family":"Ding","given":"Dong"},{"family":"Duan","given":"Chuancheng"}],"issued":{"date-parts":[["2023"]]}}}],"schema":"https://github.com/citation-style-language/schema/raw/master/csl-citation.json"} </w:instrText>
      </w:r>
      <w:r>
        <w:rPr>
          <w:rFonts w:eastAsia="Times New Roman" w:cs="Times New Roman"/>
          <w14:ligatures w14:val="none"/>
        </w:rPr>
        <w:fldChar w:fldCharType="separate"/>
      </w:r>
      <w:r w:rsidR="008231CC" w:rsidRPr="008231CC">
        <w:rPr>
          <w:rFonts w:ascii="Aptos" w:hAnsi="Aptos"/>
        </w:rPr>
        <w:t>[13]</w:t>
      </w:r>
      <w:r>
        <w:rPr>
          <w:rFonts w:eastAsia="Times New Roman" w:cs="Times New Roman"/>
          <w14:ligatures w14:val="none"/>
        </w:rPr>
        <w:fldChar w:fldCharType="end"/>
      </w:r>
    </w:p>
    <w:p w14:paraId="3640025A" w14:textId="20BA7FC6" w:rsidR="00E170BA" w:rsidRDefault="00E170BA" w:rsidP="00E170BA">
      <w:pPr>
        <w:pStyle w:val="ListParagraph"/>
        <w:numPr>
          <w:ilvl w:val="0"/>
          <w:numId w:val="10"/>
        </w:numPr>
        <w:rPr>
          <w:rFonts w:eastAsia="Times New Roman" w:cs="Times New Roman"/>
          <w14:ligatures w14:val="none"/>
        </w:rPr>
      </w:pPr>
      <w:r>
        <w:rPr>
          <w:rFonts w:eastAsia="Times New Roman" w:cs="Times New Roman"/>
          <w14:ligatures w14:val="none"/>
        </w:rPr>
        <w:t>Applying economic and effective seals across the channels and materials during manufacturing</w:t>
      </w:r>
      <w:r w:rsidRPr="00533012">
        <w:rPr>
          <w:rFonts w:eastAsia="Times New Roman" w:cs="Times New Roman"/>
          <w14:ligatures w14:val="none"/>
        </w:rPr>
        <w:t xml:space="preserve"> </w:t>
      </w:r>
      <w:r w:rsidRPr="00533012">
        <w:rPr>
          <w:rFonts w:eastAsia="Times New Roman" w:cs="Times New Roman"/>
          <w14:ligatures w14:val="none"/>
        </w:rPr>
        <w:fldChar w:fldCharType="begin"/>
      </w:r>
      <w:r w:rsidR="00CA7A9D">
        <w:rPr>
          <w:rFonts w:eastAsia="Times New Roman" w:cs="Times New Roman"/>
          <w14:ligatures w14:val="none"/>
        </w:rPr>
        <w:instrText xml:space="preserve"> ADDIN ZOTERO_ITEM CSL_CITATION {"citationID":"a2d9hs2fbpk","properties":{"formattedCitation":"[20]","plainCitation":"[20]","noteIndex":0},"citationItems":[{"id":83,"uris":["http://zotero.org/users/12063231/items/NHNHNLC2"],"itemData":{"id":83,"type":"article-journal","abstract":"Recent progress in the performance of intermediate temperature (500–600 °C) protonic ceramic fuel cells (PCFCs) has demonstrated both fuel flexibility and increasing power density that approach commercial application requirements. These developments may eventually position the technology as a viable alternative to solid oxide fuel cells (SOFCs) and molten carbonate fuel cells (MCFCs). The PCFCs investigated in this work are based on a BaZr0.8Y0.2O3-δ (BZY20) thin electrolyte supported by BZY20/Ni porous anodes, and a triple conducting cathode material comprised of BaCo0.4Fe0.4Zr0.1Y0.1O3-δ (BCFZY0.1). These cells are prepared using a low-cost solid-state reactive sintering (SSRS) process, and are capable of power densities of 0.156 W cm−2 at 500 °C operating directly from methane fuel. We develop a manufacturing cost model to estimate the Nth generation production costs of PCFC stack technology using high volume manufacturing processes and compare them to the state-of-the-art in SOFC technology. The low-cost cell manufacturing enabled by the SSRS technique compensates for the lower PCFC power density and the trade-off between operating temperature and efficiency enables the use of lower-cost stainless steel materials. PCFC stack production cost estimates are found to be as much as 27–37% lower at 550 °C than SOFCs operating at 800 °C.","container-title":"Journal of Power Sources","DOI":"10.1016/j.jpowsour.2017.09.024","ISSN":"0378-7753","journalAbbreviation":"Journal of Power Sources","page":"65-77","source":"ScienceDirect","title":"Benchmarking the expected stack manufacturing cost of next generation, intermediate-temperature protonic ceramic fuel cells with solid oxide fuel cell technology","volume":"369","author":[{"family":"Dubois","given":"Alexis"},{"family":"Ricote","given":"Sandrine"},{"family":"Braun","given":"Robert J."}],"issued":{"date-parts":[["2017",11,30]]}}}],"schema":"https://github.com/citation-style-language/schema/raw/master/csl-citation.json"} </w:instrText>
      </w:r>
      <w:r w:rsidRPr="00533012">
        <w:rPr>
          <w:rFonts w:eastAsia="Times New Roman" w:cs="Times New Roman"/>
          <w14:ligatures w14:val="none"/>
        </w:rPr>
        <w:fldChar w:fldCharType="separate"/>
      </w:r>
      <w:r w:rsidR="00CA7A9D" w:rsidRPr="00CA7A9D">
        <w:rPr>
          <w:rFonts w:ascii="Aptos" w:hAnsi="Aptos"/>
        </w:rPr>
        <w:t>[20]</w:t>
      </w:r>
      <w:r w:rsidRPr="00533012">
        <w:rPr>
          <w:rFonts w:eastAsia="Times New Roman" w:cs="Times New Roman"/>
          <w14:ligatures w14:val="none"/>
        </w:rPr>
        <w:fldChar w:fldCharType="end"/>
      </w:r>
    </w:p>
    <w:p w14:paraId="50A701FF" w14:textId="067A4CC2" w:rsidR="00E170BA" w:rsidRPr="00533012" w:rsidRDefault="00E170BA" w:rsidP="00E170BA">
      <w:pPr>
        <w:pStyle w:val="ListParagraph"/>
        <w:numPr>
          <w:ilvl w:val="0"/>
          <w:numId w:val="10"/>
        </w:numPr>
        <w:rPr>
          <w:rFonts w:eastAsia="Times New Roman" w:cs="Times New Roman"/>
          <w14:ligatures w14:val="none"/>
        </w:rPr>
      </w:pPr>
      <w:r>
        <w:rPr>
          <w:rFonts w:eastAsia="Times New Roman" w:cs="Times New Roman"/>
          <w14:ligatures w14:val="none"/>
        </w:rPr>
        <w:t>Mismatches in coefficients of thermal expansion (CTE)</w:t>
      </w:r>
      <w:r w:rsidRPr="003A6694">
        <w:rPr>
          <w:rFonts w:eastAsia="Times New Roman" w:cs="Times New Roman"/>
          <w14:ligatures w14:val="none"/>
        </w:rPr>
        <w:t xml:space="preserve"> </w:t>
      </w:r>
      <w:r>
        <w:rPr>
          <w:rFonts w:eastAsia="Times New Roman" w:cs="Times New Roman"/>
          <w14:ligatures w14:val="none"/>
        </w:rPr>
        <w:t xml:space="preserve">resulting in high internal stress </w:t>
      </w:r>
      <w:r>
        <w:rPr>
          <w:rFonts w:eastAsia="Times New Roman" w:cs="Times New Roman"/>
          <w14:ligatures w14:val="none"/>
        </w:rPr>
        <w:fldChar w:fldCharType="begin"/>
      </w:r>
      <w:r w:rsidR="00CA7A9D">
        <w:rPr>
          <w:rFonts w:eastAsia="Times New Roman" w:cs="Times New Roman"/>
          <w14:ligatures w14:val="none"/>
        </w:rPr>
        <w:instrText xml:space="preserve"> ADDIN ZOTERO_ITEM CSL_CITATION {"citationID":"a21abk5hg7s","properties":{"formattedCitation":"[19]","plainCitation":"[19]","noteIndex":0},"citationItems":[{"id":200,"uris":["http://zotero.org/users/12063231/items/N34P65TC"],"itemData":{"id":200,"type":"article-journal","abstract":"Solid oxide fuel cells (SOFCs) and electrolysis cells (SOECs) are promising energy conversion devices, on whose basis green hydrogen energy technologies can be developed to support the transition to a carbon-free future. As compared with oxygen-conducting cells, the operational temperatures of protonic ceramic fuel cells (PCFCs) and electrolysis cells (PCECs) can be reduced by several hundreds of degrees (down to low- and intermediate-temperature ranges of 400–700 °C) while maintaining high performance and efficiency. This is due to the distinctive characteristics of charge carriers for proton-conducting electrolytes. However, despite achieving outstanding lab-scale performance, the prospects for industrial scaling of PCFCs and PCECs remain hazy, at least in the near future, in contrast to commercially available SOFCs and SOECs. In this review, we reveal the reasons for the delayed technological development, which need to be addressed in order to transfer fundamental findings into industrial processes. Possible solutions to the identified problems are also highlighted.","container-title":"Materials Reports: Energy","DOI":"10.1016/j.matre.2022.100158","ISSN":"2666-9358","issue":"4","journalAbbreviation":"Materials Reports: Energy","language":"en","page":"100158","source":"ScienceDirect","title":"Electrolyte materials for protonic ceramic electrochemical cells: Main limitations and potential solutions","title-short":"Electrolyte materials for protonic ceramic electrochemical cells","volume":"2","author":[{"family":"Kasyanova","given":"Anna V."},{"family":"Zvonareva","given":"Inna A."},{"family":"Tarasova","given":"Natalia A."},{"family":"Bi","given":"Lei"},{"family":"Medvedev","given":"Dmitry A."},{"family":"Shao","given":"Zongping"}],"issued":{"date-parts":[["2022",11,1]]}}}],"schema":"https://github.com/citation-style-language/schema/raw/master/csl-citation.json"} </w:instrText>
      </w:r>
      <w:r>
        <w:rPr>
          <w:rFonts w:eastAsia="Times New Roman" w:cs="Times New Roman"/>
          <w14:ligatures w14:val="none"/>
        </w:rPr>
        <w:fldChar w:fldCharType="separate"/>
      </w:r>
      <w:r w:rsidR="00CA7A9D" w:rsidRPr="00CA7A9D">
        <w:rPr>
          <w:rFonts w:ascii="Aptos" w:hAnsi="Aptos"/>
        </w:rPr>
        <w:t>[19]</w:t>
      </w:r>
      <w:r>
        <w:rPr>
          <w:rFonts w:eastAsia="Times New Roman" w:cs="Times New Roman"/>
          <w14:ligatures w14:val="none"/>
        </w:rPr>
        <w:fldChar w:fldCharType="end"/>
      </w:r>
    </w:p>
    <w:p w14:paraId="32048288" w14:textId="77777777" w:rsidR="00E170BA" w:rsidRDefault="00E170BA" w:rsidP="00E170BA">
      <w:pPr>
        <w:rPr>
          <w:rFonts w:eastAsia="Times New Roman" w:cs="Times New Roman"/>
          <w14:ligatures w14:val="none"/>
        </w:rPr>
      </w:pPr>
      <w:r>
        <w:rPr>
          <w:rFonts w:eastAsia="Times New Roman" w:cs="Times New Roman"/>
          <w14:ligatures w14:val="none"/>
        </w:rPr>
        <w:t xml:space="preserve">The lower temperature of PCFCs can help alleviate some of the coking and internal stress, but these issues require advancements in the materials science of the catalyst, </w:t>
      </w:r>
      <w:proofErr w:type="gramStart"/>
      <w:r>
        <w:rPr>
          <w:rFonts w:eastAsia="Times New Roman" w:cs="Times New Roman"/>
          <w14:ligatures w14:val="none"/>
        </w:rPr>
        <w:t>electrolytes</w:t>
      </w:r>
      <w:proofErr w:type="gramEnd"/>
      <w:r>
        <w:rPr>
          <w:rFonts w:eastAsia="Times New Roman" w:cs="Times New Roman"/>
          <w14:ligatures w14:val="none"/>
        </w:rPr>
        <w:t xml:space="preserve"> and electrodes to truly be mitigated.  Issues with seals are much more significant in planar cells than they are in tubular configurations.</w:t>
      </w:r>
    </w:p>
    <w:p w14:paraId="72106EA6" w14:textId="2E0FABB2" w:rsidR="00E170BA" w:rsidRDefault="00E170BA" w:rsidP="000B3277">
      <w:pPr>
        <w:rPr>
          <w:rFonts w:eastAsia="Times New Roman" w:cs="Times New Roman"/>
          <w14:ligatures w14:val="none"/>
        </w:rPr>
      </w:pPr>
      <w:r>
        <w:rPr>
          <w:rFonts w:eastAsia="Times New Roman" w:cs="Times New Roman"/>
          <w14:ligatures w14:val="none"/>
        </w:rPr>
        <w:t xml:space="preserve">Many incredible advancements have been made </w:t>
      </w:r>
      <w:proofErr w:type="gramStart"/>
      <w:r>
        <w:rPr>
          <w:rFonts w:eastAsia="Times New Roman" w:cs="Times New Roman"/>
          <w14:ligatures w14:val="none"/>
        </w:rPr>
        <w:t>with regard to</w:t>
      </w:r>
      <w:proofErr w:type="gramEnd"/>
      <w:r>
        <w:rPr>
          <w:rFonts w:eastAsia="Times New Roman" w:cs="Times New Roman"/>
          <w14:ligatures w14:val="none"/>
        </w:rPr>
        <w:t xml:space="preserve"> improving the materials used in the PEN assembly.</w:t>
      </w:r>
      <w:r w:rsidR="004D5F09">
        <w:rPr>
          <w:rFonts w:eastAsia="Times New Roman" w:cs="Times New Roman"/>
          <w14:ligatures w14:val="none"/>
        </w:rPr>
        <w:t xml:space="preserve"> </w:t>
      </w:r>
      <w:r w:rsidR="005D3AA6">
        <w:rPr>
          <w:rFonts w:eastAsia="Times New Roman" w:cs="Times New Roman"/>
          <w14:ligatures w14:val="none"/>
        </w:rPr>
        <w:t>Some stu</w:t>
      </w:r>
      <w:r w:rsidR="00D877DF">
        <w:rPr>
          <w:rFonts w:eastAsia="Times New Roman" w:cs="Times New Roman"/>
          <w14:ligatures w14:val="none"/>
        </w:rPr>
        <w:t xml:space="preserve">dies focus on manufacturing </w:t>
      </w:r>
      <w:r w:rsidR="00D877DF">
        <w:rPr>
          <w:rFonts w:eastAsia="Times New Roman" w:cs="Times New Roman"/>
          <w14:ligatures w14:val="none"/>
        </w:rPr>
        <w:fldChar w:fldCharType="begin"/>
      </w:r>
      <w:r w:rsidR="00CA7A9D">
        <w:rPr>
          <w:rFonts w:eastAsia="Times New Roman" w:cs="Times New Roman"/>
          <w14:ligatures w14:val="none"/>
        </w:rPr>
        <w:instrText xml:space="preserve"> ADDIN ZOTERO_ITEM CSL_CITATION {"citationID":"a1sddbhece9","properties":{"formattedCitation":"[21]","plainCitation":"[21]","noteIndex":0},"citationItems":[{"id":82,"uris":["http://zotero.org/users/12063231/items/IKMWCGBN"],"itemData":{"id":82,"type":"article-journal","abstract":"Protonic ceramic fuel cells (PCFCs) are clean and efficient power generation devices operating at intermediate temperatures. However, manufacturing difficulties have limited their commercialization, especially for promising tubular PCFCs. Herein, we report a cost-effective 3D printing technique for manufacturing large-area tubular PCFCs (e.g., 15.7 cm2), featured with the use of commercial raw materials, a small amount of binder, and a CO2 laser for rapid in situ drying. The technical advantages enable low-cost material preparation and efficient achievement of exemplary shape/dimension-controlled uniform microstructures in porous anode support, dense electrolyte, and porous cathode. The 3D-printed tubular PCFC (</w:instrText>
      </w:r>
      <w:r w:rsidR="00CA7A9D">
        <w:rPr>
          <w:rFonts w:ascii="Cambria Math" w:eastAsia="Times New Roman" w:hAnsi="Cambria Math" w:cs="Cambria Math"/>
          <w14:ligatures w14:val="none"/>
        </w:rPr>
        <w:instrText>∼</w:instrText>
      </w:r>
      <w:r w:rsidR="00CA7A9D">
        <w:rPr>
          <w:rFonts w:eastAsia="Times New Roman" w:cs="Times New Roman"/>
          <w14:ligatures w14:val="none"/>
        </w:rPr>
        <w:instrText xml:space="preserve">12.5 cm2) exhibits a power output of 2.45 W at 650 °C. Meanwhile, the long-term stability is confirmed during 200 h of operation. This novel 3D printing offers great potential to advance PCFCs from the laboratory to larger scales for realistic applications.","container-title":"ACS Energy Letters","DOI":"10.1021/acsenergylett.3c01345","issue":"8","journalAbbreviation":"ACS Energy Lett.","note":"publisher: American Chemical Society","page":"3545-3551","source":"ACS Publications","title":"3D Printing Enabled Highly Scalable Tubular Protonic Ceramic Fuel Cells","volume":"8","author":[{"family":"Zou","given":"Minda"},{"family":"Conrad","given":"Jacob"},{"family":"Sheridan","given":"Bridget"},{"family":"Zhang","given":"Jiawei"},{"family":"Huang","given":"Hua"},{"family":"Mu","given":"Shenglong"},{"family":"Zhou","given":"Tianyi"},{"family":"Zhao","given":"Zeyu"},{"family":"Brinkman","given":"Kyle S."},{"family":"Xiao","given":"Hai"},{"family":"Peng","given":"Fei"},{"family":"Tong","given":"Jianhua"}],"issued":{"date-parts":[["2023",8,11]]}}}],"schema":"https://github.com/citation-style-language/schema/raw/master/csl-citation.json"} </w:instrText>
      </w:r>
      <w:r w:rsidR="00D877DF">
        <w:rPr>
          <w:rFonts w:eastAsia="Times New Roman" w:cs="Times New Roman"/>
          <w14:ligatures w14:val="none"/>
        </w:rPr>
        <w:fldChar w:fldCharType="separate"/>
      </w:r>
      <w:r w:rsidR="00CA7A9D" w:rsidRPr="00CA7A9D">
        <w:rPr>
          <w:rFonts w:ascii="Aptos" w:hAnsi="Aptos" w:cs="Times New Roman"/>
          <w:kern w:val="0"/>
        </w:rPr>
        <w:t>[21]</w:t>
      </w:r>
      <w:r w:rsidR="00D877DF">
        <w:rPr>
          <w:rFonts w:eastAsia="Times New Roman" w:cs="Times New Roman"/>
          <w14:ligatures w14:val="none"/>
        </w:rPr>
        <w:fldChar w:fldCharType="end"/>
      </w:r>
      <w:r w:rsidR="00D877DF">
        <w:rPr>
          <w:rFonts w:eastAsia="Times New Roman" w:cs="Times New Roman"/>
          <w14:ligatures w14:val="none"/>
        </w:rPr>
        <w:t xml:space="preserve">, while others focus on catalyst </w:t>
      </w:r>
      <w:r w:rsidR="00277635">
        <w:rPr>
          <w:rFonts w:eastAsia="Times New Roman" w:cs="Times New Roman"/>
          <w14:ligatures w14:val="none"/>
        </w:rPr>
        <w:t>development, such as designing for improved selectivit</w:t>
      </w:r>
      <w:r w:rsidR="00B451BF">
        <w:rPr>
          <w:rFonts w:eastAsia="Times New Roman" w:cs="Times New Roman"/>
          <w14:ligatures w14:val="none"/>
        </w:rPr>
        <w:t xml:space="preserve">y of products </w:t>
      </w:r>
      <w:r w:rsidR="00B451BF">
        <w:rPr>
          <w:rFonts w:eastAsia="Times New Roman" w:cs="Times New Roman"/>
          <w14:ligatures w14:val="none"/>
        </w:rPr>
        <w:fldChar w:fldCharType="begin"/>
      </w:r>
      <w:r w:rsidR="00CA7A9D">
        <w:rPr>
          <w:rFonts w:eastAsia="Times New Roman" w:cs="Times New Roman"/>
          <w14:ligatures w14:val="none"/>
        </w:rPr>
        <w:instrText xml:space="preserve"> ADDIN ZOTERO_ITEM CSL_CITATION {"citationID":"a2mm19ipsdk","properties":{"formattedCitation":"[22]","plainCitation":"[22]","noteIndex":0},"citationItems":[{"id":891,"uris":["http://zotero.org/users/12063231/items/LC9NUHIT"],"itemData":{"id":891,"type":"article-journal","abstract":"Protonic ceramic electrochemical cells (PCECs) are solid-state electrochemical devices that employ proton-conducting oxides as electrolytes, which offer a promising approach for electrification of chemical manufacturing, including CO2 reduction to produce value-added chemicals (e.g., CO). The primary advantage of PCECs is their intermediate operating temperatures (300–600 °C), which thermodynamically and kinetically favor the CO2 reduction chemistry at the negative electrode. However, the conventional negative electrodes of PCECs, such as BaZr0.8−xCexY0.2O3-δ-Ni or BaZr0.8−xCexY0.1Yb0.1O3-δ-Ni, cannot reduce CO2 to either CH4 or CO with a selectivity of &gt;99 %, leading to the production of a CO and CH4 mixture. Herein, an oxide-supported in-situ exsolved Ni-Fe alloyed nanoparticle electrocatalyst, Sr2Fe1.4Mo0.5O6-δ-Ni0.175 (SFM-Ni0.175), is first employed as the negative electrode of PCECs. The PCECs equipped with this new negative electrode selectively favor the CO2-to-CO conversion. A selectivity of ~100 % toward CO has been demonstrated over a wide range of operating temperatures (400–600 °C) and applied potentials/current densities. The negative electrode demonstrated in this work fully suppresses the CH4 production. In situ diffuse reflectance infrared spectroscopy (DRIFTS) was performed to probe the CO2 reduction mechanisms over both SFM-Ni0.175 and the traditional negative electrode (BCZYYb7111 +Ni), which indicates SFM-Ni0.175 inhibits the formation of formate species, leading to selective production of CO. This work validates that PCECs equipped with the rationally designed negative electrode can selectively manufacture chemicals.","container-title":"Nano Energy","DOI":"10.1016/j.nanoen.2022.107722","ISSN":"2211-2855","journalAbbreviation":"Nano Energy","page":"107722","source":"ScienceDirect","title":"Rationally designed negative electrode for selective CO2-to-CO conversion in protonic ceramic electrochemical cells","volume":"102","author":[{"family":"Liu","given":"Fan"},{"family":"Fang","given":"Liyang"},{"family":"Diercks","given":"David"},{"family":"Kazempoor","given":"Pejman"},{"family":"Duan","given":"Chuancheng"}],"issued":{"date-parts":[["2022",11,1]]}}}],"schema":"https://github.com/citation-style-language/schema/raw/master/csl-citation.json"} </w:instrText>
      </w:r>
      <w:r w:rsidR="00B451BF">
        <w:rPr>
          <w:rFonts w:eastAsia="Times New Roman" w:cs="Times New Roman"/>
          <w14:ligatures w14:val="none"/>
        </w:rPr>
        <w:fldChar w:fldCharType="separate"/>
      </w:r>
      <w:r w:rsidR="00CA7A9D" w:rsidRPr="00CA7A9D">
        <w:rPr>
          <w:rFonts w:ascii="Aptos" w:hAnsi="Aptos" w:cs="Times New Roman"/>
          <w:kern w:val="0"/>
        </w:rPr>
        <w:t>[22]</w:t>
      </w:r>
      <w:r w:rsidR="00B451BF">
        <w:rPr>
          <w:rFonts w:eastAsia="Times New Roman" w:cs="Times New Roman"/>
          <w14:ligatures w14:val="none"/>
        </w:rPr>
        <w:fldChar w:fldCharType="end"/>
      </w:r>
      <w:r w:rsidR="00B451BF">
        <w:rPr>
          <w:rFonts w:eastAsia="Times New Roman" w:cs="Times New Roman"/>
          <w14:ligatures w14:val="none"/>
        </w:rPr>
        <w:t>.</w:t>
      </w:r>
      <w:r>
        <w:rPr>
          <w:rFonts w:eastAsia="Times New Roman" w:cs="Times New Roman"/>
          <w14:ligatures w14:val="none"/>
        </w:rPr>
        <w:t xml:space="preserve"> </w:t>
      </w:r>
      <w:proofErr w:type="spellStart"/>
      <w:r>
        <w:rPr>
          <w:rFonts w:eastAsia="Times New Roman" w:cs="Times New Roman"/>
          <w14:ligatures w14:val="none"/>
        </w:rPr>
        <w:t>Kasyanova</w:t>
      </w:r>
      <w:proofErr w:type="spellEnd"/>
      <w:r>
        <w:rPr>
          <w:rFonts w:eastAsia="Times New Roman" w:cs="Times New Roman"/>
          <w14:ligatures w14:val="none"/>
        </w:rPr>
        <w:t xml:space="preserve"> et al. wrote a remarkable review discussing the advancements of recent PCFC studies </w:t>
      </w:r>
      <w:r>
        <w:rPr>
          <w:rFonts w:eastAsia="Times New Roman" w:cs="Times New Roman"/>
          <w14:ligatures w14:val="none"/>
        </w:rPr>
        <w:fldChar w:fldCharType="begin"/>
      </w:r>
      <w:r w:rsidR="00CA7A9D">
        <w:rPr>
          <w:rFonts w:eastAsia="Times New Roman" w:cs="Times New Roman"/>
          <w14:ligatures w14:val="none"/>
        </w:rPr>
        <w:instrText xml:space="preserve"> ADDIN ZOTERO_ITEM CSL_CITATION {"citationID":"a10a4226p0q","properties":{"formattedCitation":"[19]","plainCitation":"[19]","noteIndex":0},"citationItems":[{"id":200,"uris":["http://zotero.org/users/12063231/items/N34P65TC"],"itemData":{"id":200,"type":"article-journal","abstract":"Solid oxide fuel cells (SOFCs) and electrolysis cells (SOECs) are promising energy conversion devices, on whose basis green hydrogen energy technologies can be developed to support the transition to a carbon-free future. As compared with oxygen-conducting cells, the operational temperatures of protonic ceramic fuel cells (PCFCs) and electrolysis cells (PCECs) can be reduced by several hundreds of degrees (down to low- and intermediate-temperature ranges of 400–700 °C) while maintaining high performance and efficiency. This is due to the distinctive characteristics of charge carriers for proton-conducting electrolytes. However, despite achieving outstanding lab-scale performance, the prospects for industrial scaling of PCFCs and PCECs remain hazy, at least in the near future, in contrast to commercially available SOFCs and SOECs. In this review, we reveal the reasons for the delayed technological development, which need to be addressed in order to transfer fundamental findings into industrial processes. Possible solutions to the identified problems are also highlighted.","container-title":"Materials Reports: Energy","DOI":"10.1016/j.matre.2022.100158","ISSN":"2666-9358","issue":"4","journalAbbreviation":"Materials Reports: Energy","language":"en","page":"100158","source":"ScienceDirect","title":"Electrolyte materials for protonic ceramic electrochemical cells: Main limitations and potential solutions","title-short":"Electrolyte materials for protonic ceramic electrochemical cells","volume":"2","author":[{"family":"Kasyanova","given":"Anna V."},{"family":"Zvonareva","given":"Inna A."},{"family":"Tarasova","given":"Natalia A."},{"family":"Bi","given":"Lei"},{"family":"Medvedev","given":"Dmitry A."},{"family":"Shao","given":"Zongping"}],"issued":{"date-parts":[["2022",11,1]]}}}],"schema":"https://github.com/citation-style-language/schema/raw/master/csl-citation.json"} </w:instrText>
      </w:r>
      <w:r>
        <w:rPr>
          <w:rFonts w:eastAsia="Times New Roman" w:cs="Times New Roman"/>
          <w14:ligatures w14:val="none"/>
        </w:rPr>
        <w:fldChar w:fldCharType="separate"/>
      </w:r>
      <w:r w:rsidR="00CA7A9D" w:rsidRPr="00CA7A9D">
        <w:rPr>
          <w:rFonts w:ascii="Aptos" w:hAnsi="Aptos"/>
        </w:rPr>
        <w:t>[19]</w:t>
      </w:r>
      <w:r>
        <w:rPr>
          <w:rFonts w:eastAsia="Times New Roman" w:cs="Times New Roman"/>
          <w14:ligatures w14:val="none"/>
        </w:rPr>
        <w:fldChar w:fldCharType="end"/>
      </w:r>
      <w:r>
        <w:rPr>
          <w:rFonts w:eastAsia="Times New Roman" w:cs="Times New Roman"/>
          <w14:ligatures w14:val="none"/>
        </w:rPr>
        <w:t xml:space="preserve">. Some of their referenced studies, along with other works directly applicable to this study are shown below in </w:t>
      </w:r>
      <w:r>
        <w:rPr>
          <w:rFonts w:eastAsia="Times New Roman" w:cs="Times New Roman"/>
          <w14:ligatures w14:val="none"/>
        </w:rPr>
        <w:fldChar w:fldCharType="begin"/>
      </w:r>
      <w:r>
        <w:rPr>
          <w:rFonts w:eastAsia="Times New Roman" w:cs="Times New Roman"/>
          <w14:ligatures w14:val="none"/>
        </w:rPr>
        <w:instrText xml:space="preserve"> REF _Ref163425285 \h </w:instrText>
      </w:r>
      <w:r>
        <w:rPr>
          <w:rFonts w:eastAsia="Times New Roman" w:cs="Times New Roman"/>
          <w14:ligatures w14:val="none"/>
        </w:rPr>
      </w:r>
      <w:r>
        <w:rPr>
          <w:rFonts w:eastAsia="Times New Roman" w:cs="Times New Roman"/>
          <w14:ligatures w14:val="none"/>
        </w:rPr>
        <w:fldChar w:fldCharType="separate"/>
      </w:r>
      <w:r w:rsidR="00490E1D">
        <w:t>Table 1.</w:t>
      </w:r>
      <w:r w:rsidR="00490E1D">
        <w:rPr>
          <w:noProof/>
        </w:rPr>
        <w:t>1</w:t>
      </w:r>
      <w:r>
        <w:rPr>
          <w:rFonts w:eastAsia="Times New Roman" w:cs="Times New Roman"/>
          <w14:ligatures w14:val="none"/>
        </w:rPr>
        <w:fldChar w:fldCharType="end"/>
      </w:r>
      <w:r>
        <w:rPr>
          <w:rFonts w:eastAsia="Times New Roman" w:cs="Times New Roman"/>
          <w14:ligatures w14:val="none"/>
        </w:rPr>
        <w:t>:</w:t>
      </w:r>
    </w:p>
    <w:p w14:paraId="7B71CEF0" w14:textId="77777777" w:rsidR="00E170BA" w:rsidRDefault="00E170BA" w:rsidP="00E170BA">
      <w:pPr>
        <w:pStyle w:val="Caption"/>
        <w:keepNext/>
      </w:pPr>
      <w:bookmarkStart w:id="22" w:name="_Ref163425285"/>
      <w:bookmarkStart w:id="23" w:name="_Toc165641114"/>
      <w:r>
        <w:t>Table 1.</w:t>
      </w:r>
      <w:r>
        <w:fldChar w:fldCharType="begin"/>
      </w:r>
      <w:r>
        <w:instrText xml:space="preserve"> SEQ Table \* ARABIC </w:instrText>
      </w:r>
      <w:r>
        <w:fldChar w:fldCharType="separate"/>
      </w:r>
      <w:r>
        <w:rPr>
          <w:noProof/>
        </w:rPr>
        <w:t>1</w:t>
      </w:r>
      <w:r>
        <w:fldChar w:fldCharType="end"/>
      </w:r>
      <w:bookmarkEnd w:id="22"/>
      <w:r>
        <w:t>: Notable recent works in PCFC experimental studies</w:t>
      </w:r>
      <w:bookmarkEnd w:id="23"/>
    </w:p>
    <w:tbl>
      <w:tblPr>
        <w:tblStyle w:val="TableGrid"/>
        <w:tblW w:w="0" w:type="auto"/>
        <w:jc w:val="center"/>
        <w:tblLayout w:type="fixed"/>
        <w:tblLook w:val="04A0" w:firstRow="1" w:lastRow="0" w:firstColumn="1" w:lastColumn="0" w:noHBand="0" w:noVBand="1"/>
      </w:tblPr>
      <w:tblGrid>
        <w:gridCol w:w="4045"/>
        <w:gridCol w:w="2250"/>
        <w:gridCol w:w="1890"/>
        <w:gridCol w:w="630"/>
        <w:gridCol w:w="535"/>
      </w:tblGrid>
      <w:tr w:rsidR="00E170BA" w:rsidRPr="00782E1C" w14:paraId="4A022886" w14:textId="77777777" w:rsidTr="002E7584">
        <w:trPr>
          <w:jc w:val="center"/>
        </w:trPr>
        <w:tc>
          <w:tcPr>
            <w:tcW w:w="4045" w:type="dxa"/>
            <w:vAlign w:val="center"/>
          </w:tcPr>
          <w:p w14:paraId="581CB81C" w14:textId="77777777" w:rsidR="00E170BA" w:rsidRPr="00A06CC4" w:rsidRDefault="00E170BA" w:rsidP="002E7584">
            <w:pPr>
              <w:pStyle w:val="ListParagraph"/>
              <w:spacing w:line="240" w:lineRule="auto"/>
              <w:ind w:left="69" w:hanging="21"/>
              <w:rPr>
                <w:b/>
                <w:bCs/>
              </w:rPr>
            </w:pPr>
            <w:r w:rsidRPr="00A06CC4">
              <w:rPr>
                <w:b/>
                <w:bCs/>
                <w:sz w:val="18"/>
                <w:szCs w:val="18"/>
              </w:rPr>
              <w:t>Electrolyte (E) and Cathode (C) Compositions</w:t>
            </w:r>
          </w:p>
        </w:tc>
        <w:tc>
          <w:tcPr>
            <w:tcW w:w="2250" w:type="dxa"/>
            <w:vAlign w:val="center"/>
          </w:tcPr>
          <w:p w14:paraId="60CFEBCD" w14:textId="77777777" w:rsidR="00E170BA" w:rsidRPr="00782E1C" w:rsidRDefault="00E170BA" w:rsidP="002E7584">
            <w:pPr>
              <w:spacing w:line="240" w:lineRule="auto"/>
              <w:ind w:firstLine="0"/>
              <w:rPr>
                <w:rFonts w:cs="Times New Roman"/>
                <w:b/>
                <w:bCs/>
                <w:sz w:val="18"/>
                <w:szCs w:val="16"/>
              </w:rPr>
            </w:pPr>
            <w:r w:rsidRPr="00782E1C">
              <w:rPr>
                <w:rFonts w:cs="Times New Roman"/>
                <w:b/>
                <w:bCs/>
                <w:sz w:val="18"/>
                <w:szCs w:val="16"/>
              </w:rPr>
              <w:t>Power Density</w:t>
            </w:r>
          </w:p>
        </w:tc>
        <w:tc>
          <w:tcPr>
            <w:tcW w:w="1890" w:type="dxa"/>
            <w:vAlign w:val="center"/>
          </w:tcPr>
          <w:p w14:paraId="23960B50" w14:textId="77777777" w:rsidR="00E170BA" w:rsidRPr="00782E1C" w:rsidRDefault="00E170BA" w:rsidP="002E7584">
            <w:pPr>
              <w:spacing w:line="240" w:lineRule="auto"/>
              <w:ind w:firstLine="0"/>
              <w:rPr>
                <w:rFonts w:cs="Times New Roman"/>
                <w:b/>
                <w:bCs/>
                <w:sz w:val="18"/>
                <w:szCs w:val="16"/>
              </w:rPr>
            </w:pPr>
            <w:r w:rsidRPr="00782E1C">
              <w:rPr>
                <w:rFonts w:cs="Times New Roman"/>
                <w:b/>
                <w:bCs/>
                <w:sz w:val="18"/>
                <w:szCs w:val="16"/>
              </w:rPr>
              <w:t>Features</w:t>
            </w:r>
          </w:p>
        </w:tc>
        <w:tc>
          <w:tcPr>
            <w:tcW w:w="630" w:type="dxa"/>
            <w:vAlign w:val="center"/>
          </w:tcPr>
          <w:p w14:paraId="4E3CCEDC" w14:textId="77777777" w:rsidR="00E170BA" w:rsidRPr="00782E1C" w:rsidRDefault="00E170BA" w:rsidP="002E7584">
            <w:pPr>
              <w:tabs>
                <w:tab w:val="left" w:pos="157"/>
              </w:tabs>
              <w:spacing w:line="240" w:lineRule="auto"/>
              <w:ind w:firstLine="0"/>
              <w:rPr>
                <w:rFonts w:cs="Times New Roman"/>
                <w:b/>
                <w:bCs/>
                <w:sz w:val="18"/>
                <w:szCs w:val="16"/>
              </w:rPr>
            </w:pPr>
            <w:r w:rsidRPr="00782E1C">
              <w:rPr>
                <w:rFonts w:cs="Times New Roman"/>
                <w:b/>
                <w:bCs/>
                <w:sz w:val="18"/>
                <w:szCs w:val="16"/>
              </w:rPr>
              <w:t>Year</w:t>
            </w:r>
          </w:p>
        </w:tc>
        <w:tc>
          <w:tcPr>
            <w:tcW w:w="535" w:type="dxa"/>
            <w:vAlign w:val="center"/>
          </w:tcPr>
          <w:p w14:paraId="0DD89CC0" w14:textId="77777777" w:rsidR="00E170BA" w:rsidRPr="00782E1C" w:rsidRDefault="00E170BA" w:rsidP="002E7584">
            <w:pPr>
              <w:spacing w:line="240" w:lineRule="auto"/>
              <w:ind w:firstLine="0"/>
              <w:rPr>
                <w:rFonts w:cs="Times New Roman"/>
                <w:b/>
                <w:bCs/>
                <w:sz w:val="18"/>
                <w:szCs w:val="16"/>
              </w:rPr>
            </w:pPr>
            <w:r w:rsidRPr="00782E1C">
              <w:rPr>
                <w:rFonts w:cs="Times New Roman"/>
                <w:b/>
                <w:bCs/>
                <w:sz w:val="18"/>
                <w:szCs w:val="16"/>
              </w:rPr>
              <w:t>Ref</w:t>
            </w:r>
          </w:p>
        </w:tc>
      </w:tr>
      <w:tr w:rsidR="00E170BA" w:rsidRPr="00782E1C" w14:paraId="7340ACF2" w14:textId="77777777" w:rsidTr="002E7584">
        <w:trPr>
          <w:jc w:val="center"/>
        </w:trPr>
        <w:tc>
          <w:tcPr>
            <w:tcW w:w="4045" w:type="dxa"/>
            <w:vAlign w:val="center"/>
          </w:tcPr>
          <w:p w14:paraId="4FD96E0D" w14:textId="77777777" w:rsidR="00E170BA" w:rsidRPr="00782E1C" w:rsidRDefault="00E170BA" w:rsidP="002E7584">
            <w:pPr>
              <w:spacing w:line="240" w:lineRule="auto"/>
              <w:ind w:hanging="21"/>
              <w:rPr>
                <w:rFonts w:eastAsiaTheme="minorEastAsia" w:cs="Times New Roman"/>
                <w:sz w:val="16"/>
                <w:szCs w:val="14"/>
              </w:rPr>
            </w:pPr>
            <w:r w:rsidRPr="00782E1C">
              <w:rPr>
                <w:rFonts w:eastAsiaTheme="minorEastAsia" w:cs="Times New Roman"/>
                <w:sz w:val="16"/>
                <w:szCs w:val="14"/>
              </w:rPr>
              <w:t xml:space="preserve">E: </w:t>
            </w:r>
            <m:oMath>
              <m:r>
                <m:rPr>
                  <m:sty m:val="p"/>
                </m:rPr>
                <w:rPr>
                  <w:rFonts w:ascii="Cambria Math" w:eastAsiaTheme="minorEastAsia" w:hAnsi="Cambria Math" w:cs="Times New Roman"/>
                  <w:sz w:val="16"/>
                  <w:szCs w:val="14"/>
                </w:rPr>
                <m:t>BaC</m:t>
              </m:r>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e</m:t>
                  </m:r>
                </m:e>
                <m:sub>
                  <m:r>
                    <m:rPr>
                      <m:sty m:val="p"/>
                    </m:rPr>
                    <w:rPr>
                      <w:rFonts w:ascii="Cambria Math" w:eastAsiaTheme="minorEastAsia" w:hAnsi="Cambria Math" w:cs="Times New Roman"/>
                      <w:sz w:val="16"/>
                      <w:szCs w:val="14"/>
                    </w:rPr>
                    <m:t>0.55</m:t>
                  </m:r>
                </m:sub>
              </m:sSub>
              <m:r>
                <m:rPr>
                  <m:sty m:val="p"/>
                </m:rPr>
                <w:rPr>
                  <w:rFonts w:ascii="Cambria Math" w:eastAsiaTheme="minorEastAsia" w:hAnsi="Cambria Math" w:cs="Times New Roman"/>
                  <w:sz w:val="16"/>
                  <w:szCs w:val="14"/>
                </w:rPr>
                <m:t>Z</m:t>
              </m:r>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r</m:t>
                  </m:r>
                </m:e>
                <m:sub>
                  <m:r>
                    <m:rPr>
                      <m:sty m:val="p"/>
                    </m:rPr>
                    <w:rPr>
                      <w:rFonts w:ascii="Cambria Math" w:eastAsiaTheme="minorEastAsia" w:hAnsi="Cambria Math" w:cs="Times New Roman"/>
                      <w:sz w:val="16"/>
                      <w:szCs w:val="14"/>
                    </w:rPr>
                    <m:t>0.3</m:t>
                  </m:r>
                </m:sub>
              </m:sSub>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Y</m:t>
                  </m:r>
                </m:e>
                <m:sub>
                  <m:r>
                    <m:rPr>
                      <m:sty m:val="p"/>
                    </m:rPr>
                    <w:rPr>
                      <w:rFonts w:ascii="Cambria Math" w:eastAsiaTheme="minorEastAsia" w:hAnsi="Cambria Math" w:cs="Times New Roman"/>
                      <w:sz w:val="16"/>
                      <w:szCs w:val="14"/>
                    </w:rPr>
                    <m:t>0.15</m:t>
                  </m:r>
                </m:sub>
              </m:sSub>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O</m:t>
                  </m:r>
                </m:e>
                <m:sub>
                  <m:r>
                    <m:rPr>
                      <m:sty m:val="p"/>
                    </m:rPr>
                    <w:rPr>
                      <w:rFonts w:ascii="Cambria Math" w:eastAsiaTheme="minorEastAsia" w:hAnsi="Cambria Math" w:cs="Times New Roman"/>
                      <w:sz w:val="16"/>
                      <w:szCs w:val="14"/>
                    </w:rPr>
                    <m:t>3-δ</m:t>
                  </m:r>
                </m:sub>
              </m:sSub>
              <m:r>
                <m:rPr>
                  <m:sty m:val="p"/>
                </m:rPr>
                <w:rPr>
                  <w:rFonts w:ascii="Cambria Math" w:eastAsiaTheme="minorEastAsia" w:hAnsi="Cambria Math" w:cs="Times New Roman"/>
                  <w:sz w:val="16"/>
                  <w:szCs w:val="14"/>
                </w:rPr>
                <m:t xml:space="preserve"> </m:t>
              </m:r>
              <m:d>
                <m:dPr>
                  <m:ctrlPr>
                    <w:rPr>
                      <w:rFonts w:ascii="Cambria Math" w:eastAsiaTheme="minorEastAsia" w:hAnsi="Cambria Math" w:cs="Times New Roman"/>
                      <w:sz w:val="16"/>
                      <w:szCs w:val="14"/>
                    </w:rPr>
                  </m:ctrlPr>
                </m:dPr>
                <m:e>
                  <m:r>
                    <m:rPr>
                      <m:sty m:val="p"/>
                    </m:rPr>
                    <w:rPr>
                      <w:rFonts w:ascii="Cambria Math" w:eastAsiaTheme="minorEastAsia" w:hAnsi="Cambria Math" w:cs="Times New Roman"/>
                      <w:sz w:val="16"/>
                      <w:szCs w:val="14"/>
                    </w:rPr>
                    <m:t>&lt;5 μm</m:t>
                  </m:r>
                </m:e>
              </m:d>
            </m:oMath>
          </w:p>
          <w:p w14:paraId="635FCC9A" w14:textId="77777777" w:rsidR="00E170BA" w:rsidRPr="00782E1C" w:rsidRDefault="00E170BA" w:rsidP="002E7584">
            <w:pPr>
              <w:spacing w:line="240" w:lineRule="auto"/>
              <w:ind w:hanging="21"/>
              <w:rPr>
                <w:rFonts w:eastAsiaTheme="minorEastAsia" w:cs="Times New Roman"/>
                <w:sz w:val="16"/>
                <w:szCs w:val="14"/>
              </w:rPr>
            </w:pPr>
            <w:r w:rsidRPr="00782E1C">
              <w:rPr>
                <w:rFonts w:eastAsiaTheme="minorEastAsia" w:cs="Times New Roman"/>
                <w:sz w:val="16"/>
                <w:szCs w:val="14"/>
              </w:rPr>
              <w:t xml:space="preserve">C: </w:t>
            </w:r>
            <m:oMath>
              <m:r>
                <m:rPr>
                  <m:sty m:val="p"/>
                </m:rPr>
                <w:rPr>
                  <w:rFonts w:ascii="Cambria Math" w:eastAsiaTheme="minorEastAsia" w:hAnsi="Cambria Math" w:cs="Times New Roman"/>
                  <w:sz w:val="16"/>
                  <w:szCs w:val="14"/>
                </w:rPr>
                <m:t>B</m:t>
              </m:r>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a</m:t>
                  </m:r>
                </m:e>
                <m:sub>
                  <m:r>
                    <m:rPr>
                      <m:sty m:val="p"/>
                    </m:rPr>
                    <w:rPr>
                      <w:rFonts w:ascii="Cambria Math" w:eastAsiaTheme="minorEastAsia" w:hAnsi="Cambria Math" w:cs="Times New Roman"/>
                      <w:sz w:val="16"/>
                      <w:szCs w:val="14"/>
                    </w:rPr>
                    <m:t>0.5</m:t>
                  </m:r>
                </m:sub>
              </m:sSub>
              <m:r>
                <m:rPr>
                  <m:sty m:val="p"/>
                </m:rPr>
                <w:rPr>
                  <w:rFonts w:ascii="Cambria Math" w:eastAsiaTheme="minorEastAsia" w:hAnsi="Cambria Math" w:cs="Times New Roman"/>
                  <w:sz w:val="16"/>
                  <w:szCs w:val="14"/>
                </w:rPr>
                <m:t>BaC</m:t>
              </m:r>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e</m:t>
                  </m:r>
                </m:e>
                <m:sub>
                  <m:r>
                    <m:rPr>
                      <m:sty m:val="p"/>
                    </m:rPr>
                    <w:rPr>
                      <w:rFonts w:ascii="Cambria Math" w:eastAsiaTheme="minorEastAsia" w:hAnsi="Cambria Math" w:cs="Times New Roman"/>
                      <w:sz w:val="16"/>
                      <w:szCs w:val="14"/>
                    </w:rPr>
                    <m:t>0.55</m:t>
                  </m:r>
                </m:sub>
              </m:sSub>
              <m:r>
                <m:rPr>
                  <m:sty m:val="p"/>
                </m:rPr>
                <w:rPr>
                  <w:rFonts w:ascii="Cambria Math" w:eastAsiaTheme="minorEastAsia" w:hAnsi="Cambria Math" w:cs="Times New Roman"/>
                  <w:sz w:val="16"/>
                  <w:szCs w:val="14"/>
                </w:rPr>
                <m:t>Z</m:t>
              </m:r>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r</m:t>
                  </m:r>
                </m:e>
                <m:sub>
                  <m:r>
                    <m:rPr>
                      <m:sty m:val="p"/>
                    </m:rPr>
                    <w:rPr>
                      <w:rFonts w:ascii="Cambria Math" w:eastAsiaTheme="minorEastAsia" w:hAnsi="Cambria Math" w:cs="Times New Roman"/>
                      <w:sz w:val="16"/>
                      <w:szCs w:val="14"/>
                    </w:rPr>
                    <m:t>0.3</m:t>
                  </m:r>
                </m:sub>
              </m:sSub>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Y</m:t>
                  </m:r>
                </m:e>
                <m:sub>
                  <m:r>
                    <m:rPr>
                      <m:sty m:val="p"/>
                    </m:rPr>
                    <w:rPr>
                      <w:rFonts w:ascii="Cambria Math" w:eastAsiaTheme="minorEastAsia" w:hAnsi="Cambria Math" w:cs="Times New Roman"/>
                      <w:sz w:val="16"/>
                      <w:szCs w:val="14"/>
                    </w:rPr>
                    <m:t>0.15</m:t>
                  </m:r>
                </m:sub>
              </m:sSub>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O</m:t>
                  </m:r>
                </m:e>
                <m:sub>
                  <m:r>
                    <m:rPr>
                      <m:sty m:val="p"/>
                    </m:rPr>
                    <w:rPr>
                      <w:rFonts w:ascii="Cambria Math" w:eastAsiaTheme="minorEastAsia" w:hAnsi="Cambria Math" w:cs="Times New Roman"/>
                      <w:sz w:val="16"/>
                      <w:szCs w:val="14"/>
                    </w:rPr>
                    <m:t>3-δ</m:t>
                  </m:r>
                </m:sub>
              </m:sSub>
              <m:r>
                <m:rPr>
                  <m:sty m:val="p"/>
                </m:rPr>
                <w:rPr>
                  <w:rFonts w:ascii="Cambria Math" w:eastAsiaTheme="minorEastAsia" w:hAnsi="Cambria Math" w:cs="Times New Roman"/>
                  <w:sz w:val="16"/>
                  <w:szCs w:val="14"/>
                </w:rPr>
                <m:t>S</m:t>
              </m:r>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r</m:t>
                  </m:r>
                </m:e>
                <m:sub>
                  <m:r>
                    <m:rPr>
                      <m:sty m:val="p"/>
                    </m:rPr>
                    <w:rPr>
                      <w:rFonts w:ascii="Cambria Math" w:eastAsiaTheme="minorEastAsia" w:hAnsi="Cambria Math" w:cs="Times New Roman"/>
                      <w:sz w:val="16"/>
                      <w:szCs w:val="14"/>
                    </w:rPr>
                    <m:t>0.5</m:t>
                  </m:r>
                </m:sub>
              </m:sSub>
              <m:r>
                <m:rPr>
                  <m:sty m:val="p"/>
                </m:rPr>
                <w:rPr>
                  <w:rFonts w:ascii="Cambria Math" w:eastAsiaTheme="minorEastAsia" w:hAnsi="Cambria Math" w:cs="Times New Roman"/>
                  <w:sz w:val="16"/>
                  <w:szCs w:val="14"/>
                </w:rPr>
                <m:t>C</m:t>
              </m:r>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o</m:t>
                  </m:r>
                </m:e>
                <m:sub>
                  <m:r>
                    <m:rPr>
                      <m:sty m:val="p"/>
                    </m:rPr>
                    <w:rPr>
                      <w:rFonts w:ascii="Cambria Math" w:eastAsiaTheme="minorEastAsia" w:hAnsi="Cambria Math" w:cs="Times New Roman"/>
                      <w:sz w:val="16"/>
                      <w:szCs w:val="14"/>
                    </w:rPr>
                    <m:t>0.8</m:t>
                  </m:r>
                </m:sub>
              </m:sSub>
              <m:r>
                <m:rPr>
                  <m:sty m:val="p"/>
                </m:rPr>
                <w:rPr>
                  <w:rFonts w:ascii="Cambria Math" w:eastAsiaTheme="minorEastAsia" w:hAnsi="Cambria Math" w:cs="Times New Roman"/>
                  <w:sz w:val="16"/>
                  <w:szCs w:val="14"/>
                </w:rPr>
                <m:t>F</m:t>
              </m:r>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e</m:t>
                  </m:r>
                </m:e>
                <m:sub>
                  <m:r>
                    <m:rPr>
                      <m:sty m:val="p"/>
                    </m:rPr>
                    <w:rPr>
                      <w:rFonts w:ascii="Cambria Math" w:eastAsiaTheme="minorEastAsia" w:hAnsi="Cambria Math" w:cs="Times New Roman"/>
                      <w:sz w:val="16"/>
                      <w:szCs w:val="14"/>
                    </w:rPr>
                    <m:t>0.2</m:t>
                  </m:r>
                </m:sub>
              </m:sSub>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O</m:t>
                  </m:r>
                </m:e>
                <m:sub>
                  <m:r>
                    <m:rPr>
                      <m:sty m:val="p"/>
                    </m:rPr>
                    <w:rPr>
                      <w:rFonts w:ascii="Cambria Math" w:eastAsiaTheme="minorEastAsia" w:hAnsi="Cambria Math" w:cs="Times New Roman"/>
                      <w:sz w:val="16"/>
                      <w:szCs w:val="14"/>
                    </w:rPr>
                    <m:t>3-δ</m:t>
                  </m:r>
                </m:sub>
              </m:sSub>
            </m:oMath>
          </w:p>
        </w:tc>
        <w:tc>
          <w:tcPr>
            <w:tcW w:w="2250" w:type="dxa"/>
            <w:vAlign w:val="center"/>
          </w:tcPr>
          <w:p w14:paraId="6D390EA7" w14:textId="77777777" w:rsidR="00E170BA" w:rsidRPr="00782E1C" w:rsidRDefault="00E170BA" w:rsidP="002E7584">
            <w:pPr>
              <w:spacing w:line="240" w:lineRule="auto"/>
              <w:ind w:firstLine="0"/>
              <w:rPr>
                <w:rFonts w:eastAsia="Calibri" w:cs="Times New Roman"/>
                <w:sz w:val="16"/>
                <w:szCs w:val="14"/>
              </w:rPr>
            </w:pPr>
            <m:oMath>
              <m:r>
                <m:rPr>
                  <m:sty m:val="p"/>
                </m:rPr>
                <w:rPr>
                  <w:rFonts w:ascii="Cambria Math" w:eastAsia="Calibri" w:hAnsi="Cambria Math" w:cs="Times New Roman"/>
                  <w:sz w:val="16"/>
                  <w:szCs w:val="14"/>
                </w:rPr>
                <m:t>500 °C:535 mW/c</m:t>
              </m:r>
              <m:sSup>
                <m:sSupPr>
                  <m:ctrlPr>
                    <w:rPr>
                      <w:rFonts w:ascii="Cambria Math" w:eastAsia="Calibri" w:hAnsi="Cambria Math" w:cs="Times New Roman"/>
                      <w:sz w:val="16"/>
                      <w:szCs w:val="14"/>
                    </w:rPr>
                  </m:ctrlPr>
                </m:sSupPr>
                <m:e>
                  <m:r>
                    <m:rPr>
                      <m:sty m:val="p"/>
                    </m:rPr>
                    <w:rPr>
                      <w:rFonts w:ascii="Cambria Math" w:eastAsia="Calibri" w:hAnsi="Cambria Math" w:cs="Times New Roman"/>
                      <w:sz w:val="16"/>
                      <w:szCs w:val="14"/>
                    </w:rPr>
                    <m:t>m</m:t>
                  </m:r>
                </m:e>
                <m:sup>
                  <m:r>
                    <m:rPr>
                      <m:sty m:val="p"/>
                    </m:rPr>
                    <w:rPr>
                      <w:rFonts w:ascii="Cambria Math" w:eastAsia="Calibri" w:hAnsi="Cambria Math" w:cs="Times New Roman"/>
                      <w:sz w:val="16"/>
                      <w:szCs w:val="14"/>
                    </w:rPr>
                    <m:t>2</m:t>
                  </m:r>
                </m:sup>
              </m:sSup>
            </m:oMath>
            <w:r w:rsidRPr="00782E1C">
              <w:rPr>
                <w:rFonts w:eastAsia="Calibri" w:cs="Times New Roman"/>
                <w:sz w:val="16"/>
                <w:szCs w:val="14"/>
              </w:rPr>
              <w:t xml:space="preserve"> </w:t>
            </w:r>
          </w:p>
          <w:p w14:paraId="40F40D49" w14:textId="77777777" w:rsidR="00E170BA" w:rsidRPr="00782E1C" w:rsidRDefault="00E170BA" w:rsidP="002E7584">
            <w:pPr>
              <w:spacing w:line="240" w:lineRule="auto"/>
              <w:ind w:firstLine="0"/>
              <w:rPr>
                <w:rFonts w:eastAsia="Calibri" w:cs="Times New Roman"/>
                <w:sz w:val="16"/>
                <w:szCs w:val="14"/>
              </w:rPr>
            </w:pPr>
            <m:oMath>
              <m:r>
                <m:rPr>
                  <m:sty m:val="p"/>
                </m:rPr>
                <w:rPr>
                  <w:rFonts w:ascii="Cambria Math" w:eastAsia="Calibri" w:hAnsi="Cambria Math" w:cs="Times New Roman"/>
                  <w:sz w:val="16"/>
                  <w:szCs w:val="14"/>
                </w:rPr>
                <m:t>600 °C:1302 mW/c</m:t>
              </m:r>
              <m:sSup>
                <m:sSupPr>
                  <m:ctrlPr>
                    <w:rPr>
                      <w:rFonts w:ascii="Cambria Math" w:eastAsia="Calibri" w:hAnsi="Cambria Math" w:cs="Times New Roman"/>
                      <w:sz w:val="16"/>
                      <w:szCs w:val="14"/>
                    </w:rPr>
                  </m:ctrlPr>
                </m:sSupPr>
                <m:e>
                  <m:r>
                    <m:rPr>
                      <m:sty m:val="p"/>
                    </m:rPr>
                    <w:rPr>
                      <w:rFonts w:ascii="Cambria Math" w:eastAsia="Calibri" w:hAnsi="Cambria Math" w:cs="Times New Roman"/>
                      <w:sz w:val="16"/>
                      <w:szCs w:val="14"/>
                    </w:rPr>
                    <m:t>m</m:t>
                  </m:r>
                </m:e>
                <m:sup>
                  <m:r>
                    <m:rPr>
                      <m:sty m:val="p"/>
                    </m:rPr>
                    <w:rPr>
                      <w:rFonts w:ascii="Cambria Math" w:eastAsia="Calibri" w:hAnsi="Cambria Math" w:cs="Times New Roman"/>
                      <w:sz w:val="16"/>
                      <w:szCs w:val="14"/>
                    </w:rPr>
                    <m:t>2</m:t>
                  </m:r>
                </m:sup>
              </m:sSup>
            </m:oMath>
            <w:r w:rsidRPr="00782E1C">
              <w:rPr>
                <w:rFonts w:eastAsia="Calibri" w:cs="Times New Roman"/>
                <w:sz w:val="16"/>
                <w:szCs w:val="14"/>
              </w:rPr>
              <w:t xml:space="preserve"> </w:t>
            </w:r>
          </w:p>
        </w:tc>
        <w:tc>
          <w:tcPr>
            <w:tcW w:w="1890" w:type="dxa"/>
            <w:vAlign w:val="center"/>
          </w:tcPr>
          <w:p w14:paraId="6DAE83A8" w14:textId="77777777" w:rsidR="00E170BA" w:rsidRPr="00782E1C" w:rsidRDefault="00E170BA" w:rsidP="002E7584">
            <w:pPr>
              <w:spacing w:line="240" w:lineRule="auto"/>
              <w:ind w:firstLine="0"/>
              <w:rPr>
                <w:rFonts w:cs="Times New Roman"/>
                <w:sz w:val="16"/>
                <w:szCs w:val="14"/>
              </w:rPr>
            </w:pPr>
            <w:r w:rsidRPr="00782E1C">
              <w:rPr>
                <w:rFonts w:eastAsia="Calibri" w:cs="Times New Roman"/>
                <w:sz w:val="16"/>
                <w:szCs w:val="14"/>
              </w:rPr>
              <w:t xml:space="preserve">High performance, low stability/durability in a </w:t>
            </w:r>
            <m:oMath>
              <m:r>
                <m:rPr>
                  <m:sty m:val="p"/>
                </m:rPr>
                <w:rPr>
                  <w:rFonts w:ascii="Cambria Math" w:hAnsi="Cambria Math" w:cs="Times New Roman"/>
                  <w:sz w:val="16"/>
                  <w:szCs w:val="14"/>
                </w:rPr>
                <m:t>5x5 c</m:t>
              </m:r>
              <m:sSup>
                <m:sSupPr>
                  <m:ctrlPr>
                    <w:rPr>
                      <w:rFonts w:ascii="Cambria Math" w:hAnsi="Cambria Math" w:cs="Times New Roman"/>
                      <w:sz w:val="16"/>
                      <w:szCs w:val="14"/>
                    </w:rPr>
                  </m:ctrlPr>
                </m:sSupPr>
                <m:e>
                  <m:r>
                    <m:rPr>
                      <m:sty m:val="p"/>
                    </m:rPr>
                    <w:rPr>
                      <w:rFonts w:ascii="Cambria Math" w:hAnsi="Cambria Math" w:cs="Times New Roman"/>
                      <w:sz w:val="16"/>
                      <w:szCs w:val="14"/>
                    </w:rPr>
                    <m:t>m</m:t>
                  </m:r>
                </m:e>
                <m:sup>
                  <m:r>
                    <m:rPr>
                      <m:sty m:val="p"/>
                    </m:rPr>
                    <w:rPr>
                      <w:rFonts w:ascii="Cambria Math" w:hAnsi="Cambria Math" w:cs="Times New Roman"/>
                      <w:sz w:val="16"/>
                      <w:szCs w:val="14"/>
                    </w:rPr>
                    <m:t>2</m:t>
                  </m:r>
                </m:sup>
              </m:sSup>
            </m:oMath>
            <w:r w:rsidRPr="00782E1C">
              <w:rPr>
                <w:rFonts w:eastAsiaTheme="minorEastAsia" w:cs="Times New Roman"/>
                <w:sz w:val="16"/>
                <w:szCs w:val="14"/>
              </w:rPr>
              <w:t xml:space="preserve"> working area</w:t>
            </w:r>
          </w:p>
        </w:tc>
        <w:tc>
          <w:tcPr>
            <w:tcW w:w="630" w:type="dxa"/>
            <w:vAlign w:val="center"/>
          </w:tcPr>
          <w:p w14:paraId="5AFDB193" w14:textId="77777777" w:rsidR="00E170BA" w:rsidRPr="00782E1C" w:rsidRDefault="00E170BA" w:rsidP="002E7584">
            <w:pPr>
              <w:tabs>
                <w:tab w:val="left" w:pos="157"/>
              </w:tabs>
              <w:spacing w:line="240" w:lineRule="auto"/>
              <w:ind w:firstLine="0"/>
              <w:rPr>
                <w:rFonts w:cs="Times New Roman"/>
                <w:sz w:val="16"/>
                <w:szCs w:val="14"/>
              </w:rPr>
            </w:pPr>
            <w:r w:rsidRPr="00782E1C">
              <w:rPr>
                <w:rFonts w:cs="Times New Roman"/>
                <w:sz w:val="16"/>
                <w:szCs w:val="14"/>
              </w:rPr>
              <w:t>2018</w:t>
            </w:r>
          </w:p>
        </w:tc>
        <w:tc>
          <w:tcPr>
            <w:tcW w:w="535" w:type="dxa"/>
            <w:vAlign w:val="center"/>
          </w:tcPr>
          <w:p w14:paraId="519243D2" w14:textId="6E8C1A33" w:rsidR="00E170BA" w:rsidRPr="00782E1C" w:rsidRDefault="00E170BA" w:rsidP="002E7584">
            <w:pPr>
              <w:spacing w:line="240" w:lineRule="auto"/>
              <w:ind w:firstLine="0"/>
              <w:rPr>
                <w:rFonts w:cs="Times New Roman"/>
                <w:sz w:val="16"/>
                <w:szCs w:val="14"/>
              </w:rPr>
            </w:pPr>
            <w:r w:rsidRPr="00782E1C">
              <w:rPr>
                <w:rFonts w:cs="Times New Roman"/>
                <w:sz w:val="16"/>
                <w:szCs w:val="14"/>
              </w:rPr>
              <w:fldChar w:fldCharType="begin"/>
            </w:r>
            <w:r w:rsidR="00CA7A9D">
              <w:rPr>
                <w:rFonts w:cs="Times New Roman"/>
                <w:sz w:val="16"/>
                <w:szCs w:val="14"/>
              </w:rPr>
              <w:instrText xml:space="preserve"> ADDIN ZOTERO_ITEM CSL_CITATION {"citationID":"fc0IpYfS","properties":{"formattedCitation":"[23]","plainCitation":"[23]","noteIndex":0},"citationItems":[{"id":191,"uris":["http://zotero.org/users/12063231/items/N9LJUB7L"],"itemData":{"id":191,"type":"article-journal","abstract":"In spite of various advantages of protonic ceramic fuel cells over conventional fuel cells, distinct scepticism currently remains about their applicability because of lower-than-predicted performance and difficulty with scale-up. These challenges mainly stem from the refractory nature of proton-conducting ceramic electrolytes and the low chemical stability of these materials during the sintering process. Here, we present the fabrication of a physically thin, structurally dense and chemically homogeneous electrolyte, BaCe0.55Zr0.3Y0.15O3-δ (BCZY3), through a facile anode-assisted densification of the electrolyte on a structurally and compositionally uniform anode support, which resulted in breakthroughs in performance and scalability. A BCZY3-based protonic ceramic fuel cell with a size of 5</w:instrText>
            </w:r>
            <w:r w:rsidR="00CA7A9D">
              <w:rPr>
                <w:rFonts w:ascii="Arial" w:hAnsi="Arial" w:cs="Arial"/>
                <w:sz w:val="16"/>
                <w:szCs w:val="14"/>
              </w:rPr>
              <w:instrText> </w:instrText>
            </w:r>
            <w:r w:rsidR="00CA7A9D">
              <w:rPr>
                <w:rFonts w:ascii="Aptos" w:hAnsi="Aptos" w:cs="Aptos"/>
                <w:sz w:val="16"/>
                <w:szCs w:val="14"/>
              </w:rPr>
              <w:instrText>×</w:instrText>
            </w:r>
            <w:r w:rsidR="00CA7A9D">
              <w:rPr>
                <w:rFonts w:ascii="Arial" w:hAnsi="Arial" w:cs="Arial"/>
                <w:sz w:val="16"/>
                <w:szCs w:val="14"/>
              </w:rPr>
              <w:instrText> </w:instrText>
            </w:r>
            <w:r w:rsidR="00CA7A9D">
              <w:rPr>
                <w:rFonts w:cs="Times New Roman"/>
                <w:sz w:val="16"/>
                <w:szCs w:val="14"/>
              </w:rPr>
              <w:instrText>5</w:instrText>
            </w:r>
            <w:r w:rsidR="00CA7A9D">
              <w:rPr>
                <w:rFonts w:ascii="Arial" w:hAnsi="Arial" w:cs="Arial"/>
                <w:sz w:val="16"/>
                <w:szCs w:val="14"/>
              </w:rPr>
              <w:instrText> </w:instrText>
            </w:r>
            <w:r w:rsidR="00CA7A9D">
              <w:rPr>
                <w:rFonts w:cs="Times New Roman"/>
                <w:sz w:val="16"/>
                <w:szCs w:val="14"/>
              </w:rPr>
              <w:instrText>cm2 exhibits an area-specific ohmic resistance of 0.09</w:instrText>
            </w:r>
            <w:r w:rsidR="00CA7A9D">
              <w:rPr>
                <w:rFonts w:ascii="Arial" w:hAnsi="Arial" w:cs="Arial"/>
                <w:sz w:val="16"/>
                <w:szCs w:val="14"/>
              </w:rPr>
              <w:instrText> </w:instrText>
            </w:r>
            <w:r w:rsidR="00CA7A9D">
              <w:rPr>
                <w:rFonts w:ascii="Aptos" w:hAnsi="Aptos" w:cs="Aptos"/>
                <w:sz w:val="16"/>
                <w:szCs w:val="14"/>
              </w:rPr>
              <w:instrText>Ω</w:instrText>
            </w:r>
            <w:r w:rsidR="00CA7A9D">
              <w:rPr>
                <w:rFonts w:ascii="Arial" w:hAnsi="Arial" w:cs="Arial"/>
                <w:sz w:val="16"/>
                <w:szCs w:val="14"/>
              </w:rPr>
              <w:instrText> </w:instrText>
            </w:r>
            <w:r w:rsidR="00CA7A9D">
              <w:rPr>
                <w:rFonts w:cs="Times New Roman"/>
                <w:sz w:val="16"/>
                <w:szCs w:val="14"/>
              </w:rPr>
              <w:instrText>cm2 and delivers a power as high as 20.8</w:instrText>
            </w:r>
            <w:r w:rsidR="00CA7A9D">
              <w:rPr>
                <w:rFonts w:ascii="Arial" w:hAnsi="Arial" w:cs="Arial"/>
                <w:sz w:val="16"/>
                <w:szCs w:val="14"/>
              </w:rPr>
              <w:instrText> </w:instrText>
            </w:r>
            <w:r w:rsidR="00CA7A9D">
              <w:rPr>
                <w:rFonts w:cs="Times New Roman"/>
                <w:sz w:val="16"/>
                <w:szCs w:val="14"/>
              </w:rPr>
              <w:instrText>W per single cell at 600</w:instrText>
            </w:r>
            <w:r w:rsidR="00CA7A9D">
              <w:rPr>
                <w:rFonts w:ascii="Arial" w:hAnsi="Arial" w:cs="Arial"/>
                <w:sz w:val="16"/>
                <w:szCs w:val="14"/>
              </w:rPr>
              <w:instrText> </w:instrText>
            </w:r>
            <w:r w:rsidR="00CA7A9D">
              <w:rPr>
                <w:rFonts w:ascii="Aptos" w:hAnsi="Aptos" w:cs="Aptos"/>
                <w:sz w:val="16"/>
                <w:szCs w:val="14"/>
              </w:rPr>
              <w:instrText>°</w:instrText>
            </w:r>
            <w:r w:rsidR="00CA7A9D">
              <w:rPr>
                <w:rFonts w:cs="Times New Roman"/>
                <w:sz w:val="16"/>
                <w:szCs w:val="14"/>
              </w:rPr>
              <w:instrText xml:space="preserve">C.","container-title":"Nature Energy","DOI":"10.1038/s41560-018-0230-0","ISSN":"2058-7546","issue":"10","journalAbbreviation":"Nat Energy","language":"en","license":"2018 The Author(s)","note":"number: 10\npublisher: Nature Publishing Group","page":"870-875","source":"www.nature.com","title":"A 5 </w:instrText>
            </w:r>
            <w:r w:rsidR="00CA7A9D">
              <w:rPr>
                <w:rFonts w:ascii="Aptos" w:hAnsi="Aptos" w:cs="Aptos"/>
                <w:sz w:val="16"/>
                <w:szCs w:val="14"/>
              </w:rPr>
              <w:instrText>×</w:instrText>
            </w:r>
            <w:r w:rsidR="00CA7A9D">
              <w:rPr>
                <w:rFonts w:cs="Times New Roman"/>
                <w:sz w:val="16"/>
                <w:szCs w:val="14"/>
              </w:rPr>
              <w:instrText xml:space="preserve"> 5 cm2 protonic ceramic fuel cell with a power density of 1.3 W cm–2 at 600 °C","volume":"3","author":[{"family":"An","given":"Hyegsoon"},{"family":"Lee","given":"Hae-Weon"},{"family":"Kim","given":"Byung-Kook"},{"family":"Son","given":"Ji-Won"},{"family":"Yoon","given":"Kyung Joong"},{"family":"Kim","given":"Hyoungchul"},{"family":"Shin","given":"Dongwook"},{"family":"Ji","given":"Ho-Il"},{"family":"Lee","given":"Jong-Ho"}],"issued":{"date-parts":[["2018",10]]}}}],"schema":"https://github.com/citation-style-language/schema/raw/master/csl-citation.json"} </w:instrText>
            </w:r>
            <w:r w:rsidRPr="00782E1C">
              <w:rPr>
                <w:rFonts w:cs="Times New Roman"/>
                <w:sz w:val="16"/>
                <w:szCs w:val="14"/>
              </w:rPr>
              <w:fldChar w:fldCharType="separate"/>
            </w:r>
            <w:r w:rsidR="00CA7A9D" w:rsidRPr="00CA7A9D">
              <w:rPr>
                <w:rFonts w:ascii="Aptos" w:hAnsi="Aptos"/>
                <w:sz w:val="16"/>
              </w:rPr>
              <w:t>[23]</w:t>
            </w:r>
            <w:r w:rsidRPr="00782E1C">
              <w:rPr>
                <w:rFonts w:cs="Times New Roman"/>
                <w:sz w:val="16"/>
                <w:szCs w:val="14"/>
              </w:rPr>
              <w:fldChar w:fldCharType="end"/>
            </w:r>
            <w:r w:rsidRPr="00782E1C">
              <w:rPr>
                <w:rFonts w:cs="Times New Roman"/>
                <w:sz w:val="16"/>
                <w:szCs w:val="14"/>
              </w:rPr>
              <w:t xml:space="preserve"> </w:t>
            </w:r>
          </w:p>
        </w:tc>
      </w:tr>
      <w:tr w:rsidR="00E170BA" w:rsidRPr="00782E1C" w14:paraId="19788206" w14:textId="77777777" w:rsidTr="002E7584">
        <w:trPr>
          <w:jc w:val="center"/>
        </w:trPr>
        <w:tc>
          <w:tcPr>
            <w:tcW w:w="4045" w:type="dxa"/>
            <w:vAlign w:val="center"/>
          </w:tcPr>
          <w:p w14:paraId="1337C211" w14:textId="77777777" w:rsidR="00E170BA" w:rsidRPr="00782E1C" w:rsidRDefault="00E170BA" w:rsidP="002E7584">
            <w:pPr>
              <w:spacing w:line="240" w:lineRule="auto"/>
              <w:ind w:hanging="21"/>
              <w:rPr>
                <w:rFonts w:eastAsiaTheme="minorEastAsia" w:cs="Times New Roman"/>
                <w:sz w:val="16"/>
                <w:szCs w:val="14"/>
              </w:rPr>
            </w:pPr>
            <w:r w:rsidRPr="00782E1C">
              <w:rPr>
                <w:rFonts w:eastAsiaTheme="minorEastAsia" w:cs="Times New Roman"/>
                <w:sz w:val="16"/>
                <w:szCs w:val="14"/>
              </w:rPr>
              <w:t xml:space="preserve">E: </w:t>
            </w:r>
            <m:oMath>
              <m:r>
                <m:rPr>
                  <m:sty m:val="p"/>
                </m:rPr>
                <w:rPr>
                  <w:rFonts w:ascii="Cambria Math" w:hAnsi="Cambria Math" w:cs="Times New Roman"/>
                  <w:sz w:val="16"/>
                  <w:szCs w:val="14"/>
                </w:rPr>
                <m:t>BaC</m:t>
              </m:r>
              <m:sSub>
                <m:sSubPr>
                  <m:ctrlPr>
                    <w:rPr>
                      <w:rFonts w:ascii="Cambria Math" w:hAnsi="Cambria Math" w:cs="Times New Roman"/>
                      <w:sz w:val="16"/>
                      <w:szCs w:val="14"/>
                    </w:rPr>
                  </m:ctrlPr>
                </m:sSubPr>
                <m:e>
                  <m:r>
                    <m:rPr>
                      <m:sty m:val="p"/>
                    </m:rPr>
                    <w:rPr>
                      <w:rFonts w:ascii="Cambria Math" w:hAnsi="Cambria Math" w:cs="Times New Roman"/>
                      <w:sz w:val="16"/>
                      <w:szCs w:val="14"/>
                    </w:rPr>
                    <m:t>e</m:t>
                  </m:r>
                </m:e>
                <m:sub>
                  <m:r>
                    <m:rPr>
                      <m:sty m:val="p"/>
                    </m:rPr>
                    <w:rPr>
                      <w:rFonts w:ascii="Cambria Math" w:hAnsi="Cambria Math" w:cs="Times New Roman"/>
                      <w:sz w:val="16"/>
                      <w:szCs w:val="14"/>
                    </w:rPr>
                    <m:t>0.7</m:t>
                  </m:r>
                </m:sub>
              </m:sSub>
              <m:r>
                <m:rPr>
                  <m:sty m:val="p"/>
                </m:rPr>
                <w:rPr>
                  <w:rFonts w:ascii="Cambria Math" w:hAnsi="Cambria Math" w:cs="Times New Roman"/>
                  <w:sz w:val="16"/>
                  <w:szCs w:val="14"/>
                </w:rPr>
                <m:t>Z</m:t>
              </m:r>
              <m:sSub>
                <m:sSubPr>
                  <m:ctrlPr>
                    <w:rPr>
                      <w:rFonts w:ascii="Cambria Math" w:hAnsi="Cambria Math" w:cs="Times New Roman"/>
                      <w:sz w:val="16"/>
                      <w:szCs w:val="14"/>
                    </w:rPr>
                  </m:ctrlPr>
                </m:sSubPr>
                <m:e>
                  <m:r>
                    <m:rPr>
                      <m:sty m:val="p"/>
                    </m:rPr>
                    <w:rPr>
                      <w:rFonts w:ascii="Cambria Math" w:hAnsi="Cambria Math" w:cs="Times New Roman"/>
                      <w:sz w:val="16"/>
                      <w:szCs w:val="14"/>
                    </w:rPr>
                    <m:t>r</m:t>
                  </m:r>
                </m:e>
                <m:sub>
                  <m:r>
                    <m:rPr>
                      <m:sty m:val="p"/>
                    </m:rPr>
                    <w:rPr>
                      <w:rFonts w:ascii="Cambria Math" w:hAnsi="Cambria Math" w:cs="Times New Roman"/>
                      <w:sz w:val="16"/>
                      <w:szCs w:val="14"/>
                    </w:rPr>
                    <m:t>0.1</m:t>
                  </m:r>
                </m:sub>
              </m:sSub>
              <m:sSub>
                <m:sSubPr>
                  <m:ctrlPr>
                    <w:rPr>
                      <w:rFonts w:ascii="Cambria Math" w:hAnsi="Cambria Math" w:cs="Times New Roman"/>
                      <w:sz w:val="16"/>
                      <w:szCs w:val="14"/>
                    </w:rPr>
                  </m:ctrlPr>
                </m:sSubPr>
                <m:e>
                  <m:r>
                    <m:rPr>
                      <m:sty m:val="p"/>
                    </m:rPr>
                    <w:rPr>
                      <w:rFonts w:ascii="Cambria Math" w:hAnsi="Cambria Math" w:cs="Times New Roman"/>
                      <w:sz w:val="16"/>
                      <w:szCs w:val="14"/>
                    </w:rPr>
                    <m:t>Y</m:t>
                  </m:r>
                </m:e>
                <m:sub>
                  <m:r>
                    <m:rPr>
                      <m:sty m:val="p"/>
                    </m:rPr>
                    <w:rPr>
                      <w:rFonts w:ascii="Cambria Math" w:hAnsi="Cambria Math" w:cs="Times New Roman"/>
                      <w:sz w:val="16"/>
                      <w:szCs w:val="14"/>
                    </w:rPr>
                    <m:t>0.2</m:t>
                  </m:r>
                </m:sub>
              </m:sSub>
              <m:sSub>
                <m:sSubPr>
                  <m:ctrlPr>
                    <w:rPr>
                      <w:rFonts w:ascii="Cambria Math" w:hAnsi="Cambria Math" w:cs="Times New Roman"/>
                      <w:sz w:val="16"/>
                      <w:szCs w:val="14"/>
                    </w:rPr>
                  </m:ctrlPr>
                </m:sSubPr>
                <m:e>
                  <m:r>
                    <m:rPr>
                      <m:sty m:val="p"/>
                    </m:rPr>
                    <w:rPr>
                      <w:rFonts w:ascii="Cambria Math" w:hAnsi="Cambria Math" w:cs="Times New Roman"/>
                      <w:sz w:val="16"/>
                      <w:szCs w:val="14"/>
                    </w:rPr>
                    <m:t>O</m:t>
                  </m:r>
                </m:e>
                <m:sub>
                  <m:r>
                    <m:rPr>
                      <m:sty m:val="p"/>
                    </m:rPr>
                    <w:rPr>
                      <w:rFonts w:ascii="Cambria Math" w:hAnsi="Cambria Math" w:cs="Times New Roman"/>
                      <w:sz w:val="16"/>
                      <w:szCs w:val="14"/>
                    </w:rPr>
                    <m:t>3-δ</m:t>
                  </m:r>
                </m:sub>
              </m:sSub>
            </m:oMath>
            <w:r w:rsidRPr="00782E1C">
              <w:rPr>
                <w:rFonts w:eastAsiaTheme="minorEastAsia" w:cs="Times New Roman"/>
                <w:sz w:val="16"/>
                <w:szCs w:val="14"/>
              </w:rPr>
              <w:t xml:space="preserve"> (10 </w:t>
            </w:r>
            <m:oMath>
              <m:r>
                <m:rPr>
                  <m:sty m:val="p"/>
                </m:rPr>
                <w:rPr>
                  <w:rFonts w:ascii="Cambria Math" w:eastAsiaTheme="minorEastAsia" w:hAnsi="Cambria Math" w:cs="Times New Roman"/>
                  <w:sz w:val="16"/>
                  <w:szCs w:val="14"/>
                </w:rPr>
                <m:t>μ</m:t>
              </m:r>
            </m:oMath>
            <w:r w:rsidRPr="00782E1C">
              <w:rPr>
                <w:rFonts w:eastAsiaTheme="minorEastAsia" w:cs="Times New Roman"/>
                <w:sz w:val="16"/>
                <w:szCs w:val="14"/>
              </w:rPr>
              <w:t>m)</w:t>
            </w:r>
          </w:p>
          <w:p w14:paraId="5D1CCD48" w14:textId="77777777" w:rsidR="00E170BA" w:rsidRPr="00782E1C" w:rsidRDefault="00E170BA" w:rsidP="002E7584">
            <w:pPr>
              <w:spacing w:line="240" w:lineRule="auto"/>
              <w:ind w:hanging="21"/>
              <w:rPr>
                <w:rFonts w:cs="Times New Roman"/>
                <w:sz w:val="16"/>
                <w:szCs w:val="14"/>
              </w:rPr>
            </w:pPr>
            <w:r w:rsidRPr="00782E1C">
              <w:rPr>
                <w:rFonts w:cs="Times New Roman"/>
                <w:sz w:val="16"/>
                <w:szCs w:val="14"/>
              </w:rPr>
              <w:t xml:space="preserve">C: </w:t>
            </w:r>
            <m:oMath>
              <m:r>
                <m:rPr>
                  <m:sty m:val="p"/>
                </m:rPr>
                <w:rPr>
                  <w:rFonts w:ascii="Cambria Math" w:hAnsi="Cambria Math" w:cs="Times New Roman"/>
                  <w:sz w:val="16"/>
                  <w:szCs w:val="14"/>
                </w:rPr>
                <m:t>L</m:t>
              </m:r>
              <m:sSub>
                <m:sSubPr>
                  <m:ctrlPr>
                    <w:rPr>
                      <w:rFonts w:ascii="Cambria Math" w:hAnsi="Cambria Math" w:cs="Times New Roman"/>
                      <w:sz w:val="16"/>
                      <w:szCs w:val="14"/>
                    </w:rPr>
                  </m:ctrlPr>
                </m:sSubPr>
                <m:e>
                  <m:r>
                    <m:rPr>
                      <m:sty m:val="p"/>
                    </m:rPr>
                    <w:rPr>
                      <w:rFonts w:ascii="Cambria Math" w:hAnsi="Cambria Math" w:cs="Times New Roman"/>
                      <w:sz w:val="16"/>
                      <w:szCs w:val="14"/>
                    </w:rPr>
                    <m:t>a</m:t>
                  </m:r>
                </m:e>
                <m:sub>
                  <m:r>
                    <m:rPr>
                      <m:sty m:val="p"/>
                    </m:rPr>
                    <w:rPr>
                      <w:rFonts w:ascii="Cambria Math" w:hAnsi="Cambria Math" w:cs="Times New Roman"/>
                      <w:sz w:val="16"/>
                      <w:szCs w:val="14"/>
                    </w:rPr>
                    <m:t>0.5</m:t>
                  </m:r>
                </m:sub>
              </m:sSub>
              <m:r>
                <m:rPr>
                  <m:sty m:val="p"/>
                </m:rPr>
                <w:rPr>
                  <w:rFonts w:ascii="Cambria Math" w:hAnsi="Cambria Math" w:cs="Times New Roman"/>
                  <w:sz w:val="16"/>
                  <w:szCs w:val="14"/>
                </w:rPr>
                <m:t>S</m:t>
              </m:r>
              <m:sSub>
                <m:sSubPr>
                  <m:ctrlPr>
                    <w:rPr>
                      <w:rFonts w:ascii="Cambria Math" w:hAnsi="Cambria Math" w:cs="Times New Roman"/>
                      <w:sz w:val="16"/>
                      <w:szCs w:val="14"/>
                    </w:rPr>
                  </m:ctrlPr>
                </m:sSubPr>
                <m:e>
                  <m:r>
                    <m:rPr>
                      <m:sty m:val="p"/>
                    </m:rPr>
                    <w:rPr>
                      <w:rFonts w:ascii="Cambria Math" w:hAnsi="Cambria Math" w:cs="Times New Roman"/>
                      <w:sz w:val="16"/>
                      <w:szCs w:val="14"/>
                    </w:rPr>
                    <m:t>r</m:t>
                  </m:r>
                </m:e>
                <m:sub>
                  <m:r>
                    <m:rPr>
                      <m:sty m:val="p"/>
                    </m:rPr>
                    <w:rPr>
                      <w:rFonts w:ascii="Cambria Math" w:hAnsi="Cambria Math" w:cs="Times New Roman"/>
                      <w:sz w:val="16"/>
                      <w:szCs w:val="14"/>
                    </w:rPr>
                    <m:t>0.5</m:t>
                  </m:r>
                </m:sub>
              </m:sSub>
              <m:r>
                <m:rPr>
                  <m:sty m:val="p"/>
                </m:rPr>
                <w:rPr>
                  <w:rFonts w:ascii="Cambria Math" w:hAnsi="Cambria Math" w:cs="Times New Roman"/>
                  <w:sz w:val="16"/>
                  <w:szCs w:val="14"/>
                </w:rPr>
                <m:t>F</m:t>
              </m:r>
              <m:sSub>
                <m:sSubPr>
                  <m:ctrlPr>
                    <w:rPr>
                      <w:rFonts w:ascii="Cambria Math" w:hAnsi="Cambria Math" w:cs="Times New Roman"/>
                      <w:sz w:val="16"/>
                      <w:szCs w:val="14"/>
                    </w:rPr>
                  </m:ctrlPr>
                </m:sSubPr>
                <m:e>
                  <m:r>
                    <m:rPr>
                      <m:sty m:val="p"/>
                    </m:rPr>
                    <w:rPr>
                      <w:rFonts w:ascii="Cambria Math" w:hAnsi="Cambria Math" w:cs="Times New Roman"/>
                      <w:sz w:val="16"/>
                      <w:szCs w:val="14"/>
                    </w:rPr>
                    <m:t>e</m:t>
                  </m:r>
                </m:e>
                <m:sub>
                  <m:r>
                    <m:rPr>
                      <m:sty m:val="p"/>
                    </m:rPr>
                    <w:rPr>
                      <w:rFonts w:ascii="Cambria Math" w:hAnsi="Cambria Math" w:cs="Times New Roman"/>
                      <w:sz w:val="16"/>
                      <w:szCs w:val="14"/>
                    </w:rPr>
                    <m:t>0.9</m:t>
                  </m:r>
                </m:sub>
              </m:sSub>
              <m:r>
                <m:rPr>
                  <m:sty m:val="p"/>
                </m:rPr>
                <w:rPr>
                  <w:rFonts w:ascii="Cambria Math" w:hAnsi="Cambria Math" w:cs="Times New Roman"/>
                  <w:sz w:val="16"/>
                  <w:szCs w:val="14"/>
                </w:rPr>
                <m:t>M</m:t>
              </m:r>
              <m:sSub>
                <m:sSubPr>
                  <m:ctrlPr>
                    <w:rPr>
                      <w:rFonts w:ascii="Cambria Math" w:hAnsi="Cambria Math" w:cs="Times New Roman"/>
                      <w:sz w:val="16"/>
                      <w:szCs w:val="14"/>
                    </w:rPr>
                  </m:ctrlPr>
                </m:sSubPr>
                <m:e>
                  <m:r>
                    <m:rPr>
                      <m:sty m:val="p"/>
                    </m:rPr>
                    <w:rPr>
                      <w:rFonts w:ascii="Cambria Math" w:hAnsi="Cambria Math" w:cs="Times New Roman"/>
                      <w:sz w:val="16"/>
                      <w:szCs w:val="14"/>
                    </w:rPr>
                    <m:t>o</m:t>
                  </m:r>
                </m:e>
                <m:sub>
                  <m:r>
                    <m:rPr>
                      <m:sty m:val="p"/>
                    </m:rPr>
                    <w:rPr>
                      <w:rFonts w:ascii="Cambria Math" w:hAnsi="Cambria Math" w:cs="Times New Roman"/>
                      <w:sz w:val="16"/>
                      <w:szCs w:val="14"/>
                    </w:rPr>
                    <m:t>0.1</m:t>
                  </m:r>
                </m:sub>
              </m:sSub>
              <m:sSub>
                <m:sSubPr>
                  <m:ctrlPr>
                    <w:rPr>
                      <w:rFonts w:ascii="Cambria Math" w:hAnsi="Cambria Math" w:cs="Times New Roman"/>
                      <w:sz w:val="16"/>
                      <w:szCs w:val="14"/>
                    </w:rPr>
                  </m:ctrlPr>
                </m:sSubPr>
                <m:e>
                  <m:r>
                    <m:rPr>
                      <m:sty m:val="p"/>
                    </m:rPr>
                    <w:rPr>
                      <w:rFonts w:ascii="Cambria Math" w:hAnsi="Cambria Math" w:cs="Times New Roman"/>
                      <w:sz w:val="16"/>
                      <w:szCs w:val="14"/>
                    </w:rPr>
                    <m:t>O</m:t>
                  </m:r>
                </m:e>
                <m:sub>
                  <m:r>
                    <m:rPr>
                      <m:sty m:val="p"/>
                    </m:rPr>
                    <w:rPr>
                      <w:rFonts w:ascii="Cambria Math" w:hAnsi="Cambria Math" w:cs="Times New Roman"/>
                      <w:sz w:val="16"/>
                      <w:szCs w:val="14"/>
                    </w:rPr>
                    <m:t>3-δ</m:t>
                  </m:r>
                </m:sub>
              </m:sSub>
            </m:oMath>
          </w:p>
        </w:tc>
        <w:tc>
          <w:tcPr>
            <w:tcW w:w="2250" w:type="dxa"/>
            <w:vAlign w:val="center"/>
          </w:tcPr>
          <w:p w14:paraId="34FC2B75" w14:textId="77777777" w:rsidR="00E170BA" w:rsidRPr="00782E1C" w:rsidRDefault="00E170BA" w:rsidP="002E7584">
            <w:pPr>
              <w:spacing w:line="240" w:lineRule="auto"/>
              <w:ind w:firstLine="0"/>
              <w:rPr>
                <w:rFonts w:eastAsiaTheme="minorEastAsia" w:cs="Times New Roman"/>
                <w:sz w:val="16"/>
                <w:szCs w:val="14"/>
              </w:rPr>
            </w:pPr>
            <m:oMath>
              <m:r>
                <m:rPr>
                  <m:sty m:val="p"/>
                </m:rPr>
                <w:rPr>
                  <w:rFonts w:ascii="Cambria Math" w:hAnsi="Cambria Math" w:cs="Times New Roman"/>
                  <w:sz w:val="16"/>
                  <w:szCs w:val="14"/>
                </w:rPr>
                <m:t>650 °C</m:t>
              </m:r>
              <m:r>
                <m:rPr>
                  <m:sty m:val="p"/>
                </m:rPr>
                <w:rPr>
                  <w:rFonts w:ascii="Cambria Math" w:eastAsiaTheme="minorEastAsia" w:hAnsi="Cambria Math" w:cs="Times New Roman"/>
                  <w:sz w:val="16"/>
                  <w:szCs w:val="14"/>
                </w:rPr>
                <m:t>:851 mW/c</m:t>
              </m:r>
              <m:sSup>
                <m:sSupPr>
                  <m:ctrlPr>
                    <w:rPr>
                      <w:rFonts w:ascii="Cambria Math" w:eastAsiaTheme="minorEastAsia" w:hAnsi="Cambria Math" w:cs="Times New Roman"/>
                      <w:sz w:val="16"/>
                      <w:szCs w:val="14"/>
                    </w:rPr>
                  </m:ctrlPr>
                </m:sSupPr>
                <m:e>
                  <m:r>
                    <m:rPr>
                      <m:sty m:val="p"/>
                    </m:rPr>
                    <w:rPr>
                      <w:rFonts w:ascii="Cambria Math" w:eastAsiaTheme="minorEastAsia" w:hAnsi="Cambria Math" w:cs="Times New Roman"/>
                      <w:sz w:val="16"/>
                      <w:szCs w:val="14"/>
                    </w:rPr>
                    <m:t>m</m:t>
                  </m:r>
                </m:e>
                <m:sup>
                  <m:r>
                    <m:rPr>
                      <m:sty m:val="p"/>
                    </m:rPr>
                    <w:rPr>
                      <w:rFonts w:ascii="Cambria Math" w:eastAsiaTheme="minorEastAsia" w:hAnsi="Cambria Math" w:cs="Times New Roman"/>
                      <w:sz w:val="16"/>
                      <w:szCs w:val="14"/>
                    </w:rPr>
                    <m:t>2</m:t>
                  </m:r>
                </m:sup>
              </m:sSup>
            </m:oMath>
            <w:r w:rsidRPr="00782E1C">
              <w:rPr>
                <w:rFonts w:eastAsiaTheme="minorEastAsia" w:cs="Times New Roman"/>
                <w:sz w:val="16"/>
                <w:szCs w:val="14"/>
              </w:rPr>
              <w:t xml:space="preserve"> </w:t>
            </w:r>
          </w:p>
          <w:p w14:paraId="491BFB59" w14:textId="77777777" w:rsidR="00E170BA" w:rsidRPr="00782E1C" w:rsidRDefault="00E170BA" w:rsidP="002E7584">
            <w:pPr>
              <w:spacing w:line="240" w:lineRule="auto"/>
              <w:ind w:firstLine="0"/>
              <w:rPr>
                <w:rFonts w:cs="Times New Roman"/>
                <w:sz w:val="16"/>
                <w:szCs w:val="14"/>
              </w:rPr>
            </w:pPr>
            <m:oMath>
              <m:r>
                <m:rPr>
                  <m:sty m:val="p"/>
                </m:rPr>
                <w:rPr>
                  <w:rFonts w:ascii="Cambria Math" w:hAnsi="Cambria Math" w:cs="Times New Roman"/>
                  <w:sz w:val="16"/>
                  <w:szCs w:val="14"/>
                </w:rPr>
                <m:t>700 °C:1174 mW/c</m:t>
              </m:r>
              <m:sSup>
                <m:sSupPr>
                  <m:ctrlPr>
                    <w:rPr>
                      <w:rFonts w:ascii="Cambria Math" w:hAnsi="Cambria Math" w:cs="Times New Roman"/>
                      <w:sz w:val="16"/>
                      <w:szCs w:val="14"/>
                    </w:rPr>
                  </m:ctrlPr>
                </m:sSupPr>
                <m:e>
                  <m:r>
                    <m:rPr>
                      <m:sty m:val="p"/>
                    </m:rPr>
                    <w:rPr>
                      <w:rFonts w:ascii="Cambria Math" w:hAnsi="Cambria Math" w:cs="Times New Roman"/>
                      <w:sz w:val="16"/>
                      <w:szCs w:val="14"/>
                    </w:rPr>
                    <m:t>m</m:t>
                  </m:r>
                </m:e>
                <m:sup>
                  <m:r>
                    <m:rPr>
                      <m:sty m:val="p"/>
                    </m:rPr>
                    <w:rPr>
                      <w:rFonts w:ascii="Cambria Math" w:hAnsi="Cambria Math" w:cs="Times New Roman"/>
                      <w:sz w:val="16"/>
                      <w:szCs w:val="14"/>
                    </w:rPr>
                    <m:t>2</m:t>
                  </m:r>
                </m:sup>
              </m:sSup>
            </m:oMath>
            <w:r w:rsidRPr="00782E1C">
              <w:rPr>
                <w:rFonts w:eastAsiaTheme="minorEastAsia" w:cs="Times New Roman"/>
                <w:sz w:val="16"/>
                <w:szCs w:val="14"/>
              </w:rPr>
              <w:t xml:space="preserve"> </w:t>
            </w:r>
          </w:p>
        </w:tc>
        <w:tc>
          <w:tcPr>
            <w:tcW w:w="1890" w:type="dxa"/>
            <w:vAlign w:val="center"/>
          </w:tcPr>
          <w:p w14:paraId="518668FC" w14:textId="77777777" w:rsidR="00E170BA" w:rsidRPr="00782E1C" w:rsidRDefault="00E170BA" w:rsidP="002E7584">
            <w:pPr>
              <w:spacing w:line="240" w:lineRule="auto"/>
              <w:ind w:firstLine="0"/>
              <w:rPr>
                <w:rFonts w:cs="Times New Roman"/>
                <w:sz w:val="16"/>
                <w:szCs w:val="14"/>
              </w:rPr>
            </w:pPr>
            <w:r w:rsidRPr="00782E1C">
              <w:rPr>
                <w:rFonts w:cs="Times New Roman"/>
                <w:sz w:val="16"/>
                <w:szCs w:val="14"/>
              </w:rPr>
              <w:t xml:space="preserve">Modification of </w:t>
            </w:r>
            <m:oMath>
              <m:r>
                <m:rPr>
                  <m:sty m:val="p"/>
                </m:rPr>
                <w:rPr>
                  <w:rFonts w:ascii="Cambria Math" w:hAnsi="Cambria Math" w:cs="Times New Roman"/>
                  <w:sz w:val="16"/>
                  <w:szCs w:val="14"/>
                </w:rPr>
                <m:t>L</m:t>
              </m:r>
              <m:sSub>
                <m:sSubPr>
                  <m:ctrlPr>
                    <w:rPr>
                      <w:rFonts w:ascii="Cambria Math" w:hAnsi="Cambria Math" w:cs="Times New Roman"/>
                      <w:sz w:val="16"/>
                      <w:szCs w:val="14"/>
                    </w:rPr>
                  </m:ctrlPr>
                </m:sSubPr>
                <m:e>
                  <m:r>
                    <m:rPr>
                      <m:sty m:val="p"/>
                    </m:rPr>
                    <w:rPr>
                      <w:rFonts w:ascii="Cambria Math" w:hAnsi="Cambria Math" w:cs="Times New Roman"/>
                      <w:sz w:val="16"/>
                      <w:szCs w:val="14"/>
                    </w:rPr>
                    <m:t>a</m:t>
                  </m:r>
                </m:e>
                <m:sub>
                  <m:r>
                    <m:rPr>
                      <m:sty m:val="p"/>
                    </m:rPr>
                    <w:rPr>
                      <w:rFonts w:ascii="Cambria Math" w:hAnsi="Cambria Math" w:cs="Times New Roman"/>
                      <w:sz w:val="16"/>
                      <w:szCs w:val="14"/>
                    </w:rPr>
                    <m:t>0.5</m:t>
                  </m:r>
                </m:sub>
              </m:sSub>
              <m:r>
                <m:rPr>
                  <m:sty m:val="p"/>
                </m:rPr>
                <w:rPr>
                  <w:rFonts w:ascii="Cambria Math" w:hAnsi="Cambria Math" w:cs="Times New Roman"/>
                  <w:sz w:val="16"/>
                  <w:szCs w:val="14"/>
                </w:rPr>
                <m:t>S</m:t>
              </m:r>
              <m:sSub>
                <m:sSubPr>
                  <m:ctrlPr>
                    <w:rPr>
                      <w:rFonts w:ascii="Cambria Math" w:hAnsi="Cambria Math" w:cs="Times New Roman"/>
                      <w:sz w:val="16"/>
                      <w:szCs w:val="14"/>
                    </w:rPr>
                  </m:ctrlPr>
                </m:sSubPr>
                <m:e>
                  <m:r>
                    <m:rPr>
                      <m:sty m:val="p"/>
                    </m:rPr>
                    <w:rPr>
                      <w:rFonts w:ascii="Cambria Math" w:hAnsi="Cambria Math" w:cs="Times New Roman"/>
                      <w:sz w:val="16"/>
                      <w:szCs w:val="14"/>
                    </w:rPr>
                    <m:t>r</m:t>
                  </m:r>
                </m:e>
                <m:sub>
                  <m:r>
                    <m:rPr>
                      <m:sty m:val="p"/>
                    </m:rPr>
                    <w:rPr>
                      <w:rFonts w:ascii="Cambria Math" w:hAnsi="Cambria Math" w:cs="Times New Roman"/>
                      <w:sz w:val="16"/>
                      <w:szCs w:val="14"/>
                    </w:rPr>
                    <m:t>0.5</m:t>
                  </m:r>
                </m:sub>
              </m:sSub>
              <m:r>
                <m:rPr>
                  <m:sty m:val="p"/>
                </m:rPr>
                <w:rPr>
                  <w:rFonts w:ascii="Cambria Math" w:hAnsi="Cambria Math" w:cs="Times New Roman"/>
                  <w:sz w:val="16"/>
                  <w:szCs w:val="14"/>
                </w:rPr>
                <m:t>Fe</m:t>
              </m:r>
              <m:sSub>
                <m:sSubPr>
                  <m:ctrlPr>
                    <w:rPr>
                      <w:rFonts w:ascii="Cambria Math" w:hAnsi="Cambria Math" w:cs="Times New Roman"/>
                      <w:sz w:val="16"/>
                      <w:szCs w:val="14"/>
                    </w:rPr>
                  </m:ctrlPr>
                </m:sSubPr>
                <m:e>
                  <m:r>
                    <m:rPr>
                      <m:sty m:val="p"/>
                    </m:rPr>
                    <w:rPr>
                      <w:rFonts w:ascii="Cambria Math" w:hAnsi="Cambria Math" w:cs="Times New Roman"/>
                      <w:sz w:val="16"/>
                      <w:szCs w:val="14"/>
                    </w:rPr>
                    <m:t>O</m:t>
                  </m:r>
                </m:e>
                <m:sub>
                  <m:r>
                    <m:rPr>
                      <m:sty m:val="p"/>
                    </m:rPr>
                    <w:rPr>
                      <w:rFonts w:ascii="Cambria Math" w:hAnsi="Cambria Math" w:cs="Times New Roman"/>
                      <w:sz w:val="16"/>
                      <w:szCs w:val="14"/>
                    </w:rPr>
                    <m:t>3-δ</m:t>
                  </m:r>
                </m:sub>
              </m:sSub>
            </m:oMath>
            <w:r w:rsidRPr="00782E1C">
              <w:rPr>
                <w:rFonts w:eastAsiaTheme="minorEastAsia" w:cs="Times New Roman"/>
                <w:sz w:val="16"/>
                <w:szCs w:val="14"/>
              </w:rPr>
              <w:t xml:space="preserve"> with molybdenum</w:t>
            </w:r>
          </w:p>
        </w:tc>
        <w:tc>
          <w:tcPr>
            <w:tcW w:w="630" w:type="dxa"/>
            <w:vAlign w:val="center"/>
          </w:tcPr>
          <w:p w14:paraId="2C767BB7" w14:textId="77777777" w:rsidR="00E170BA" w:rsidRPr="00782E1C" w:rsidRDefault="00E170BA" w:rsidP="002E7584">
            <w:pPr>
              <w:tabs>
                <w:tab w:val="left" w:pos="157"/>
              </w:tabs>
              <w:spacing w:line="240" w:lineRule="auto"/>
              <w:ind w:firstLine="0"/>
              <w:rPr>
                <w:rFonts w:cs="Times New Roman"/>
                <w:sz w:val="16"/>
                <w:szCs w:val="14"/>
              </w:rPr>
            </w:pPr>
            <w:r w:rsidRPr="00782E1C">
              <w:rPr>
                <w:rFonts w:cs="Times New Roman"/>
                <w:sz w:val="16"/>
                <w:szCs w:val="14"/>
              </w:rPr>
              <w:t>2021</w:t>
            </w:r>
          </w:p>
        </w:tc>
        <w:tc>
          <w:tcPr>
            <w:tcW w:w="535" w:type="dxa"/>
            <w:vAlign w:val="center"/>
          </w:tcPr>
          <w:p w14:paraId="5874F219" w14:textId="7C54EB92" w:rsidR="00E170BA" w:rsidRPr="00782E1C" w:rsidRDefault="00E170BA" w:rsidP="002E7584">
            <w:pPr>
              <w:spacing w:line="240" w:lineRule="auto"/>
              <w:ind w:firstLine="0"/>
              <w:rPr>
                <w:rFonts w:cs="Times New Roman"/>
                <w:sz w:val="16"/>
                <w:szCs w:val="14"/>
              </w:rPr>
            </w:pPr>
            <w:r w:rsidRPr="00782E1C">
              <w:rPr>
                <w:rFonts w:cs="Times New Roman"/>
                <w:sz w:val="16"/>
                <w:szCs w:val="14"/>
              </w:rPr>
              <w:fldChar w:fldCharType="begin"/>
            </w:r>
            <w:r w:rsidR="00CA7A9D">
              <w:rPr>
                <w:rFonts w:cs="Times New Roman"/>
                <w:sz w:val="16"/>
                <w:szCs w:val="14"/>
              </w:rPr>
              <w:instrText xml:space="preserve"> ADDIN ZOTERO_ITEM CSL_CITATION {"citationID":"ONwLA6wr","properties":{"formattedCitation":"[24]","plainCitation":"[24]","noteIndex":0},"citationItems":[{"id":182,"uris":["http://zotero.org/users/12063231/items/FW2JNM5M"],"itemData":{"id":182,"type":"article-journal","abstract":"Tailoring the electronic structure of the perovskite oxide could potentially allow dramatic improvements in the properties of cathode materials in proton-conducting solid oxide fuel cells (SOFCs). This has been demonstrated in the case of Mo-doped La0.5Sr0.5FeO3-δ, where the electronic structure of the La0.5Sr0.5FeO3-δ oxide has been changed with the Mo-doping, leading to a less strong metal-oxygen bond as well as a more active surface towards oxygen reduction. As a result, the more active oxygen atoms make the formation of oxygen vacancy and hydration that are critical for protonation more feasible. Furthermore, the electric field induced by Mo-doping provides an additional driving force for the movement of protons, accelerating the proton migrations in the oxide and thus improving the cathode performance. With the Mo-doped La0.5Sr0.5FeO3-δ as the cathode, a proton-conducting SOFC exhibits an impressive fuel cell output of 1174 mW cm−2 at 700 °C that surpasses most of the cells using similar types of cathodes. This study not only provides a proper cathode material without involving cobalt and barium elements but also gives an understanding of the design of the cathode by tailoring the electronic structures.","container-title":"Journal of Power Sources","DOI":"10.1016/j.jpowsour.2021.229486","ISSN":"0378-7753","journalAbbreviation":"Journal of Power Sources","language":"en","page":"229486","source":"ScienceDirect","title":"Tailoring electronic structure of perovskite cathode for proton-conducting solid oxide fuel cells with high performance","volume":"489","author":[{"family":"Xu","given":"Xi"},{"family":"Xu","given":"Yangsen"},{"family":"Ma","given":"Jinming"},{"family":"Yin","given":"Yanru"},{"family":"Fronzi","given":"Marco"},{"family":"Wang","given":"Xianfen"},{"family":"Bi","given":"Lei"}],"issued":{"date-parts":[["2021",3,31]]}}}],"schema":"https://github.com/citation-style-language/schema/raw/master/csl-citation.json"} </w:instrText>
            </w:r>
            <w:r w:rsidRPr="00782E1C">
              <w:rPr>
                <w:rFonts w:cs="Times New Roman"/>
                <w:sz w:val="16"/>
                <w:szCs w:val="14"/>
              </w:rPr>
              <w:fldChar w:fldCharType="separate"/>
            </w:r>
            <w:r w:rsidR="00CA7A9D" w:rsidRPr="00CA7A9D">
              <w:rPr>
                <w:rFonts w:ascii="Aptos" w:hAnsi="Aptos"/>
                <w:sz w:val="16"/>
              </w:rPr>
              <w:t>[24]</w:t>
            </w:r>
            <w:r w:rsidRPr="00782E1C">
              <w:rPr>
                <w:rFonts w:cs="Times New Roman"/>
                <w:sz w:val="16"/>
                <w:szCs w:val="14"/>
              </w:rPr>
              <w:fldChar w:fldCharType="end"/>
            </w:r>
            <w:r w:rsidRPr="00782E1C">
              <w:rPr>
                <w:rFonts w:cs="Times New Roman"/>
                <w:sz w:val="16"/>
                <w:szCs w:val="14"/>
              </w:rPr>
              <w:t xml:space="preserve"> </w:t>
            </w:r>
          </w:p>
        </w:tc>
      </w:tr>
      <w:tr w:rsidR="00E170BA" w:rsidRPr="00782E1C" w14:paraId="48CF3619" w14:textId="77777777" w:rsidTr="002E7584">
        <w:trPr>
          <w:jc w:val="center"/>
        </w:trPr>
        <w:tc>
          <w:tcPr>
            <w:tcW w:w="4045" w:type="dxa"/>
            <w:vAlign w:val="center"/>
          </w:tcPr>
          <w:p w14:paraId="3F20EAF5" w14:textId="77777777" w:rsidR="00E170BA" w:rsidRPr="00782E1C" w:rsidRDefault="00E170BA" w:rsidP="002E7584">
            <w:pPr>
              <w:spacing w:line="240" w:lineRule="auto"/>
              <w:ind w:hanging="21"/>
              <w:rPr>
                <w:rFonts w:eastAsiaTheme="minorEastAsia" w:cs="Times New Roman"/>
                <w:sz w:val="16"/>
                <w:szCs w:val="14"/>
              </w:rPr>
            </w:pPr>
            <w:r w:rsidRPr="00782E1C">
              <w:rPr>
                <w:rFonts w:cs="Times New Roman"/>
                <w:sz w:val="16"/>
                <w:szCs w:val="14"/>
              </w:rPr>
              <w:lastRenderedPageBreak/>
              <w:t xml:space="preserve">E: </w:t>
            </w:r>
            <m:oMath>
              <m:r>
                <m:rPr>
                  <m:sty m:val="p"/>
                </m:rPr>
                <w:rPr>
                  <w:rFonts w:ascii="Cambria Math" w:hAnsi="Cambria Math" w:cs="Times New Roman"/>
                  <w:sz w:val="16"/>
                  <w:szCs w:val="14"/>
                </w:rPr>
                <m:t>BaC</m:t>
              </m:r>
              <m:sSub>
                <m:sSubPr>
                  <m:ctrlPr>
                    <w:rPr>
                      <w:rFonts w:ascii="Cambria Math" w:hAnsi="Cambria Math" w:cs="Times New Roman"/>
                      <w:sz w:val="16"/>
                      <w:szCs w:val="14"/>
                    </w:rPr>
                  </m:ctrlPr>
                </m:sSubPr>
                <m:e>
                  <m:r>
                    <m:rPr>
                      <m:sty m:val="p"/>
                    </m:rPr>
                    <w:rPr>
                      <w:rFonts w:ascii="Cambria Math" w:hAnsi="Cambria Math" w:cs="Times New Roman"/>
                      <w:sz w:val="16"/>
                      <w:szCs w:val="14"/>
                    </w:rPr>
                    <m:t>e</m:t>
                  </m:r>
                </m:e>
                <m:sub>
                  <m:r>
                    <m:rPr>
                      <m:sty m:val="p"/>
                    </m:rPr>
                    <w:rPr>
                      <w:rFonts w:ascii="Cambria Math" w:hAnsi="Cambria Math" w:cs="Times New Roman"/>
                      <w:sz w:val="16"/>
                      <w:szCs w:val="14"/>
                    </w:rPr>
                    <m:t>0.7</m:t>
                  </m:r>
                </m:sub>
              </m:sSub>
              <m:r>
                <m:rPr>
                  <m:sty m:val="p"/>
                </m:rPr>
                <w:rPr>
                  <w:rFonts w:ascii="Cambria Math" w:hAnsi="Cambria Math" w:cs="Times New Roman"/>
                  <w:sz w:val="16"/>
                  <w:szCs w:val="14"/>
                </w:rPr>
                <m:t>Z</m:t>
              </m:r>
              <m:sSub>
                <m:sSubPr>
                  <m:ctrlPr>
                    <w:rPr>
                      <w:rFonts w:ascii="Cambria Math" w:hAnsi="Cambria Math" w:cs="Times New Roman"/>
                      <w:sz w:val="16"/>
                      <w:szCs w:val="14"/>
                    </w:rPr>
                  </m:ctrlPr>
                </m:sSubPr>
                <m:e>
                  <m:r>
                    <m:rPr>
                      <m:sty m:val="p"/>
                    </m:rPr>
                    <w:rPr>
                      <w:rFonts w:ascii="Cambria Math" w:hAnsi="Cambria Math" w:cs="Times New Roman"/>
                      <w:sz w:val="16"/>
                      <w:szCs w:val="14"/>
                    </w:rPr>
                    <m:t>r</m:t>
                  </m:r>
                </m:e>
                <m:sub>
                  <m:r>
                    <m:rPr>
                      <m:sty m:val="p"/>
                    </m:rPr>
                    <w:rPr>
                      <w:rFonts w:ascii="Cambria Math" w:hAnsi="Cambria Math" w:cs="Times New Roman"/>
                      <w:sz w:val="16"/>
                      <w:szCs w:val="14"/>
                    </w:rPr>
                    <m:t>0.1</m:t>
                  </m:r>
                </m:sub>
              </m:sSub>
              <m:sSub>
                <m:sSubPr>
                  <m:ctrlPr>
                    <w:rPr>
                      <w:rFonts w:ascii="Cambria Math" w:hAnsi="Cambria Math" w:cs="Times New Roman"/>
                      <w:sz w:val="16"/>
                      <w:szCs w:val="14"/>
                    </w:rPr>
                  </m:ctrlPr>
                </m:sSubPr>
                <m:e>
                  <m:r>
                    <m:rPr>
                      <m:sty m:val="p"/>
                    </m:rPr>
                    <w:rPr>
                      <w:rFonts w:ascii="Cambria Math" w:hAnsi="Cambria Math" w:cs="Times New Roman"/>
                      <w:sz w:val="16"/>
                      <w:szCs w:val="14"/>
                    </w:rPr>
                    <m:t>Y</m:t>
                  </m:r>
                </m:e>
                <m:sub>
                  <m:r>
                    <m:rPr>
                      <m:sty m:val="p"/>
                    </m:rPr>
                    <w:rPr>
                      <w:rFonts w:ascii="Cambria Math" w:hAnsi="Cambria Math" w:cs="Times New Roman"/>
                      <w:sz w:val="16"/>
                      <w:szCs w:val="14"/>
                    </w:rPr>
                    <m:t>0.1</m:t>
                  </m:r>
                </m:sub>
              </m:sSub>
              <m:r>
                <m:rPr>
                  <m:sty m:val="p"/>
                </m:rPr>
                <w:rPr>
                  <w:rFonts w:ascii="Cambria Math" w:hAnsi="Cambria Math" w:cs="Times New Roman"/>
                  <w:sz w:val="16"/>
                  <w:szCs w:val="14"/>
                </w:rPr>
                <m:t>Y</m:t>
              </m:r>
              <m:sSub>
                <m:sSubPr>
                  <m:ctrlPr>
                    <w:rPr>
                      <w:rFonts w:ascii="Cambria Math" w:hAnsi="Cambria Math" w:cs="Times New Roman"/>
                      <w:sz w:val="16"/>
                      <w:szCs w:val="14"/>
                    </w:rPr>
                  </m:ctrlPr>
                </m:sSubPr>
                <m:e>
                  <m:r>
                    <m:rPr>
                      <m:sty m:val="p"/>
                    </m:rPr>
                    <w:rPr>
                      <w:rFonts w:ascii="Cambria Math" w:hAnsi="Cambria Math" w:cs="Times New Roman"/>
                      <w:sz w:val="16"/>
                      <w:szCs w:val="14"/>
                    </w:rPr>
                    <m:t>b</m:t>
                  </m:r>
                </m:e>
                <m:sub>
                  <m:r>
                    <m:rPr>
                      <m:sty m:val="p"/>
                    </m:rPr>
                    <w:rPr>
                      <w:rFonts w:ascii="Cambria Math" w:hAnsi="Cambria Math" w:cs="Times New Roman"/>
                      <w:sz w:val="16"/>
                      <w:szCs w:val="14"/>
                    </w:rPr>
                    <m:t>0.1</m:t>
                  </m:r>
                </m:sub>
              </m:sSub>
              <m:sSub>
                <m:sSubPr>
                  <m:ctrlPr>
                    <w:rPr>
                      <w:rFonts w:ascii="Cambria Math" w:hAnsi="Cambria Math" w:cs="Times New Roman"/>
                      <w:sz w:val="16"/>
                      <w:szCs w:val="14"/>
                    </w:rPr>
                  </m:ctrlPr>
                </m:sSubPr>
                <m:e>
                  <m:r>
                    <m:rPr>
                      <m:sty m:val="p"/>
                    </m:rPr>
                    <w:rPr>
                      <w:rFonts w:ascii="Cambria Math" w:hAnsi="Cambria Math" w:cs="Times New Roman"/>
                      <w:sz w:val="16"/>
                      <w:szCs w:val="14"/>
                    </w:rPr>
                    <m:t>O</m:t>
                  </m:r>
                </m:e>
                <m:sub>
                  <m:r>
                    <m:rPr>
                      <m:sty m:val="p"/>
                    </m:rPr>
                    <w:rPr>
                      <w:rFonts w:ascii="Cambria Math" w:hAnsi="Cambria Math" w:cs="Times New Roman"/>
                      <w:sz w:val="16"/>
                      <w:szCs w:val="14"/>
                    </w:rPr>
                    <m:t>3-δ</m:t>
                  </m:r>
                </m:sub>
              </m:sSub>
            </m:oMath>
            <w:r w:rsidRPr="00782E1C">
              <w:rPr>
                <w:rFonts w:eastAsiaTheme="minorEastAsia" w:cs="Times New Roman"/>
                <w:sz w:val="16"/>
                <w:szCs w:val="14"/>
              </w:rPr>
              <w:t xml:space="preserve"> (25 um)</w:t>
            </w:r>
          </w:p>
          <w:p w14:paraId="6CE29D7B" w14:textId="77777777" w:rsidR="00E170BA" w:rsidRPr="00782E1C" w:rsidRDefault="00E170BA" w:rsidP="002E7584">
            <w:pPr>
              <w:spacing w:line="240" w:lineRule="auto"/>
              <w:ind w:hanging="21"/>
              <w:rPr>
                <w:rFonts w:cs="Times New Roman"/>
                <w:sz w:val="16"/>
                <w:szCs w:val="14"/>
              </w:rPr>
            </w:pPr>
            <w:r w:rsidRPr="00782E1C">
              <w:rPr>
                <w:rFonts w:eastAsiaTheme="minorEastAsia" w:cs="Times New Roman"/>
                <w:sz w:val="16"/>
                <w:szCs w:val="14"/>
              </w:rPr>
              <w:t xml:space="preserve">C: </w:t>
            </w:r>
            <m:oMath>
              <m:r>
                <m:rPr>
                  <m:sty m:val="p"/>
                </m:rPr>
                <w:rPr>
                  <w:rFonts w:ascii="Cambria Math" w:eastAsiaTheme="minorEastAsia" w:hAnsi="Cambria Math" w:cs="Times New Roman"/>
                  <w:sz w:val="16"/>
                  <w:szCs w:val="14"/>
                </w:rPr>
                <m:t>Ba</m:t>
              </m:r>
              <m:sSub>
                <m:sSubPr>
                  <m:ctrlPr>
                    <w:rPr>
                      <w:rFonts w:ascii="Cambria Math" w:eastAsiaTheme="minorEastAsia" w:hAnsi="Cambria Math" w:cs="Times New Roman"/>
                      <w:sz w:val="16"/>
                      <w:szCs w:val="14"/>
                    </w:rPr>
                  </m:ctrlPr>
                </m:sSubPr>
                <m:e>
                  <m:d>
                    <m:dPr>
                      <m:ctrlPr>
                        <w:rPr>
                          <w:rFonts w:ascii="Cambria Math" w:eastAsiaTheme="minorEastAsia" w:hAnsi="Cambria Math" w:cs="Times New Roman"/>
                          <w:sz w:val="16"/>
                          <w:szCs w:val="14"/>
                        </w:rPr>
                      </m:ctrlPr>
                    </m:dPr>
                    <m:e>
                      <m:r>
                        <m:rPr>
                          <m:sty m:val="p"/>
                        </m:rPr>
                        <w:rPr>
                          <w:rFonts w:ascii="Cambria Math" w:eastAsiaTheme="minorEastAsia" w:hAnsi="Cambria Math" w:cs="Times New Roman"/>
                          <w:sz w:val="16"/>
                          <w:szCs w:val="14"/>
                        </w:rPr>
                        <m:t>C</m:t>
                      </m:r>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o</m:t>
                          </m:r>
                        </m:e>
                        <m:sub>
                          <m:r>
                            <m:rPr>
                              <m:sty m:val="p"/>
                            </m:rPr>
                            <w:rPr>
                              <w:rFonts w:ascii="Cambria Math" w:eastAsiaTheme="minorEastAsia" w:hAnsi="Cambria Math" w:cs="Times New Roman"/>
                              <w:sz w:val="16"/>
                              <w:szCs w:val="14"/>
                            </w:rPr>
                            <m:t>0.4</m:t>
                          </m:r>
                        </m:sub>
                      </m:sSub>
                      <m:r>
                        <m:rPr>
                          <m:sty m:val="p"/>
                        </m:rPr>
                        <w:rPr>
                          <w:rFonts w:ascii="Cambria Math" w:eastAsiaTheme="minorEastAsia" w:hAnsi="Cambria Math" w:cs="Times New Roman"/>
                          <w:sz w:val="16"/>
                          <w:szCs w:val="14"/>
                        </w:rPr>
                        <m:t>F</m:t>
                      </m:r>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e</m:t>
                          </m:r>
                        </m:e>
                        <m:sub>
                          <m:r>
                            <m:rPr>
                              <m:sty m:val="p"/>
                            </m:rPr>
                            <w:rPr>
                              <w:rFonts w:ascii="Cambria Math" w:eastAsiaTheme="minorEastAsia" w:hAnsi="Cambria Math" w:cs="Times New Roman"/>
                              <w:sz w:val="16"/>
                              <w:szCs w:val="14"/>
                            </w:rPr>
                            <m:t>0.4</m:t>
                          </m:r>
                        </m:sub>
                      </m:sSub>
                      <m:r>
                        <m:rPr>
                          <m:sty m:val="p"/>
                        </m:rPr>
                        <w:rPr>
                          <w:rFonts w:ascii="Cambria Math" w:eastAsiaTheme="minorEastAsia" w:hAnsi="Cambria Math" w:cs="Times New Roman"/>
                          <w:sz w:val="16"/>
                          <w:szCs w:val="14"/>
                        </w:rPr>
                        <m:t>Z</m:t>
                      </m:r>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r</m:t>
                          </m:r>
                        </m:e>
                        <m:sub>
                          <m:r>
                            <m:rPr>
                              <m:sty m:val="p"/>
                            </m:rPr>
                            <w:rPr>
                              <w:rFonts w:ascii="Cambria Math" w:eastAsiaTheme="minorEastAsia" w:hAnsi="Cambria Math" w:cs="Times New Roman"/>
                              <w:sz w:val="16"/>
                              <w:szCs w:val="14"/>
                            </w:rPr>
                            <m:t>0.1</m:t>
                          </m:r>
                        </m:sub>
                      </m:sSub>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Y</m:t>
                          </m:r>
                        </m:e>
                        <m:sub>
                          <m:r>
                            <m:rPr>
                              <m:sty m:val="p"/>
                            </m:rPr>
                            <w:rPr>
                              <w:rFonts w:ascii="Cambria Math" w:eastAsiaTheme="minorEastAsia" w:hAnsi="Cambria Math" w:cs="Times New Roman"/>
                              <w:sz w:val="16"/>
                              <w:szCs w:val="14"/>
                            </w:rPr>
                            <m:t>0.1</m:t>
                          </m:r>
                        </m:sub>
                      </m:sSub>
                    </m:e>
                  </m:d>
                </m:e>
                <m:sub>
                  <m:r>
                    <m:rPr>
                      <m:sty m:val="p"/>
                    </m:rPr>
                    <w:rPr>
                      <w:rFonts w:ascii="Cambria Math" w:eastAsiaTheme="minorEastAsia" w:hAnsi="Cambria Math" w:cs="Times New Roman"/>
                      <w:sz w:val="16"/>
                      <w:szCs w:val="14"/>
                    </w:rPr>
                    <m:t>0.95</m:t>
                  </m:r>
                </m:sub>
              </m:sSub>
              <m:r>
                <m:rPr>
                  <m:sty m:val="p"/>
                </m:rPr>
                <w:rPr>
                  <w:rFonts w:ascii="Cambria Math" w:eastAsiaTheme="minorEastAsia" w:hAnsi="Cambria Math" w:cs="Times New Roman"/>
                  <w:sz w:val="16"/>
                  <w:szCs w:val="14"/>
                </w:rPr>
                <m:t>N</m:t>
              </m:r>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i</m:t>
                  </m:r>
                </m:e>
                <m:sub>
                  <m:r>
                    <m:rPr>
                      <m:sty m:val="p"/>
                    </m:rPr>
                    <w:rPr>
                      <w:rFonts w:ascii="Cambria Math" w:eastAsiaTheme="minorEastAsia" w:hAnsi="Cambria Math" w:cs="Times New Roman"/>
                      <w:sz w:val="16"/>
                      <w:szCs w:val="14"/>
                    </w:rPr>
                    <m:t>0.05</m:t>
                  </m:r>
                </m:sub>
              </m:sSub>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O</m:t>
                  </m:r>
                </m:e>
                <m:sub>
                  <m:r>
                    <m:rPr>
                      <m:sty m:val="p"/>
                    </m:rPr>
                    <w:rPr>
                      <w:rFonts w:ascii="Cambria Math" w:eastAsiaTheme="minorEastAsia" w:hAnsi="Cambria Math" w:cs="Times New Roman"/>
                      <w:sz w:val="16"/>
                      <w:szCs w:val="14"/>
                    </w:rPr>
                    <m:t>3-δ</m:t>
                  </m:r>
                </m:sub>
              </m:sSub>
            </m:oMath>
          </w:p>
        </w:tc>
        <w:tc>
          <w:tcPr>
            <w:tcW w:w="2250" w:type="dxa"/>
            <w:vAlign w:val="center"/>
          </w:tcPr>
          <w:p w14:paraId="4CC067C7" w14:textId="77777777" w:rsidR="00E170BA" w:rsidRPr="00782E1C" w:rsidRDefault="00E170BA" w:rsidP="002E7584">
            <w:pPr>
              <w:spacing w:line="240" w:lineRule="auto"/>
              <w:ind w:firstLine="0"/>
              <w:rPr>
                <w:rFonts w:eastAsiaTheme="minorEastAsia" w:cs="Times New Roman"/>
                <w:sz w:val="16"/>
                <w:szCs w:val="14"/>
              </w:rPr>
            </w:pPr>
            <m:oMath>
              <m:r>
                <m:rPr>
                  <m:sty m:val="p"/>
                </m:rPr>
                <w:rPr>
                  <w:rFonts w:ascii="Cambria Math" w:hAnsi="Cambria Math" w:cs="Times New Roman"/>
                  <w:sz w:val="16"/>
                  <w:szCs w:val="14"/>
                </w:rPr>
                <m:t>500 °C:270 mW/c</m:t>
              </m:r>
              <m:sSup>
                <m:sSupPr>
                  <m:ctrlPr>
                    <w:rPr>
                      <w:rFonts w:ascii="Cambria Math" w:hAnsi="Cambria Math" w:cs="Times New Roman"/>
                      <w:sz w:val="16"/>
                      <w:szCs w:val="14"/>
                    </w:rPr>
                  </m:ctrlPr>
                </m:sSupPr>
                <m:e>
                  <m:r>
                    <m:rPr>
                      <m:sty m:val="p"/>
                    </m:rPr>
                    <w:rPr>
                      <w:rFonts w:ascii="Cambria Math" w:hAnsi="Cambria Math" w:cs="Times New Roman"/>
                      <w:sz w:val="16"/>
                      <w:szCs w:val="14"/>
                    </w:rPr>
                    <m:t>m</m:t>
                  </m:r>
                </m:e>
                <m:sup>
                  <m:r>
                    <m:rPr>
                      <m:sty m:val="p"/>
                    </m:rPr>
                    <w:rPr>
                      <w:rFonts w:ascii="Cambria Math" w:hAnsi="Cambria Math" w:cs="Times New Roman"/>
                      <w:sz w:val="16"/>
                      <w:szCs w:val="14"/>
                    </w:rPr>
                    <m:t>2</m:t>
                  </m:r>
                </m:sup>
              </m:sSup>
            </m:oMath>
            <w:r w:rsidRPr="00782E1C">
              <w:rPr>
                <w:rFonts w:eastAsiaTheme="minorEastAsia" w:cs="Times New Roman"/>
                <w:sz w:val="16"/>
                <w:szCs w:val="14"/>
              </w:rPr>
              <w:t xml:space="preserve"> </w:t>
            </w:r>
          </w:p>
          <w:p w14:paraId="0C5A0CF2" w14:textId="77777777" w:rsidR="00E170BA" w:rsidRPr="00782E1C" w:rsidRDefault="00E170BA" w:rsidP="002E7584">
            <w:pPr>
              <w:spacing w:line="240" w:lineRule="auto"/>
              <w:ind w:firstLine="0"/>
              <w:rPr>
                <w:rFonts w:eastAsiaTheme="minorEastAsia" w:cs="Times New Roman"/>
                <w:sz w:val="16"/>
                <w:szCs w:val="14"/>
              </w:rPr>
            </w:pPr>
            <m:oMath>
              <m:r>
                <m:rPr>
                  <m:sty m:val="p"/>
                </m:rPr>
                <w:rPr>
                  <w:rFonts w:ascii="Cambria Math" w:eastAsiaTheme="minorEastAsia" w:hAnsi="Cambria Math" w:cs="Times New Roman"/>
                  <w:sz w:val="16"/>
                  <w:szCs w:val="14"/>
                </w:rPr>
                <m:t>550 °C:450 mW/c</m:t>
              </m:r>
              <m:sSup>
                <m:sSupPr>
                  <m:ctrlPr>
                    <w:rPr>
                      <w:rFonts w:ascii="Cambria Math" w:eastAsiaTheme="minorEastAsia" w:hAnsi="Cambria Math" w:cs="Times New Roman"/>
                      <w:sz w:val="16"/>
                      <w:szCs w:val="14"/>
                    </w:rPr>
                  </m:ctrlPr>
                </m:sSupPr>
                <m:e>
                  <m:r>
                    <m:rPr>
                      <m:sty m:val="p"/>
                    </m:rPr>
                    <w:rPr>
                      <w:rFonts w:ascii="Cambria Math" w:eastAsiaTheme="minorEastAsia" w:hAnsi="Cambria Math" w:cs="Times New Roman"/>
                      <w:sz w:val="16"/>
                      <w:szCs w:val="14"/>
                    </w:rPr>
                    <m:t>m</m:t>
                  </m:r>
                </m:e>
                <m:sup>
                  <m:r>
                    <m:rPr>
                      <m:sty m:val="p"/>
                    </m:rPr>
                    <w:rPr>
                      <w:rFonts w:ascii="Cambria Math" w:eastAsiaTheme="minorEastAsia" w:hAnsi="Cambria Math" w:cs="Times New Roman"/>
                      <w:sz w:val="16"/>
                      <w:szCs w:val="14"/>
                    </w:rPr>
                    <m:t>2</m:t>
                  </m:r>
                </m:sup>
              </m:sSup>
            </m:oMath>
            <w:r w:rsidRPr="00782E1C">
              <w:rPr>
                <w:rFonts w:eastAsiaTheme="minorEastAsia" w:cs="Times New Roman"/>
                <w:sz w:val="16"/>
                <w:szCs w:val="14"/>
              </w:rPr>
              <w:t xml:space="preserve"> </w:t>
            </w:r>
          </w:p>
          <w:p w14:paraId="75AF569C" w14:textId="77777777" w:rsidR="00E170BA" w:rsidRPr="00782E1C" w:rsidRDefault="00E170BA" w:rsidP="002E7584">
            <w:pPr>
              <w:spacing w:line="240" w:lineRule="auto"/>
              <w:ind w:firstLine="0"/>
              <w:rPr>
                <w:rFonts w:eastAsiaTheme="minorEastAsia" w:cs="Times New Roman"/>
                <w:sz w:val="16"/>
                <w:szCs w:val="14"/>
              </w:rPr>
            </w:pPr>
            <m:oMath>
              <m:r>
                <m:rPr>
                  <m:sty m:val="p"/>
                </m:rPr>
                <w:rPr>
                  <w:rFonts w:ascii="Cambria Math" w:eastAsiaTheme="minorEastAsia" w:hAnsi="Cambria Math" w:cs="Times New Roman"/>
                  <w:sz w:val="16"/>
                  <w:szCs w:val="14"/>
                </w:rPr>
                <m:t>600 °C:660 mW/c</m:t>
              </m:r>
              <m:sSup>
                <m:sSupPr>
                  <m:ctrlPr>
                    <w:rPr>
                      <w:rFonts w:ascii="Cambria Math" w:eastAsiaTheme="minorEastAsia" w:hAnsi="Cambria Math" w:cs="Times New Roman"/>
                      <w:sz w:val="16"/>
                      <w:szCs w:val="14"/>
                    </w:rPr>
                  </m:ctrlPr>
                </m:sSupPr>
                <m:e>
                  <m:r>
                    <m:rPr>
                      <m:sty m:val="p"/>
                    </m:rPr>
                    <w:rPr>
                      <w:rFonts w:ascii="Cambria Math" w:eastAsiaTheme="minorEastAsia" w:hAnsi="Cambria Math" w:cs="Times New Roman"/>
                      <w:sz w:val="16"/>
                      <w:szCs w:val="14"/>
                    </w:rPr>
                    <m:t>m</m:t>
                  </m:r>
                </m:e>
                <m:sup>
                  <m:r>
                    <m:rPr>
                      <m:sty m:val="p"/>
                    </m:rPr>
                    <w:rPr>
                      <w:rFonts w:ascii="Cambria Math" w:eastAsiaTheme="minorEastAsia" w:hAnsi="Cambria Math" w:cs="Times New Roman"/>
                      <w:sz w:val="16"/>
                      <w:szCs w:val="14"/>
                    </w:rPr>
                    <m:t>2</m:t>
                  </m:r>
                </m:sup>
              </m:sSup>
            </m:oMath>
            <w:r w:rsidRPr="00782E1C">
              <w:rPr>
                <w:rFonts w:eastAsiaTheme="minorEastAsia" w:cs="Times New Roman"/>
                <w:sz w:val="16"/>
                <w:szCs w:val="14"/>
              </w:rPr>
              <w:t xml:space="preserve"> </w:t>
            </w:r>
          </w:p>
        </w:tc>
        <w:tc>
          <w:tcPr>
            <w:tcW w:w="1890" w:type="dxa"/>
            <w:vAlign w:val="center"/>
          </w:tcPr>
          <w:p w14:paraId="629A8F70" w14:textId="77777777" w:rsidR="00E170BA" w:rsidRPr="00782E1C" w:rsidRDefault="00E170BA" w:rsidP="002E7584">
            <w:pPr>
              <w:spacing w:line="240" w:lineRule="auto"/>
              <w:ind w:firstLine="0"/>
              <w:rPr>
                <w:rFonts w:cs="Times New Roman"/>
                <w:sz w:val="16"/>
                <w:szCs w:val="14"/>
              </w:rPr>
            </w:pPr>
            <w:r w:rsidRPr="00782E1C">
              <w:rPr>
                <w:rFonts w:cs="Times New Roman"/>
                <w:sz w:val="16"/>
                <w:szCs w:val="14"/>
              </w:rPr>
              <w:t>Triple-conducting electrode with improved electrochemical activity and reduced CTE</w:t>
            </w:r>
          </w:p>
        </w:tc>
        <w:tc>
          <w:tcPr>
            <w:tcW w:w="630" w:type="dxa"/>
            <w:vAlign w:val="center"/>
          </w:tcPr>
          <w:p w14:paraId="5E7DA3C3" w14:textId="77777777" w:rsidR="00E170BA" w:rsidRPr="00782E1C" w:rsidRDefault="00E170BA" w:rsidP="002E7584">
            <w:pPr>
              <w:tabs>
                <w:tab w:val="left" w:pos="157"/>
              </w:tabs>
              <w:spacing w:line="240" w:lineRule="auto"/>
              <w:ind w:firstLine="0"/>
              <w:rPr>
                <w:rFonts w:cs="Times New Roman"/>
                <w:sz w:val="16"/>
                <w:szCs w:val="14"/>
              </w:rPr>
            </w:pPr>
            <w:r w:rsidRPr="00782E1C">
              <w:rPr>
                <w:rFonts w:cs="Times New Roman"/>
                <w:sz w:val="16"/>
                <w:szCs w:val="14"/>
              </w:rPr>
              <w:t>2021</w:t>
            </w:r>
          </w:p>
        </w:tc>
        <w:tc>
          <w:tcPr>
            <w:tcW w:w="535" w:type="dxa"/>
            <w:vAlign w:val="center"/>
          </w:tcPr>
          <w:p w14:paraId="15005525" w14:textId="04155150" w:rsidR="00E170BA" w:rsidRPr="00782E1C" w:rsidRDefault="00E170BA" w:rsidP="002E7584">
            <w:pPr>
              <w:spacing w:line="240" w:lineRule="auto"/>
              <w:ind w:firstLine="0"/>
              <w:rPr>
                <w:rFonts w:cs="Times New Roman"/>
                <w:sz w:val="16"/>
                <w:szCs w:val="14"/>
              </w:rPr>
            </w:pPr>
            <w:r w:rsidRPr="00782E1C">
              <w:rPr>
                <w:rFonts w:cs="Times New Roman"/>
                <w:sz w:val="16"/>
                <w:szCs w:val="14"/>
              </w:rPr>
              <w:fldChar w:fldCharType="begin"/>
            </w:r>
            <w:r w:rsidR="00CA7A9D">
              <w:rPr>
                <w:rFonts w:cs="Times New Roman"/>
                <w:sz w:val="16"/>
                <w:szCs w:val="14"/>
              </w:rPr>
              <w:instrText xml:space="preserve"> ADDIN ZOTERO_ITEM CSL_CITATION {"citationID":"5NFMoaMl","properties":{"formattedCitation":"[25]","plainCitation":"[25]","noteIndex":0},"citationItems":[{"id":188,"uris":["http://zotero.org/users/12063231/items/N26A5DDS"],"itemData":{"id":188,"type":"article-journal","abstract":"To develop a cathode with excellent oxygen reduction reaction (ORR) activity and durability at intermediate-to-low temperatures is significant to boost the advancement of solid oxide fuel cells (SOFCs), a fascinating energy conversion technology with low emissions and high efficiency. Perovskite oxides have been extensively developed as cathodes, and doping is an important strategy to alter the lattice diffusion and surface exchange properties of perovskites, to tailor catalytic performances for various redox reactions, including ORR for SOFCs. The reported BaCo0.4Fe0.4Zr0.1Y0.1O3-δ (BCFZY) is a promising cathode for SOFCs. Herein, to further improve the performance of BCFZY at reduced temperatures, we systematically investigate the partial doping of B-sites with different metal elements, including Mn, Ni, Cu and Zn at a fixed content of 5%. Among them, it is found that Ba(Co0.4Fe0.4Zr0.1Y0.1)0.95Ni0.05O3-δ (BCFZYN) exhibits the lowest polarization impedance in both oxygen ion and proton conducting fuel cells. Based on conductivity relaxation experiments and oxygen and hydrogen permeation tests, it is found that nickel doping improves oxygen mobility, surface exchange kinetics, and bulk oxygen ion and proton conductivity. Thereby, a high ORR activity on oxygen ion and proton conducting electrolytes is achieved, reaching 0.038 and 0.607 Ω cm2 at 550 °C, respectively. The cells with the BCFZYN electrode show outstanding operational stability (200 h of operation in a symmetrical cell and 1000 h of operation in a single cell). This suggests that the BCFZYN is a promising cathode of next-generation SOFCs.","container-title":"Chemical Engineering Journal","DOI":"10.1016/j.cej.2020.127717","ISSN":"1385-8947","journalAbbreviation":"Chemical Engineering Journal","language":"en","page":"127717","source":"ScienceDirect","title":"Nickel-doped BaCo0.4Fe0.4Zr0.1Y0.1O3-δ as a new high-performance cathode for both oxygen-ion and proton conducting fuel cells","volume":"420","author":[{"family":"Liang","given":"Mingzhuang"},{"family":"He","given":"Fan"},{"family":"Zhou","given":"Chuan"},{"family":"Chen","given":"Yubo"},{"family":"Ran","given":"Ran"},{"family":"Yang","given":"Guangming"},{"family":"Zhou","given":"Wei"},{"family":"Shao","given":"Zongping"}],"issued":{"date-parts":[["2021",9,15]]}}}],"schema":"https://github.com/citation-style-language/schema/raw/master/csl-citation.json"} </w:instrText>
            </w:r>
            <w:r w:rsidRPr="00782E1C">
              <w:rPr>
                <w:rFonts w:cs="Times New Roman"/>
                <w:sz w:val="16"/>
                <w:szCs w:val="14"/>
              </w:rPr>
              <w:fldChar w:fldCharType="separate"/>
            </w:r>
            <w:r w:rsidR="00CA7A9D" w:rsidRPr="00CA7A9D">
              <w:rPr>
                <w:rFonts w:ascii="Aptos" w:hAnsi="Aptos"/>
                <w:sz w:val="16"/>
              </w:rPr>
              <w:t>[25]</w:t>
            </w:r>
            <w:r w:rsidRPr="00782E1C">
              <w:rPr>
                <w:rFonts w:cs="Times New Roman"/>
                <w:sz w:val="16"/>
                <w:szCs w:val="14"/>
              </w:rPr>
              <w:fldChar w:fldCharType="end"/>
            </w:r>
            <w:r w:rsidRPr="00782E1C">
              <w:rPr>
                <w:rFonts w:cs="Times New Roman"/>
                <w:sz w:val="16"/>
                <w:szCs w:val="14"/>
              </w:rPr>
              <w:t xml:space="preserve"> </w:t>
            </w:r>
          </w:p>
        </w:tc>
      </w:tr>
      <w:tr w:rsidR="00E170BA" w:rsidRPr="00782E1C" w14:paraId="3CF84909" w14:textId="77777777" w:rsidTr="002E7584">
        <w:trPr>
          <w:jc w:val="center"/>
        </w:trPr>
        <w:tc>
          <w:tcPr>
            <w:tcW w:w="4045" w:type="dxa"/>
            <w:vAlign w:val="center"/>
          </w:tcPr>
          <w:p w14:paraId="505B25C3" w14:textId="77777777" w:rsidR="00E170BA" w:rsidRPr="00782E1C" w:rsidRDefault="00E170BA" w:rsidP="002E7584">
            <w:pPr>
              <w:spacing w:line="240" w:lineRule="auto"/>
              <w:ind w:hanging="21"/>
              <w:rPr>
                <w:rFonts w:eastAsiaTheme="minorEastAsia" w:cs="Times New Roman"/>
                <w:sz w:val="16"/>
                <w:szCs w:val="14"/>
              </w:rPr>
            </w:pPr>
            <w:r w:rsidRPr="00782E1C">
              <w:rPr>
                <w:rFonts w:cs="Times New Roman"/>
                <w:sz w:val="16"/>
                <w:szCs w:val="14"/>
              </w:rPr>
              <w:t xml:space="preserve">E: </w:t>
            </w:r>
            <m:oMath>
              <m:r>
                <m:rPr>
                  <m:sty m:val="p"/>
                </m:rPr>
                <w:rPr>
                  <w:rFonts w:ascii="Cambria Math" w:hAnsi="Cambria Math" w:cs="Times New Roman"/>
                  <w:sz w:val="16"/>
                  <w:szCs w:val="14"/>
                </w:rPr>
                <m:t>BaC</m:t>
              </m:r>
              <m:sSub>
                <m:sSubPr>
                  <m:ctrlPr>
                    <w:rPr>
                      <w:rFonts w:ascii="Cambria Math" w:hAnsi="Cambria Math" w:cs="Times New Roman"/>
                      <w:sz w:val="16"/>
                      <w:szCs w:val="14"/>
                    </w:rPr>
                  </m:ctrlPr>
                </m:sSubPr>
                <m:e>
                  <m:r>
                    <m:rPr>
                      <m:sty m:val="p"/>
                    </m:rPr>
                    <w:rPr>
                      <w:rFonts w:ascii="Cambria Math" w:hAnsi="Cambria Math" w:cs="Times New Roman"/>
                      <w:sz w:val="16"/>
                      <w:szCs w:val="14"/>
                    </w:rPr>
                    <m:t>e</m:t>
                  </m:r>
                </m:e>
                <m:sub>
                  <m:r>
                    <m:rPr>
                      <m:sty m:val="p"/>
                    </m:rPr>
                    <w:rPr>
                      <w:rFonts w:ascii="Cambria Math" w:hAnsi="Cambria Math" w:cs="Times New Roman"/>
                      <w:sz w:val="16"/>
                      <w:szCs w:val="14"/>
                    </w:rPr>
                    <m:t>0.7</m:t>
                  </m:r>
                </m:sub>
              </m:sSub>
              <m:r>
                <m:rPr>
                  <m:sty m:val="p"/>
                </m:rPr>
                <w:rPr>
                  <w:rFonts w:ascii="Cambria Math" w:hAnsi="Cambria Math" w:cs="Times New Roman"/>
                  <w:sz w:val="16"/>
                  <w:szCs w:val="14"/>
                </w:rPr>
                <m:t>Z</m:t>
              </m:r>
              <m:sSub>
                <m:sSubPr>
                  <m:ctrlPr>
                    <w:rPr>
                      <w:rFonts w:ascii="Cambria Math" w:hAnsi="Cambria Math" w:cs="Times New Roman"/>
                      <w:sz w:val="16"/>
                      <w:szCs w:val="14"/>
                    </w:rPr>
                  </m:ctrlPr>
                </m:sSubPr>
                <m:e>
                  <m:r>
                    <m:rPr>
                      <m:sty m:val="p"/>
                    </m:rPr>
                    <w:rPr>
                      <w:rFonts w:ascii="Cambria Math" w:hAnsi="Cambria Math" w:cs="Times New Roman"/>
                      <w:sz w:val="16"/>
                      <w:szCs w:val="14"/>
                    </w:rPr>
                    <m:t>r</m:t>
                  </m:r>
                </m:e>
                <m:sub>
                  <m:r>
                    <m:rPr>
                      <m:sty m:val="p"/>
                    </m:rPr>
                    <w:rPr>
                      <w:rFonts w:ascii="Cambria Math" w:hAnsi="Cambria Math" w:cs="Times New Roman"/>
                      <w:sz w:val="16"/>
                      <w:szCs w:val="14"/>
                    </w:rPr>
                    <m:t>0.1</m:t>
                  </m:r>
                </m:sub>
              </m:sSub>
              <m:sSub>
                <m:sSubPr>
                  <m:ctrlPr>
                    <w:rPr>
                      <w:rFonts w:ascii="Cambria Math" w:hAnsi="Cambria Math" w:cs="Times New Roman"/>
                      <w:sz w:val="16"/>
                      <w:szCs w:val="14"/>
                    </w:rPr>
                  </m:ctrlPr>
                </m:sSubPr>
                <m:e>
                  <m:r>
                    <m:rPr>
                      <m:sty m:val="p"/>
                    </m:rPr>
                    <w:rPr>
                      <w:rFonts w:ascii="Cambria Math" w:hAnsi="Cambria Math" w:cs="Times New Roman"/>
                      <w:sz w:val="16"/>
                      <w:szCs w:val="14"/>
                    </w:rPr>
                    <m:t>Y</m:t>
                  </m:r>
                </m:e>
                <m:sub>
                  <m:r>
                    <m:rPr>
                      <m:sty m:val="p"/>
                    </m:rPr>
                    <w:rPr>
                      <w:rFonts w:ascii="Cambria Math" w:hAnsi="Cambria Math" w:cs="Times New Roman"/>
                      <w:sz w:val="16"/>
                      <w:szCs w:val="14"/>
                    </w:rPr>
                    <m:t>0.1</m:t>
                  </m:r>
                </m:sub>
              </m:sSub>
              <m:r>
                <m:rPr>
                  <m:sty m:val="p"/>
                </m:rPr>
                <w:rPr>
                  <w:rFonts w:ascii="Cambria Math" w:hAnsi="Cambria Math" w:cs="Times New Roman"/>
                  <w:sz w:val="16"/>
                  <w:szCs w:val="14"/>
                </w:rPr>
                <m:t>Y</m:t>
              </m:r>
              <m:sSub>
                <m:sSubPr>
                  <m:ctrlPr>
                    <w:rPr>
                      <w:rFonts w:ascii="Cambria Math" w:hAnsi="Cambria Math" w:cs="Times New Roman"/>
                      <w:sz w:val="16"/>
                      <w:szCs w:val="14"/>
                    </w:rPr>
                  </m:ctrlPr>
                </m:sSubPr>
                <m:e>
                  <m:r>
                    <m:rPr>
                      <m:sty m:val="p"/>
                    </m:rPr>
                    <w:rPr>
                      <w:rFonts w:ascii="Cambria Math" w:hAnsi="Cambria Math" w:cs="Times New Roman"/>
                      <w:sz w:val="16"/>
                      <w:szCs w:val="14"/>
                    </w:rPr>
                    <m:t>b</m:t>
                  </m:r>
                </m:e>
                <m:sub>
                  <m:r>
                    <m:rPr>
                      <m:sty m:val="p"/>
                    </m:rPr>
                    <w:rPr>
                      <w:rFonts w:ascii="Cambria Math" w:hAnsi="Cambria Math" w:cs="Times New Roman"/>
                      <w:sz w:val="16"/>
                      <w:szCs w:val="14"/>
                    </w:rPr>
                    <m:t>0.1</m:t>
                  </m:r>
                </m:sub>
              </m:sSub>
              <m:sSub>
                <m:sSubPr>
                  <m:ctrlPr>
                    <w:rPr>
                      <w:rFonts w:ascii="Cambria Math" w:hAnsi="Cambria Math" w:cs="Times New Roman"/>
                      <w:sz w:val="16"/>
                      <w:szCs w:val="14"/>
                    </w:rPr>
                  </m:ctrlPr>
                </m:sSubPr>
                <m:e>
                  <m:r>
                    <m:rPr>
                      <m:sty m:val="p"/>
                    </m:rPr>
                    <w:rPr>
                      <w:rFonts w:ascii="Cambria Math" w:hAnsi="Cambria Math" w:cs="Times New Roman"/>
                      <w:sz w:val="16"/>
                      <w:szCs w:val="14"/>
                    </w:rPr>
                    <m:t>O</m:t>
                  </m:r>
                </m:e>
                <m:sub>
                  <m:r>
                    <m:rPr>
                      <m:sty m:val="p"/>
                    </m:rPr>
                    <w:rPr>
                      <w:rFonts w:ascii="Cambria Math" w:hAnsi="Cambria Math" w:cs="Times New Roman"/>
                      <w:sz w:val="16"/>
                      <w:szCs w:val="14"/>
                    </w:rPr>
                    <m:t>3-δ</m:t>
                  </m:r>
                </m:sub>
              </m:sSub>
            </m:oMath>
            <w:r w:rsidRPr="00782E1C">
              <w:rPr>
                <w:rFonts w:eastAsiaTheme="minorEastAsia" w:cs="Times New Roman"/>
                <w:sz w:val="16"/>
                <w:szCs w:val="14"/>
              </w:rPr>
              <w:t xml:space="preserve"> (14 um)</w:t>
            </w:r>
          </w:p>
          <w:p w14:paraId="53C48B05" w14:textId="77777777" w:rsidR="00E170BA" w:rsidRPr="00782E1C" w:rsidRDefault="00E170BA" w:rsidP="002E7584">
            <w:pPr>
              <w:spacing w:line="240" w:lineRule="auto"/>
              <w:ind w:hanging="21"/>
              <w:rPr>
                <w:rFonts w:cs="Times New Roman"/>
                <w:sz w:val="16"/>
                <w:szCs w:val="14"/>
              </w:rPr>
            </w:pPr>
            <w:r w:rsidRPr="00782E1C">
              <w:rPr>
                <w:rFonts w:eastAsiaTheme="minorEastAsia" w:cs="Times New Roman"/>
                <w:sz w:val="16"/>
                <w:szCs w:val="14"/>
              </w:rPr>
              <w:t xml:space="preserve">C: </w:t>
            </w:r>
            <m:oMath>
              <m:r>
                <m:rPr>
                  <m:sty m:val="p"/>
                </m:rPr>
                <w:rPr>
                  <w:rFonts w:ascii="Cambria Math" w:eastAsiaTheme="minorEastAsia" w:hAnsi="Cambria Math" w:cs="Times New Roman"/>
                  <w:sz w:val="16"/>
                  <w:szCs w:val="14"/>
                </w:rPr>
                <m:t>L</m:t>
              </m:r>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a</m:t>
                  </m:r>
                </m:e>
                <m:sub>
                  <m:r>
                    <m:rPr>
                      <m:sty m:val="p"/>
                    </m:rPr>
                    <w:rPr>
                      <w:rFonts w:ascii="Cambria Math" w:eastAsiaTheme="minorEastAsia" w:hAnsi="Cambria Math" w:cs="Times New Roman"/>
                      <w:sz w:val="16"/>
                      <w:szCs w:val="14"/>
                    </w:rPr>
                    <m:t>0.6</m:t>
                  </m:r>
                </m:sub>
              </m:sSub>
              <m:r>
                <m:rPr>
                  <m:sty m:val="p"/>
                </m:rPr>
                <w:rPr>
                  <w:rFonts w:ascii="Cambria Math" w:eastAsiaTheme="minorEastAsia" w:hAnsi="Cambria Math" w:cs="Times New Roman"/>
                  <w:sz w:val="16"/>
                  <w:szCs w:val="14"/>
                </w:rPr>
                <m:t>S</m:t>
              </m:r>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r</m:t>
                  </m:r>
                </m:e>
                <m:sub>
                  <m:r>
                    <m:rPr>
                      <m:sty m:val="p"/>
                    </m:rPr>
                    <w:rPr>
                      <w:rFonts w:ascii="Cambria Math" w:eastAsiaTheme="minorEastAsia" w:hAnsi="Cambria Math" w:cs="Times New Roman"/>
                      <w:sz w:val="16"/>
                      <w:szCs w:val="14"/>
                    </w:rPr>
                    <m:t>0.4</m:t>
                  </m:r>
                </m:sub>
              </m:sSub>
              <m:r>
                <m:rPr>
                  <m:sty m:val="p"/>
                </m:rPr>
                <w:rPr>
                  <w:rFonts w:ascii="Cambria Math" w:eastAsiaTheme="minorEastAsia" w:hAnsi="Cambria Math" w:cs="Times New Roman"/>
                  <w:sz w:val="16"/>
                  <w:szCs w:val="14"/>
                </w:rPr>
                <m:t>C</m:t>
              </m:r>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o</m:t>
                  </m:r>
                </m:e>
                <m:sub>
                  <m:r>
                    <m:rPr>
                      <m:sty m:val="p"/>
                    </m:rPr>
                    <w:rPr>
                      <w:rFonts w:ascii="Cambria Math" w:eastAsiaTheme="minorEastAsia" w:hAnsi="Cambria Math" w:cs="Times New Roman"/>
                      <w:sz w:val="16"/>
                      <w:szCs w:val="14"/>
                    </w:rPr>
                    <m:t>0.2</m:t>
                  </m:r>
                </m:sub>
              </m:sSub>
              <m:r>
                <m:rPr>
                  <m:sty m:val="p"/>
                </m:rPr>
                <w:rPr>
                  <w:rFonts w:ascii="Cambria Math" w:eastAsiaTheme="minorEastAsia" w:hAnsi="Cambria Math" w:cs="Times New Roman"/>
                  <w:sz w:val="16"/>
                  <w:szCs w:val="14"/>
                </w:rPr>
                <m:t>F</m:t>
              </m:r>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e</m:t>
                  </m:r>
                </m:e>
                <m:sub>
                  <m:r>
                    <m:rPr>
                      <m:sty m:val="p"/>
                    </m:rPr>
                    <w:rPr>
                      <w:rFonts w:ascii="Cambria Math" w:eastAsiaTheme="minorEastAsia" w:hAnsi="Cambria Math" w:cs="Times New Roman"/>
                      <w:sz w:val="16"/>
                      <w:szCs w:val="14"/>
                    </w:rPr>
                    <m:t>0.8</m:t>
                  </m:r>
                </m:sub>
              </m:sSub>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O</m:t>
                  </m:r>
                </m:e>
                <m:sub>
                  <m:r>
                    <m:rPr>
                      <m:sty m:val="p"/>
                    </m:rPr>
                    <w:rPr>
                      <w:rFonts w:ascii="Cambria Math" w:eastAsiaTheme="minorEastAsia" w:hAnsi="Cambria Math" w:cs="Times New Roman"/>
                      <w:sz w:val="16"/>
                      <w:szCs w:val="14"/>
                    </w:rPr>
                    <m:t>3-δ</m:t>
                  </m:r>
                </m:sub>
              </m:sSub>
              <m:r>
                <m:rPr>
                  <m:sty m:val="p"/>
                </m:rPr>
                <w:rPr>
                  <w:rFonts w:ascii="Cambria Math" w:eastAsiaTheme="minorEastAsia" w:hAnsi="Cambria Math" w:cs="Times New Roman"/>
                  <w:sz w:val="16"/>
                  <w:szCs w:val="14"/>
                </w:rPr>
                <m:t>-BaC</m:t>
              </m:r>
              <m:sSub>
                <m:sSubPr>
                  <m:ctrlPr>
                    <w:rPr>
                      <w:rFonts w:ascii="Cambria Math" w:hAnsi="Cambria Math" w:cs="Times New Roman"/>
                      <w:sz w:val="16"/>
                      <w:szCs w:val="14"/>
                    </w:rPr>
                  </m:ctrlPr>
                </m:sSubPr>
                <m:e>
                  <m:r>
                    <m:rPr>
                      <m:sty m:val="p"/>
                    </m:rPr>
                    <w:rPr>
                      <w:rFonts w:ascii="Cambria Math" w:hAnsi="Cambria Math" w:cs="Times New Roman"/>
                      <w:sz w:val="16"/>
                      <w:szCs w:val="14"/>
                    </w:rPr>
                    <m:t>e</m:t>
                  </m:r>
                </m:e>
                <m:sub>
                  <m:r>
                    <m:rPr>
                      <m:sty m:val="p"/>
                    </m:rPr>
                    <w:rPr>
                      <w:rFonts w:ascii="Cambria Math" w:hAnsi="Cambria Math" w:cs="Times New Roman"/>
                      <w:sz w:val="16"/>
                      <w:szCs w:val="14"/>
                    </w:rPr>
                    <m:t>0.7</m:t>
                  </m:r>
                </m:sub>
              </m:sSub>
              <m:r>
                <m:rPr>
                  <m:sty m:val="p"/>
                </m:rPr>
                <w:rPr>
                  <w:rFonts w:ascii="Cambria Math" w:hAnsi="Cambria Math" w:cs="Times New Roman"/>
                  <w:sz w:val="16"/>
                  <w:szCs w:val="14"/>
                </w:rPr>
                <m:t>Z</m:t>
              </m:r>
              <m:sSub>
                <m:sSubPr>
                  <m:ctrlPr>
                    <w:rPr>
                      <w:rFonts w:ascii="Cambria Math" w:hAnsi="Cambria Math" w:cs="Times New Roman"/>
                      <w:sz w:val="16"/>
                      <w:szCs w:val="14"/>
                    </w:rPr>
                  </m:ctrlPr>
                </m:sSubPr>
                <m:e>
                  <m:r>
                    <m:rPr>
                      <m:sty m:val="p"/>
                    </m:rPr>
                    <w:rPr>
                      <w:rFonts w:ascii="Cambria Math" w:hAnsi="Cambria Math" w:cs="Times New Roman"/>
                      <w:sz w:val="16"/>
                      <w:szCs w:val="14"/>
                    </w:rPr>
                    <m:t>r</m:t>
                  </m:r>
                </m:e>
                <m:sub>
                  <m:r>
                    <m:rPr>
                      <m:sty m:val="p"/>
                    </m:rPr>
                    <w:rPr>
                      <w:rFonts w:ascii="Cambria Math" w:hAnsi="Cambria Math" w:cs="Times New Roman"/>
                      <w:sz w:val="16"/>
                      <w:szCs w:val="14"/>
                    </w:rPr>
                    <m:t>0.1</m:t>
                  </m:r>
                </m:sub>
              </m:sSub>
              <m:sSub>
                <m:sSubPr>
                  <m:ctrlPr>
                    <w:rPr>
                      <w:rFonts w:ascii="Cambria Math" w:hAnsi="Cambria Math" w:cs="Times New Roman"/>
                      <w:sz w:val="16"/>
                      <w:szCs w:val="14"/>
                    </w:rPr>
                  </m:ctrlPr>
                </m:sSubPr>
                <m:e>
                  <m:r>
                    <m:rPr>
                      <m:sty m:val="p"/>
                    </m:rPr>
                    <w:rPr>
                      <w:rFonts w:ascii="Cambria Math" w:hAnsi="Cambria Math" w:cs="Times New Roman"/>
                      <w:sz w:val="16"/>
                      <w:szCs w:val="14"/>
                    </w:rPr>
                    <m:t>Y</m:t>
                  </m:r>
                </m:e>
                <m:sub>
                  <m:r>
                    <m:rPr>
                      <m:sty m:val="p"/>
                    </m:rPr>
                    <w:rPr>
                      <w:rFonts w:ascii="Cambria Math" w:hAnsi="Cambria Math" w:cs="Times New Roman"/>
                      <w:sz w:val="16"/>
                      <w:szCs w:val="14"/>
                    </w:rPr>
                    <m:t>0.1</m:t>
                  </m:r>
                </m:sub>
              </m:sSub>
              <m:r>
                <m:rPr>
                  <m:sty m:val="p"/>
                </m:rPr>
                <w:rPr>
                  <w:rFonts w:ascii="Cambria Math" w:hAnsi="Cambria Math" w:cs="Times New Roman"/>
                  <w:sz w:val="16"/>
                  <w:szCs w:val="14"/>
                </w:rPr>
                <m:t>Y</m:t>
              </m:r>
              <m:sSub>
                <m:sSubPr>
                  <m:ctrlPr>
                    <w:rPr>
                      <w:rFonts w:ascii="Cambria Math" w:hAnsi="Cambria Math" w:cs="Times New Roman"/>
                      <w:sz w:val="16"/>
                      <w:szCs w:val="14"/>
                    </w:rPr>
                  </m:ctrlPr>
                </m:sSubPr>
                <m:e>
                  <m:r>
                    <m:rPr>
                      <m:sty m:val="p"/>
                    </m:rPr>
                    <w:rPr>
                      <w:rFonts w:ascii="Cambria Math" w:hAnsi="Cambria Math" w:cs="Times New Roman"/>
                      <w:sz w:val="16"/>
                      <w:szCs w:val="14"/>
                    </w:rPr>
                    <m:t>b</m:t>
                  </m:r>
                </m:e>
                <m:sub>
                  <m:r>
                    <m:rPr>
                      <m:sty m:val="p"/>
                    </m:rPr>
                    <w:rPr>
                      <w:rFonts w:ascii="Cambria Math" w:hAnsi="Cambria Math" w:cs="Times New Roman"/>
                      <w:sz w:val="16"/>
                      <w:szCs w:val="14"/>
                    </w:rPr>
                    <m:t>0.1</m:t>
                  </m:r>
                </m:sub>
              </m:sSub>
              <m:sSub>
                <m:sSubPr>
                  <m:ctrlPr>
                    <w:rPr>
                      <w:rFonts w:ascii="Cambria Math" w:hAnsi="Cambria Math" w:cs="Times New Roman"/>
                      <w:sz w:val="16"/>
                      <w:szCs w:val="14"/>
                    </w:rPr>
                  </m:ctrlPr>
                </m:sSubPr>
                <m:e>
                  <m:r>
                    <m:rPr>
                      <m:sty m:val="p"/>
                    </m:rPr>
                    <w:rPr>
                      <w:rFonts w:ascii="Cambria Math" w:hAnsi="Cambria Math" w:cs="Times New Roman"/>
                      <w:sz w:val="16"/>
                      <w:szCs w:val="14"/>
                    </w:rPr>
                    <m:t>O</m:t>
                  </m:r>
                </m:e>
                <m:sub>
                  <m:r>
                    <m:rPr>
                      <m:sty m:val="p"/>
                    </m:rPr>
                    <w:rPr>
                      <w:rFonts w:ascii="Cambria Math" w:hAnsi="Cambria Math" w:cs="Times New Roman"/>
                      <w:sz w:val="16"/>
                      <w:szCs w:val="14"/>
                    </w:rPr>
                    <m:t>3-δ</m:t>
                  </m:r>
                </m:sub>
              </m:sSub>
            </m:oMath>
          </w:p>
        </w:tc>
        <w:tc>
          <w:tcPr>
            <w:tcW w:w="2250" w:type="dxa"/>
            <w:vAlign w:val="center"/>
          </w:tcPr>
          <w:p w14:paraId="36162F36" w14:textId="77777777" w:rsidR="00E170BA" w:rsidRPr="00782E1C" w:rsidRDefault="00E170BA" w:rsidP="002E7584">
            <w:pPr>
              <w:spacing w:line="240" w:lineRule="auto"/>
              <w:ind w:firstLine="0"/>
              <w:rPr>
                <w:rFonts w:eastAsiaTheme="minorEastAsia" w:cs="Times New Roman"/>
                <w:sz w:val="16"/>
                <w:szCs w:val="14"/>
              </w:rPr>
            </w:pPr>
            <m:oMath>
              <m:r>
                <m:rPr>
                  <m:sty m:val="p"/>
                </m:rPr>
                <w:rPr>
                  <w:rFonts w:ascii="Cambria Math" w:hAnsi="Cambria Math" w:cs="Times New Roman"/>
                  <w:sz w:val="16"/>
                  <w:szCs w:val="14"/>
                </w:rPr>
                <m:t>500 °C:240 mW/c</m:t>
              </m:r>
              <m:sSup>
                <m:sSupPr>
                  <m:ctrlPr>
                    <w:rPr>
                      <w:rFonts w:ascii="Cambria Math" w:hAnsi="Cambria Math" w:cs="Times New Roman"/>
                      <w:sz w:val="16"/>
                      <w:szCs w:val="14"/>
                    </w:rPr>
                  </m:ctrlPr>
                </m:sSupPr>
                <m:e>
                  <m:r>
                    <m:rPr>
                      <m:sty m:val="p"/>
                    </m:rPr>
                    <w:rPr>
                      <w:rFonts w:ascii="Cambria Math" w:hAnsi="Cambria Math" w:cs="Times New Roman"/>
                      <w:sz w:val="16"/>
                      <w:szCs w:val="14"/>
                    </w:rPr>
                    <m:t>m</m:t>
                  </m:r>
                </m:e>
                <m:sup>
                  <m:r>
                    <m:rPr>
                      <m:sty m:val="p"/>
                    </m:rPr>
                    <w:rPr>
                      <w:rFonts w:ascii="Cambria Math" w:hAnsi="Cambria Math" w:cs="Times New Roman"/>
                      <w:sz w:val="16"/>
                      <w:szCs w:val="14"/>
                    </w:rPr>
                    <m:t>2</m:t>
                  </m:r>
                </m:sup>
              </m:sSup>
            </m:oMath>
            <w:r w:rsidRPr="00782E1C">
              <w:rPr>
                <w:rFonts w:eastAsiaTheme="minorEastAsia" w:cs="Times New Roman"/>
                <w:sz w:val="16"/>
                <w:szCs w:val="14"/>
              </w:rPr>
              <w:t xml:space="preserve"> </w:t>
            </w:r>
          </w:p>
          <w:p w14:paraId="0C1DEFC8" w14:textId="77777777" w:rsidR="00E170BA" w:rsidRPr="00782E1C" w:rsidRDefault="00E170BA" w:rsidP="002E7584">
            <w:pPr>
              <w:spacing w:line="240" w:lineRule="auto"/>
              <w:ind w:firstLine="0"/>
              <w:rPr>
                <w:rFonts w:eastAsiaTheme="minorEastAsia" w:cs="Times New Roman"/>
                <w:sz w:val="16"/>
                <w:szCs w:val="14"/>
              </w:rPr>
            </w:pPr>
            <m:oMath>
              <m:r>
                <m:rPr>
                  <m:sty m:val="p"/>
                </m:rPr>
                <w:rPr>
                  <w:rFonts w:ascii="Cambria Math" w:hAnsi="Cambria Math" w:cs="Times New Roman"/>
                  <w:sz w:val="16"/>
                  <w:szCs w:val="14"/>
                </w:rPr>
                <m:t>550 °C:380 mW/c</m:t>
              </m:r>
              <m:sSup>
                <m:sSupPr>
                  <m:ctrlPr>
                    <w:rPr>
                      <w:rFonts w:ascii="Cambria Math" w:hAnsi="Cambria Math" w:cs="Times New Roman"/>
                      <w:sz w:val="16"/>
                      <w:szCs w:val="14"/>
                    </w:rPr>
                  </m:ctrlPr>
                </m:sSupPr>
                <m:e>
                  <m:r>
                    <m:rPr>
                      <m:sty m:val="p"/>
                    </m:rPr>
                    <w:rPr>
                      <w:rFonts w:ascii="Cambria Math" w:hAnsi="Cambria Math" w:cs="Times New Roman"/>
                      <w:sz w:val="16"/>
                      <w:szCs w:val="14"/>
                    </w:rPr>
                    <m:t>m</m:t>
                  </m:r>
                </m:e>
                <m:sup>
                  <m:r>
                    <m:rPr>
                      <m:sty m:val="p"/>
                    </m:rPr>
                    <w:rPr>
                      <w:rFonts w:ascii="Cambria Math" w:hAnsi="Cambria Math" w:cs="Times New Roman"/>
                      <w:sz w:val="16"/>
                      <w:szCs w:val="14"/>
                    </w:rPr>
                    <m:t>2</m:t>
                  </m:r>
                </m:sup>
              </m:sSup>
            </m:oMath>
            <w:r w:rsidRPr="00782E1C">
              <w:rPr>
                <w:rFonts w:eastAsiaTheme="minorEastAsia" w:cs="Times New Roman"/>
                <w:sz w:val="16"/>
                <w:szCs w:val="14"/>
              </w:rPr>
              <w:t xml:space="preserve"> </w:t>
            </w:r>
          </w:p>
          <w:p w14:paraId="738471DE" w14:textId="77777777" w:rsidR="00E170BA" w:rsidRPr="00782E1C" w:rsidRDefault="00E170BA" w:rsidP="002E7584">
            <w:pPr>
              <w:spacing w:line="240" w:lineRule="auto"/>
              <w:ind w:firstLine="0"/>
              <w:rPr>
                <w:rFonts w:cs="Times New Roman"/>
                <w:sz w:val="16"/>
                <w:szCs w:val="14"/>
              </w:rPr>
            </w:pPr>
            <m:oMath>
              <m:r>
                <m:rPr>
                  <m:sty m:val="p"/>
                </m:rPr>
                <w:rPr>
                  <w:rFonts w:ascii="Cambria Math" w:hAnsi="Cambria Math" w:cs="Times New Roman"/>
                  <w:sz w:val="16"/>
                  <w:szCs w:val="14"/>
                </w:rPr>
                <m:t>600 °C: 570 mw/c</m:t>
              </m:r>
              <m:sSup>
                <m:sSupPr>
                  <m:ctrlPr>
                    <w:rPr>
                      <w:rFonts w:ascii="Cambria Math" w:hAnsi="Cambria Math" w:cs="Times New Roman"/>
                      <w:sz w:val="16"/>
                      <w:szCs w:val="14"/>
                    </w:rPr>
                  </m:ctrlPr>
                </m:sSupPr>
                <m:e>
                  <m:r>
                    <m:rPr>
                      <m:sty m:val="p"/>
                    </m:rPr>
                    <w:rPr>
                      <w:rFonts w:ascii="Cambria Math" w:hAnsi="Cambria Math" w:cs="Times New Roman"/>
                      <w:sz w:val="16"/>
                      <w:szCs w:val="14"/>
                    </w:rPr>
                    <m:t>m</m:t>
                  </m:r>
                </m:e>
                <m:sup>
                  <m:r>
                    <m:rPr>
                      <m:sty m:val="p"/>
                    </m:rPr>
                    <w:rPr>
                      <w:rFonts w:ascii="Cambria Math" w:hAnsi="Cambria Math" w:cs="Times New Roman"/>
                      <w:sz w:val="16"/>
                      <w:szCs w:val="14"/>
                    </w:rPr>
                    <m:t>2</m:t>
                  </m:r>
                </m:sup>
              </m:sSup>
            </m:oMath>
            <w:r w:rsidRPr="00782E1C">
              <w:rPr>
                <w:rFonts w:eastAsiaTheme="minorEastAsia" w:cs="Times New Roman"/>
                <w:sz w:val="16"/>
                <w:szCs w:val="14"/>
              </w:rPr>
              <w:t xml:space="preserve"> </w:t>
            </w:r>
          </w:p>
        </w:tc>
        <w:tc>
          <w:tcPr>
            <w:tcW w:w="1890" w:type="dxa"/>
            <w:vAlign w:val="center"/>
          </w:tcPr>
          <w:p w14:paraId="3B1143EA" w14:textId="77777777" w:rsidR="00E170BA" w:rsidRPr="00782E1C" w:rsidRDefault="00E170BA" w:rsidP="002E7584">
            <w:pPr>
              <w:spacing w:line="240" w:lineRule="auto"/>
              <w:ind w:firstLine="0"/>
              <w:rPr>
                <w:rFonts w:cs="Times New Roman"/>
                <w:sz w:val="16"/>
                <w:szCs w:val="14"/>
              </w:rPr>
            </w:pPr>
            <w:r w:rsidRPr="00782E1C">
              <w:rPr>
                <w:rFonts w:cs="Times New Roman"/>
                <w:sz w:val="16"/>
                <w:szCs w:val="14"/>
              </w:rPr>
              <w:t>Introduction of porous interlayer between E and C</w:t>
            </w:r>
          </w:p>
        </w:tc>
        <w:tc>
          <w:tcPr>
            <w:tcW w:w="630" w:type="dxa"/>
            <w:vAlign w:val="center"/>
          </w:tcPr>
          <w:p w14:paraId="20674200" w14:textId="77777777" w:rsidR="00E170BA" w:rsidRPr="00782E1C" w:rsidRDefault="00E170BA" w:rsidP="002E7584">
            <w:pPr>
              <w:tabs>
                <w:tab w:val="left" w:pos="157"/>
              </w:tabs>
              <w:spacing w:line="240" w:lineRule="auto"/>
              <w:ind w:firstLine="0"/>
              <w:rPr>
                <w:rFonts w:cs="Times New Roman"/>
                <w:sz w:val="16"/>
                <w:szCs w:val="14"/>
              </w:rPr>
            </w:pPr>
            <w:r w:rsidRPr="00782E1C">
              <w:rPr>
                <w:rFonts w:cs="Times New Roman"/>
                <w:sz w:val="16"/>
                <w:szCs w:val="14"/>
              </w:rPr>
              <w:t>2021</w:t>
            </w:r>
          </w:p>
        </w:tc>
        <w:tc>
          <w:tcPr>
            <w:tcW w:w="535" w:type="dxa"/>
            <w:vAlign w:val="center"/>
          </w:tcPr>
          <w:p w14:paraId="345BB33F" w14:textId="01F338BC" w:rsidR="00E170BA" w:rsidRPr="00782E1C" w:rsidRDefault="00E170BA" w:rsidP="002E7584">
            <w:pPr>
              <w:spacing w:line="240" w:lineRule="auto"/>
              <w:ind w:firstLine="0"/>
              <w:rPr>
                <w:rFonts w:cs="Times New Roman"/>
                <w:sz w:val="16"/>
                <w:szCs w:val="14"/>
              </w:rPr>
            </w:pPr>
            <w:r w:rsidRPr="00782E1C">
              <w:rPr>
                <w:rFonts w:cs="Times New Roman"/>
                <w:sz w:val="16"/>
                <w:szCs w:val="14"/>
              </w:rPr>
              <w:fldChar w:fldCharType="begin"/>
            </w:r>
            <w:r w:rsidR="00CA7A9D">
              <w:rPr>
                <w:rFonts w:cs="Times New Roman"/>
                <w:sz w:val="16"/>
                <w:szCs w:val="14"/>
              </w:rPr>
              <w:instrText xml:space="preserve"> ADDIN ZOTERO_ITEM CSL_CITATION {"citationID":"p64pK1XQ","properties":{"formattedCitation":"[26]","plainCitation":"[26]","noteIndex":0},"citationItems":[{"id":185,"uris":["http://zotero.org/users/12063231/items/SXEN6F23"],"itemData":{"id":185,"type":"article-journal","abstract":"Effect of the cathode/electrolyte interface modification by applying a porous BaZr0.1Ce0.7Y0.1Yb0.1O3–δ (BZCYYb) interlayer (PBI) on cathode performance in protonic ceramic fuel cells (PCFCs) is investigated to achieve a lower temperature operation with high power density. Here, in a PCFC with anode-supported configuration, a proton-conducting oxide of BZCYYb is used as the material for both the interlayer and electrolyte, and demonstrates that this interlayer improves the cathode/electrolyte interfacial structure by increasing the electrochemically active triple-phase boundary (TPB). This BZCYYb interlayer has a porous structure formed on the dense BZCYYb electrolyte. A cathode material that is a composite of La0.6Sr0.4Co0.2Fe0.8O3–δ (LSCF) and BZCYYb fine particulates is impregnated into the submicrometer to single-micrometer pores within the PBI, yielding a three-dimensionally extended TPB region. This structure effectively enhances the cathode performance, and the resulting maximum power density of an anode-supported PCFC with the PBI reaches 1.05, 0.81, 0.57, 0.38, and 0.24 W cm−2 at 700, 650, 600, 550, and 550 °C, respectively. In conclusion, the modification of the cathode/electrolyte structure by applying a PBI is a simple, yet very effective approach to improve PCFC performance even when the cathode is a conventional material such as LSCF.","container-title":"Ceramics International","DOI":"10.1016/j.ceramint.2021.02.123","ISSN":"0272-8842","issue":"11","journalAbbreviation":"Ceramics International","language":"en","page":"16358-16362","source":"ScienceDirect","title":"Enhanced La0.6Sr0.4Co0.2Fe0.8O3–δ-based cathode performance by modification of BaZr0.1Ce0.7Y0.1Yb0.1O3–δ electrolyte surface in protonic ceramic fuel cells","volume":"47","author":[{"family":"Shimada","given":"Hiroyuki"},{"family":"Yamaguchi","given":"Yuki"},{"family":"Sumi","given":"Hirofumi"},{"family":"Mizutani","given":"Yasunobu"}],"issued":{"date-parts":[["2021",6,1]]}}}],"schema":"https://github.com/citation-style-language/schema/raw/master/csl-citation.json"} </w:instrText>
            </w:r>
            <w:r w:rsidRPr="00782E1C">
              <w:rPr>
                <w:rFonts w:cs="Times New Roman"/>
                <w:sz w:val="16"/>
                <w:szCs w:val="14"/>
              </w:rPr>
              <w:fldChar w:fldCharType="separate"/>
            </w:r>
            <w:r w:rsidR="00CA7A9D" w:rsidRPr="00CA7A9D">
              <w:rPr>
                <w:rFonts w:ascii="Aptos" w:hAnsi="Aptos"/>
                <w:sz w:val="16"/>
              </w:rPr>
              <w:t>[26]</w:t>
            </w:r>
            <w:r w:rsidRPr="00782E1C">
              <w:rPr>
                <w:rFonts w:cs="Times New Roman"/>
                <w:sz w:val="16"/>
                <w:szCs w:val="14"/>
              </w:rPr>
              <w:fldChar w:fldCharType="end"/>
            </w:r>
          </w:p>
        </w:tc>
      </w:tr>
      <w:tr w:rsidR="00E170BA" w:rsidRPr="00782E1C" w14:paraId="5CCA0559" w14:textId="77777777" w:rsidTr="002E7584">
        <w:trPr>
          <w:jc w:val="center"/>
        </w:trPr>
        <w:tc>
          <w:tcPr>
            <w:tcW w:w="4045" w:type="dxa"/>
            <w:vAlign w:val="center"/>
          </w:tcPr>
          <w:p w14:paraId="1C16AD3F" w14:textId="77777777" w:rsidR="00E170BA" w:rsidRPr="00782E1C" w:rsidRDefault="00E170BA" w:rsidP="002E7584">
            <w:pPr>
              <w:spacing w:line="240" w:lineRule="auto"/>
              <w:ind w:hanging="21"/>
              <w:rPr>
                <w:rFonts w:eastAsiaTheme="minorEastAsia" w:cs="Times New Roman"/>
                <w:sz w:val="16"/>
                <w:szCs w:val="14"/>
              </w:rPr>
            </w:pPr>
            <w:r w:rsidRPr="00782E1C">
              <w:rPr>
                <w:rFonts w:cs="Times New Roman"/>
                <w:sz w:val="16"/>
                <w:szCs w:val="14"/>
              </w:rPr>
              <w:t xml:space="preserve">E: </w:t>
            </w:r>
            <m:oMath>
              <m:r>
                <m:rPr>
                  <m:sty m:val="p"/>
                </m:rPr>
                <w:rPr>
                  <w:rFonts w:ascii="Cambria Math" w:hAnsi="Cambria Math" w:cs="Times New Roman"/>
                  <w:sz w:val="16"/>
                  <w:szCs w:val="14"/>
                </w:rPr>
                <m:t>BaC</m:t>
              </m:r>
              <m:sSub>
                <m:sSubPr>
                  <m:ctrlPr>
                    <w:rPr>
                      <w:rFonts w:ascii="Cambria Math" w:hAnsi="Cambria Math" w:cs="Times New Roman"/>
                      <w:sz w:val="16"/>
                      <w:szCs w:val="14"/>
                    </w:rPr>
                  </m:ctrlPr>
                </m:sSubPr>
                <m:e>
                  <m:r>
                    <m:rPr>
                      <m:sty m:val="p"/>
                    </m:rPr>
                    <w:rPr>
                      <w:rFonts w:ascii="Cambria Math" w:hAnsi="Cambria Math" w:cs="Times New Roman"/>
                      <w:sz w:val="16"/>
                      <w:szCs w:val="14"/>
                    </w:rPr>
                    <m:t>e</m:t>
                  </m:r>
                </m:e>
                <m:sub>
                  <m:r>
                    <m:rPr>
                      <m:sty m:val="p"/>
                    </m:rPr>
                    <w:rPr>
                      <w:rFonts w:ascii="Cambria Math" w:hAnsi="Cambria Math" w:cs="Times New Roman"/>
                      <w:sz w:val="16"/>
                      <w:szCs w:val="14"/>
                    </w:rPr>
                    <m:t>0.7</m:t>
                  </m:r>
                </m:sub>
              </m:sSub>
              <m:r>
                <m:rPr>
                  <m:sty m:val="p"/>
                </m:rPr>
                <w:rPr>
                  <w:rFonts w:ascii="Cambria Math" w:hAnsi="Cambria Math" w:cs="Times New Roman"/>
                  <w:sz w:val="16"/>
                  <w:szCs w:val="14"/>
                </w:rPr>
                <m:t>Z</m:t>
              </m:r>
              <m:sSub>
                <m:sSubPr>
                  <m:ctrlPr>
                    <w:rPr>
                      <w:rFonts w:ascii="Cambria Math" w:hAnsi="Cambria Math" w:cs="Times New Roman"/>
                      <w:sz w:val="16"/>
                      <w:szCs w:val="14"/>
                    </w:rPr>
                  </m:ctrlPr>
                </m:sSubPr>
                <m:e>
                  <m:r>
                    <m:rPr>
                      <m:sty m:val="p"/>
                    </m:rPr>
                    <w:rPr>
                      <w:rFonts w:ascii="Cambria Math" w:hAnsi="Cambria Math" w:cs="Times New Roman"/>
                      <w:sz w:val="16"/>
                      <w:szCs w:val="14"/>
                    </w:rPr>
                    <m:t>r</m:t>
                  </m:r>
                </m:e>
                <m:sub>
                  <m:r>
                    <m:rPr>
                      <m:sty m:val="p"/>
                    </m:rPr>
                    <w:rPr>
                      <w:rFonts w:ascii="Cambria Math" w:hAnsi="Cambria Math" w:cs="Times New Roman"/>
                      <w:sz w:val="16"/>
                      <w:szCs w:val="14"/>
                    </w:rPr>
                    <m:t>0.1</m:t>
                  </m:r>
                </m:sub>
              </m:sSub>
              <m:sSub>
                <m:sSubPr>
                  <m:ctrlPr>
                    <w:rPr>
                      <w:rFonts w:ascii="Cambria Math" w:hAnsi="Cambria Math" w:cs="Times New Roman"/>
                      <w:sz w:val="16"/>
                      <w:szCs w:val="14"/>
                    </w:rPr>
                  </m:ctrlPr>
                </m:sSubPr>
                <m:e>
                  <m:r>
                    <m:rPr>
                      <m:sty m:val="p"/>
                    </m:rPr>
                    <w:rPr>
                      <w:rFonts w:ascii="Cambria Math" w:hAnsi="Cambria Math" w:cs="Times New Roman"/>
                      <w:sz w:val="16"/>
                      <w:szCs w:val="14"/>
                    </w:rPr>
                    <m:t>Y</m:t>
                  </m:r>
                </m:e>
                <m:sub>
                  <m:r>
                    <m:rPr>
                      <m:sty m:val="p"/>
                    </m:rPr>
                    <w:rPr>
                      <w:rFonts w:ascii="Cambria Math" w:hAnsi="Cambria Math" w:cs="Times New Roman"/>
                      <w:sz w:val="16"/>
                      <w:szCs w:val="14"/>
                    </w:rPr>
                    <m:t>0.1</m:t>
                  </m:r>
                </m:sub>
              </m:sSub>
              <m:r>
                <m:rPr>
                  <m:sty m:val="p"/>
                </m:rPr>
                <w:rPr>
                  <w:rFonts w:ascii="Cambria Math" w:hAnsi="Cambria Math" w:cs="Times New Roman"/>
                  <w:sz w:val="16"/>
                  <w:szCs w:val="14"/>
                </w:rPr>
                <m:t>Y</m:t>
              </m:r>
              <m:sSub>
                <m:sSubPr>
                  <m:ctrlPr>
                    <w:rPr>
                      <w:rFonts w:ascii="Cambria Math" w:hAnsi="Cambria Math" w:cs="Times New Roman"/>
                      <w:sz w:val="16"/>
                      <w:szCs w:val="14"/>
                    </w:rPr>
                  </m:ctrlPr>
                </m:sSubPr>
                <m:e>
                  <m:r>
                    <m:rPr>
                      <m:sty m:val="p"/>
                    </m:rPr>
                    <w:rPr>
                      <w:rFonts w:ascii="Cambria Math" w:hAnsi="Cambria Math" w:cs="Times New Roman"/>
                      <w:sz w:val="16"/>
                      <w:szCs w:val="14"/>
                    </w:rPr>
                    <m:t>b</m:t>
                  </m:r>
                </m:e>
                <m:sub>
                  <m:r>
                    <m:rPr>
                      <m:sty m:val="p"/>
                    </m:rPr>
                    <w:rPr>
                      <w:rFonts w:ascii="Cambria Math" w:hAnsi="Cambria Math" w:cs="Times New Roman"/>
                      <w:sz w:val="16"/>
                      <w:szCs w:val="14"/>
                    </w:rPr>
                    <m:t>0.1</m:t>
                  </m:r>
                </m:sub>
              </m:sSub>
              <m:sSub>
                <m:sSubPr>
                  <m:ctrlPr>
                    <w:rPr>
                      <w:rFonts w:ascii="Cambria Math" w:hAnsi="Cambria Math" w:cs="Times New Roman"/>
                      <w:sz w:val="16"/>
                      <w:szCs w:val="14"/>
                    </w:rPr>
                  </m:ctrlPr>
                </m:sSubPr>
                <m:e>
                  <m:r>
                    <m:rPr>
                      <m:sty m:val="p"/>
                    </m:rPr>
                    <w:rPr>
                      <w:rFonts w:ascii="Cambria Math" w:hAnsi="Cambria Math" w:cs="Times New Roman"/>
                      <w:sz w:val="16"/>
                      <w:szCs w:val="14"/>
                    </w:rPr>
                    <m:t>O</m:t>
                  </m:r>
                </m:e>
                <m:sub>
                  <m:r>
                    <m:rPr>
                      <m:sty m:val="p"/>
                    </m:rPr>
                    <w:rPr>
                      <w:rFonts w:ascii="Cambria Math" w:hAnsi="Cambria Math" w:cs="Times New Roman"/>
                      <w:sz w:val="16"/>
                      <w:szCs w:val="14"/>
                    </w:rPr>
                    <m:t>3-δ</m:t>
                  </m:r>
                </m:sub>
              </m:sSub>
            </m:oMath>
            <w:r w:rsidRPr="00782E1C">
              <w:rPr>
                <w:rFonts w:eastAsiaTheme="minorEastAsia" w:cs="Times New Roman"/>
                <w:sz w:val="16"/>
                <w:szCs w:val="14"/>
              </w:rPr>
              <w:t xml:space="preserve"> (25um)</w:t>
            </w:r>
          </w:p>
          <w:p w14:paraId="2D010E99" w14:textId="77777777" w:rsidR="00E170BA" w:rsidRPr="00782E1C" w:rsidRDefault="00E170BA" w:rsidP="002E7584">
            <w:pPr>
              <w:spacing w:line="240" w:lineRule="auto"/>
              <w:ind w:hanging="21"/>
              <w:rPr>
                <w:rFonts w:cs="Times New Roman"/>
                <w:sz w:val="16"/>
                <w:szCs w:val="14"/>
              </w:rPr>
            </w:pPr>
            <w:r w:rsidRPr="00782E1C">
              <w:rPr>
                <w:rFonts w:eastAsiaTheme="minorEastAsia" w:cs="Times New Roman"/>
                <w:sz w:val="16"/>
                <w:szCs w:val="14"/>
              </w:rPr>
              <w:t xml:space="preserve">C: </w:t>
            </w:r>
            <m:oMath>
              <m:r>
                <m:rPr>
                  <m:sty m:val="p"/>
                </m:rPr>
                <w:rPr>
                  <w:rFonts w:ascii="Cambria Math" w:eastAsiaTheme="minorEastAsia" w:hAnsi="Cambria Math" w:cs="Times New Roman"/>
                  <w:sz w:val="16"/>
                  <w:szCs w:val="14"/>
                </w:rPr>
                <m:t>L</m:t>
              </m:r>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a</m:t>
                  </m:r>
                </m:e>
                <m:sub>
                  <m:r>
                    <m:rPr>
                      <m:sty m:val="p"/>
                    </m:rPr>
                    <w:rPr>
                      <w:rFonts w:ascii="Cambria Math" w:eastAsiaTheme="minorEastAsia" w:hAnsi="Cambria Math" w:cs="Times New Roman"/>
                      <w:sz w:val="16"/>
                      <w:szCs w:val="14"/>
                    </w:rPr>
                    <m:t>0.6</m:t>
                  </m:r>
                </m:sub>
              </m:sSub>
              <m:r>
                <m:rPr>
                  <m:sty m:val="p"/>
                </m:rPr>
                <w:rPr>
                  <w:rFonts w:ascii="Cambria Math" w:eastAsiaTheme="minorEastAsia" w:hAnsi="Cambria Math" w:cs="Times New Roman"/>
                  <w:sz w:val="16"/>
                  <w:szCs w:val="14"/>
                </w:rPr>
                <m:t>S</m:t>
              </m:r>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r</m:t>
                  </m:r>
                </m:e>
                <m:sub>
                  <m:r>
                    <m:rPr>
                      <m:sty m:val="p"/>
                    </m:rPr>
                    <w:rPr>
                      <w:rFonts w:ascii="Cambria Math" w:eastAsiaTheme="minorEastAsia" w:hAnsi="Cambria Math" w:cs="Times New Roman"/>
                      <w:sz w:val="16"/>
                      <w:szCs w:val="14"/>
                    </w:rPr>
                    <m:t>0.4</m:t>
                  </m:r>
                </m:sub>
              </m:sSub>
              <m:r>
                <m:rPr>
                  <m:sty m:val="p"/>
                </m:rPr>
                <w:rPr>
                  <w:rFonts w:ascii="Cambria Math" w:eastAsiaTheme="minorEastAsia" w:hAnsi="Cambria Math" w:cs="Times New Roman"/>
                  <w:sz w:val="16"/>
                  <w:szCs w:val="14"/>
                </w:rPr>
                <m:t>C</m:t>
              </m:r>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o</m:t>
                  </m:r>
                </m:e>
                <m:sub>
                  <m:r>
                    <m:rPr>
                      <m:sty m:val="p"/>
                    </m:rPr>
                    <w:rPr>
                      <w:rFonts w:ascii="Cambria Math" w:eastAsiaTheme="minorEastAsia" w:hAnsi="Cambria Math" w:cs="Times New Roman"/>
                      <w:sz w:val="16"/>
                      <w:szCs w:val="14"/>
                    </w:rPr>
                    <m:t>0.2</m:t>
                  </m:r>
                </m:sub>
              </m:sSub>
              <m:r>
                <m:rPr>
                  <m:sty m:val="p"/>
                </m:rPr>
                <w:rPr>
                  <w:rFonts w:ascii="Cambria Math" w:eastAsiaTheme="minorEastAsia" w:hAnsi="Cambria Math" w:cs="Times New Roman"/>
                  <w:sz w:val="16"/>
                  <w:szCs w:val="14"/>
                </w:rPr>
                <m:t>F</m:t>
              </m:r>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e</m:t>
                  </m:r>
                </m:e>
                <m:sub>
                  <m:r>
                    <m:rPr>
                      <m:sty m:val="p"/>
                    </m:rPr>
                    <w:rPr>
                      <w:rFonts w:ascii="Cambria Math" w:eastAsiaTheme="minorEastAsia" w:hAnsi="Cambria Math" w:cs="Times New Roman"/>
                      <w:sz w:val="16"/>
                      <w:szCs w:val="14"/>
                    </w:rPr>
                    <m:t>0.8</m:t>
                  </m:r>
                </m:sub>
              </m:sSub>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O</m:t>
                  </m:r>
                </m:e>
                <m:sub>
                  <m:r>
                    <m:rPr>
                      <m:sty m:val="p"/>
                    </m:rPr>
                    <w:rPr>
                      <w:rFonts w:ascii="Cambria Math" w:eastAsiaTheme="minorEastAsia" w:hAnsi="Cambria Math" w:cs="Times New Roman"/>
                      <w:sz w:val="16"/>
                      <w:szCs w:val="14"/>
                    </w:rPr>
                    <m:t>3-δ</m:t>
                  </m:r>
                </m:sub>
              </m:sSub>
              <m:r>
                <m:rPr>
                  <m:sty m:val="p"/>
                </m:rPr>
                <w:rPr>
                  <w:rFonts w:ascii="Cambria Math" w:eastAsiaTheme="minorEastAsia" w:hAnsi="Cambria Math" w:cs="Times New Roman"/>
                  <w:sz w:val="16"/>
                  <w:szCs w:val="14"/>
                </w:rPr>
                <m:t>-BaC</m:t>
              </m:r>
              <m:sSub>
                <m:sSubPr>
                  <m:ctrlPr>
                    <w:rPr>
                      <w:rFonts w:ascii="Cambria Math" w:hAnsi="Cambria Math" w:cs="Times New Roman"/>
                      <w:sz w:val="16"/>
                      <w:szCs w:val="14"/>
                    </w:rPr>
                  </m:ctrlPr>
                </m:sSubPr>
                <m:e>
                  <m:r>
                    <m:rPr>
                      <m:sty m:val="p"/>
                    </m:rPr>
                    <w:rPr>
                      <w:rFonts w:ascii="Cambria Math" w:hAnsi="Cambria Math" w:cs="Times New Roman"/>
                      <w:sz w:val="16"/>
                      <w:szCs w:val="14"/>
                    </w:rPr>
                    <m:t>e</m:t>
                  </m:r>
                </m:e>
                <m:sub>
                  <m:r>
                    <m:rPr>
                      <m:sty m:val="p"/>
                    </m:rPr>
                    <w:rPr>
                      <w:rFonts w:ascii="Cambria Math" w:hAnsi="Cambria Math" w:cs="Times New Roman"/>
                      <w:sz w:val="16"/>
                      <w:szCs w:val="14"/>
                    </w:rPr>
                    <m:t>0.7</m:t>
                  </m:r>
                </m:sub>
              </m:sSub>
              <m:r>
                <m:rPr>
                  <m:sty m:val="p"/>
                </m:rPr>
                <w:rPr>
                  <w:rFonts w:ascii="Cambria Math" w:hAnsi="Cambria Math" w:cs="Times New Roman"/>
                  <w:sz w:val="16"/>
                  <w:szCs w:val="14"/>
                </w:rPr>
                <m:t>Z</m:t>
              </m:r>
              <m:sSub>
                <m:sSubPr>
                  <m:ctrlPr>
                    <w:rPr>
                      <w:rFonts w:ascii="Cambria Math" w:hAnsi="Cambria Math" w:cs="Times New Roman"/>
                      <w:sz w:val="16"/>
                      <w:szCs w:val="14"/>
                    </w:rPr>
                  </m:ctrlPr>
                </m:sSubPr>
                <m:e>
                  <m:r>
                    <m:rPr>
                      <m:sty m:val="p"/>
                    </m:rPr>
                    <w:rPr>
                      <w:rFonts w:ascii="Cambria Math" w:hAnsi="Cambria Math" w:cs="Times New Roman"/>
                      <w:sz w:val="16"/>
                      <w:szCs w:val="14"/>
                    </w:rPr>
                    <m:t>r</m:t>
                  </m:r>
                </m:e>
                <m:sub>
                  <m:r>
                    <m:rPr>
                      <m:sty m:val="p"/>
                    </m:rPr>
                    <w:rPr>
                      <w:rFonts w:ascii="Cambria Math" w:hAnsi="Cambria Math" w:cs="Times New Roman"/>
                      <w:sz w:val="16"/>
                      <w:szCs w:val="14"/>
                    </w:rPr>
                    <m:t>0.1</m:t>
                  </m:r>
                </m:sub>
              </m:sSub>
              <m:sSub>
                <m:sSubPr>
                  <m:ctrlPr>
                    <w:rPr>
                      <w:rFonts w:ascii="Cambria Math" w:hAnsi="Cambria Math" w:cs="Times New Roman"/>
                      <w:sz w:val="16"/>
                      <w:szCs w:val="14"/>
                    </w:rPr>
                  </m:ctrlPr>
                </m:sSubPr>
                <m:e>
                  <m:r>
                    <m:rPr>
                      <m:sty m:val="p"/>
                    </m:rPr>
                    <w:rPr>
                      <w:rFonts w:ascii="Cambria Math" w:hAnsi="Cambria Math" w:cs="Times New Roman"/>
                      <w:sz w:val="16"/>
                      <w:szCs w:val="14"/>
                    </w:rPr>
                    <m:t>Y</m:t>
                  </m:r>
                </m:e>
                <m:sub>
                  <m:r>
                    <m:rPr>
                      <m:sty m:val="p"/>
                    </m:rPr>
                    <w:rPr>
                      <w:rFonts w:ascii="Cambria Math" w:hAnsi="Cambria Math" w:cs="Times New Roman"/>
                      <w:sz w:val="16"/>
                      <w:szCs w:val="14"/>
                    </w:rPr>
                    <m:t>0.1</m:t>
                  </m:r>
                </m:sub>
              </m:sSub>
              <m:r>
                <m:rPr>
                  <m:sty m:val="p"/>
                </m:rPr>
                <w:rPr>
                  <w:rFonts w:ascii="Cambria Math" w:hAnsi="Cambria Math" w:cs="Times New Roman"/>
                  <w:sz w:val="16"/>
                  <w:szCs w:val="14"/>
                </w:rPr>
                <m:t>Y</m:t>
              </m:r>
              <m:sSub>
                <m:sSubPr>
                  <m:ctrlPr>
                    <w:rPr>
                      <w:rFonts w:ascii="Cambria Math" w:hAnsi="Cambria Math" w:cs="Times New Roman"/>
                      <w:sz w:val="16"/>
                      <w:szCs w:val="14"/>
                    </w:rPr>
                  </m:ctrlPr>
                </m:sSubPr>
                <m:e>
                  <m:r>
                    <m:rPr>
                      <m:sty m:val="p"/>
                    </m:rPr>
                    <w:rPr>
                      <w:rFonts w:ascii="Cambria Math" w:hAnsi="Cambria Math" w:cs="Times New Roman"/>
                      <w:sz w:val="16"/>
                      <w:szCs w:val="14"/>
                    </w:rPr>
                    <m:t>b</m:t>
                  </m:r>
                </m:e>
                <m:sub>
                  <m:r>
                    <m:rPr>
                      <m:sty m:val="p"/>
                    </m:rPr>
                    <w:rPr>
                      <w:rFonts w:ascii="Cambria Math" w:hAnsi="Cambria Math" w:cs="Times New Roman"/>
                      <w:sz w:val="16"/>
                      <w:szCs w:val="14"/>
                    </w:rPr>
                    <m:t>0.1</m:t>
                  </m:r>
                </m:sub>
              </m:sSub>
              <m:sSub>
                <m:sSubPr>
                  <m:ctrlPr>
                    <w:rPr>
                      <w:rFonts w:ascii="Cambria Math" w:hAnsi="Cambria Math" w:cs="Times New Roman"/>
                      <w:sz w:val="16"/>
                      <w:szCs w:val="14"/>
                    </w:rPr>
                  </m:ctrlPr>
                </m:sSubPr>
                <m:e>
                  <m:r>
                    <m:rPr>
                      <m:sty m:val="p"/>
                    </m:rPr>
                    <w:rPr>
                      <w:rFonts w:ascii="Cambria Math" w:hAnsi="Cambria Math" w:cs="Times New Roman"/>
                      <w:sz w:val="16"/>
                      <w:szCs w:val="14"/>
                    </w:rPr>
                    <m:t>O</m:t>
                  </m:r>
                </m:e>
                <m:sub>
                  <m:r>
                    <m:rPr>
                      <m:sty m:val="p"/>
                    </m:rPr>
                    <w:rPr>
                      <w:rFonts w:ascii="Cambria Math" w:hAnsi="Cambria Math" w:cs="Times New Roman"/>
                      <w:sz w:val="16"/>
                      <w:szCs w:val="14"/>
                    </w:rPr>
                    <m:t>3-δ</m:t>
                  </m:r>
                </m:sub>
              </m:sSub>
            </m:oMath>
          </w:p>
        </w:tc>
        <w:tc>
          <w:tcPr>
            <w:tcW w:w="2250" w:type="dxa"/>
            <w:vAlign w:val="center"/>
          </w:tcPr>
          <w:p w14:paraId="1C99CCB7" w14:textId="77777777" w:rsidR="00E170BA" w:rsidRPr="00782E1C" w:rsidRDefault="00E170BA" w:rsidP="002E7584">
            <w:pPr>
              <w:spacing w:line="240" w:lineRule="auto"/>
              <w:ind w:firstLine="0"/>
              <w:rPr>
                <w:rFonts w:eastAsiaTheme="minorEastAsia" w:cs="Times New Roman"/>
                <w:sz w:val="16"/>
                <w:szCs w:val="14"/>
              </w:rPr>
            </w:pPr>
            <m:oMath>
              <m:r>
                <m:rPr>
                  <m:sty m:val="p"/>
                </m:rPr>
                <w:rPr>
                  <w:rFonts w:ascii="Cambria Math" w:hAnsi="Cambria Math" w:cs="Times New Roman"/>
                  <w:sz w:val="16"/>
                  <w:szCs w:val="14"/>
                </w:rPr>
                <m:t>500 °C:188 mW/c</m:t>
              </m:r>
              <m:sSup>
                <m:sSupPr>
                  <m:ctrlPr>
                    <w:rPr>
                      <w:rFonts w:ascii="Cambria Math" w:hAnsi="Cambria Math" w:cs="Times New Roman"/>
                      <w:sz w:val="16"/>
                      <w:szCs w:val="14"/>
                    </w:rPr>
                  </m:ctrlPr>
                </m:sSupPr>
                <m:e>
                  <m:r>
                    <m:rPr>
                      <m:sty m:val="p"/>
                    </m:rPr>
                    <w:rPr>
                      <w:rFonts w:ascii="Cambria Math" w:hAnsi="Cambria Math" w:cs="Times New Roman"/>
                      <w:sz w:val="16"/>
                      <w:szCs w:val="14"/>
                    </w:rPr>
                    <m:t>m</m:t>
                  </m:r>
                </m:e>
                <m:sup>
                  <m:r>
                    <m:rPr>
                      <m:sty m:val="p"/>
                    </m:rPr>
                    <w:rPr>
                      <w:rFonts w:ascii="Cambria Math" w:hAnsi="Cambria Math" w:cs="Times New Roman"/>
                      <w:sz w:val="16"/>
                      <w:szCs w:val="14"/>
                    </w:rPr>
                    <m:t>2</m:t>
                  </m:r>
                </m:sup>
              </m:sSup>
            </m:oMath>
            <w:r w:rsidRPr="00782E1C">
              <w:rPr>
                <w:rFonts w:eastAsiaTheme="minorEastAsia" w:cs="Times New Roman"/>
                <w:sz w:val="16"/>
                <w:szCs w:val="14"/>
              </w:rPr>
              <w:t xml:space="preserve"> </w:t>
            </w:r>
          </w:p>
          <w:p w14:paraId="534F46BF" w14:textId="77777777" w:rsidR="00E170BA" w:rsidRPr="00782E1C" w:rsidRDefault="00E170BA" w:rsidP="002E7584">
            <w:pPr>
              <w:spacing w:line="240" w:lineRule="auto"/>
              <w:ind w:firstLine="0"/>
              <w:rPr>
                <w:rFonts w:eastAsiaTheme="minorEastAsia" w:cs="Times New Roman"/>
                <w:sz w:val="16"/>
                <w:szCs w:val="14"/>
              </w:rPr>
            </w:pPr>
            <m:oMath>
              <m:r>
                <m:rPr>
                  <m:sty m:val="p"/>
                </m:rPr>
                <w:rPr>
                  <w:rFonts w:ascii="Cambria Math" w:hAnsi="Cambria Math" w:cs="Times New Roman"/>
                  <w:sz w:val="16"/>
                  <w:szCs w:val="14"/>
                </w:rPr>
                <m:t>550 °C:294 mW/c</m:t>
              </m:r>
              <m:sSup>
                <m:sSupPr>
                  <m:ctrlPr>
                    <w:rPr>
                      <w:rFonts w:ascii="Cambria Math" w:hAnsi="Cambria Math" w:cs="Times New Roman"/>
                      <w:sz w:val="16"/>
                      <w:szCs w:val="14"/>
                    </w:rPr>
                  </m:ctrlPr>
                </m:sSupPr>
                <m:e>
                  <m:r>
                    <m:rPr>
                      <m:sty m:val="p"/>
                    </m:rPr>
                    <w:rPr>
                      <w:rFonts w:ascii="Cambria Math" w:hAnsi="Cambria Math" w:cs="Times New Roman"/>
                      <w:sz w:val="16"/>
                      <w:szCs w:val="14"/>
                    </w:rPr>
                    <m:t>m</m:t>
                  </m:r>
                </m:e>
                <m:sup>
                  <m:r>
                    <m:rPr>
                      <m:sty m:val="p"/>
                    </m:rPr>
                    <w:rPr>
                      <w:rFonts w:ascii="Cambria Math" w:hAnsi="Cambria Math" w:cs="Times New Roman"/>
                      <w:sz w:val="16"/>
                      <w:szCs w:val="14"/>
                    </w:rPr>
                    <m:t>2</m:t>
                  </m:r>
                </m:sup>
              </m:sSup>
            </m:oMath>
            <w:r w:rsidRPr="00782E1C">
              <w:rPr>
                <w:rFonts w:eastAsiaTheme="minorEastAsia" w:cs="Times New Roman"/>
                <w:sz w:val="16"/>
                <w:szCs w:val="14"/>
              </w:rPr>
              <w:t xml:space="preserve"> </w:t>
            </w:r>
          </w:p>
          <w:p w14:paraId="2359E50E" w14:textId="77777777" w:rsidR="00E170BA" w:rsidRPr="00782E1C" w:rsidRDefault="00E170BA" w:rsidP="002E7584">
            <w:pPr>
              <w:spacing w:line="240" w:lineRule="auto"/>
              <w:ind w:firstLine="0"/>
              <w:rPr>
                <w:rFonts w:cs="Times New Roman"/>
                <w:sz w:val="16"/>
                <w:szCs w:val="14"/>
              </w:rPr>
            </w:pPr>
            <m:oMath>
              <m:r>
                <m:rPr>
                  <m:sty m:val="p"/>
                </m:rPr>
                <w:rPr>
                  <w:rFonts w:ascii="Cambria Math" w:hAnsi="Cambria Math" w:cs="Times New Roman"/>
                  <w:sz w:val="16"/>
                  <w:szCs w:val="14"/>
                </w:rPr>
                <m:t>600 °C: 465 mW/c</m:t>
              </m:r>
              <m:sSup>
                <m:sSupPr>
                  <m:ctrlPr>
                    <w:rPr>
                      <w:rFonts w:ascii="Cambria Math" w:hAnsi="Cambria Math" w:cs="Times New Roman"/>
                      <w:sz w:val="16"/>
                      <w:szCs w:val="14"/>
                    </w:rPr>
                  </m:ctrlPr>
                </m:sSupPr>
                <m:e>
                  <m:r>
                    <m:rPr>
                      <m:sty m:val="p"/>
                    </m:rPr>
                    <w:rPr>
                      <w:rFonts w:ascii="Cambria Math" w:hAnsi="Cambria Math" w:cs="Times New Roman"/>
                      <w:sz w:val="16"/>
                      <w:szCs w:val="14"/>
                    </w:rPr>
                    <m:t>m</m:t>
                  </m:r>
                </m:e>
                <m:sup>
                  <m:r>
                    <m:rPr>
                      <m:sty m:val="p"/>
                    </m:rPr>
                    <w:rPr>
                      <w:rFonts w:ascii="Cambria Math" w:hAnsi="Cambria Math" w:cs="Times New Roman"/>
                      <w:sz w:val="16"/>
                      <w:szCs w:val="14"/>
                    </w:rPr>
                    <m:t>2</m:t>
                  </m:r>
                </m:sup>
              </m:sSup>
            </m:oMath>
            <w:r w:rsidRPr="00782E1C">
              <w:rPr>
                <w:rFonts w:eastAsiaTheme="minorEastAsia" w:cs="Times New Roman"/>
                <w:sz w:val="16"/>
                <w:szCs w:val="14"/>
              </w:rPr>
              <w:t xml:space="preserve"> </w:t>
            </w:r>
          </w:p>
        </w:tc>
        <w:tc>
          <w:tcPr>
            <w:tcW w:w="1890" w:type="dxa"/>
            <w:vAlign w:val="center"/>
          </w:tcPr>
          <w:p w14:paraId="4AB5117E" w14:textId="77777777" w:rsidR="00E170BA" w:rsidRPr="00782E1C" w:rsidRDefault="00E170BA" w:rsidP="002E7584">
            <w:pPr>
              <w:spacing w:line="240" w:lineRule="auto"/>
              <w:ind w:firstLine="0"/>
              <w:rPr>
                <w:rFonts w:cs="Times New Roman"/>
                <w:sz w:val="16"/>
                <w:szCs w:val="14"/>
              </w:rPr>
            </w:pPr>
            <w:r w:rsidRPr="00782E1C">
              <w:rPr>
                <w:rFonts w:cs="Times New Roman"/>
                <w:sz w:val="16"/>
                <w:szCs w:val="14"/>
              </w:rPr>
              <w:t xml:space="preserve">Tubular PCFC with working area of 2.3 </w:t>
            </w:r>
            <m:oMath>
              <m:r>
                <m:rPr>
                  <m:sty m:val="p"/>
                </m:rPr>
                <w:rPr>
                  <w:rFonts w:ascii="Cambria Math" w:hAnsi="Cambria Math" w:cs="Times New Roman"/>
                  <w:sz w:val="16"/>
                  <w:szCs w:val="14"/>
                </w:rPr>
                <m:t>c</m:t>
              </m:r>
              <m:sSup>
                <m:sSupPr>
                  <m:ctrlPr>
                    <w:rPr>
                      <w:rFonts w:ascii="Cambria Math" w:hAnsi="Cambria Math" w:cs="Times New Roman"/>
                      <w:sz w:val="16"/>
                      <w:szCs w:val="14"/>
                    </w:rPr>
                  </m:ctrlPr>
                </m:sSupPr>
                <m:e>
                  <m:r>
                    <m:rPr>
                      <m:sty m:val="p"/>
                    </m:rPr>
                    <w:rPr>
                      <w:rFonts w:ascii="Cambria Math" w:hAnsi="Cambria Math" w:cs="Times New Roman"/>
                      <w:sz w:val="16"/>
                      <w:szCs w:val="14"/>
                    </w:rPr>
                    <m:t>m</m:t>
                  </m:r>
                </m:e>
                <m:sup>
                  <m:r>
                    <m:rPr>
                      <m:sty m:val="p"/>
                    </m:rPr>
                    <w:rPr>
                      <w:rFonts w:ascii="Cambria Math" w:hAnsi="Cambria Math" w:cs="Times New Roman"/>
                      <w:sz w:val="16"/>
                      <w:szCs w:val="14"/>
                    </w:rPr>
                    <m:t>2</m:t>
                  </m:r>
                </m:sup>
              </m:sSup>
            </m:oMath>
          </w:p>
        </w:tc>
        <w:tc>
          <w:tcPr>
            <w:tcW w:w="630" w:type="dxa"/>
            <w:vAlign w:val="center"/>
          </w:tcPr>
          <w:p w14:paraId="1F6CEC96" w14:textId="77777777" w:rsidR="00E170BA" w:rsidRPr="00782E1C" w:rsidRDefault="00E170BA" w:rsidP="002E7584">
            <w:pPr>
              <w:tabs>
                <w:tab w:val="left" w:pos="157"/>
              </w:tabs>
              <w:spacing w:line="240" w:lineRule="auto"/>
              <w:ind w:firstLine="0"/>
              <w:rPr>
                <w:rFonts w:cs="Times New Roman"/>
                <w:sz w:val="16"/>
                <w:szCs w:val="14"/>
              </w:rPr>
            </w:pPr>
            <w:r w:rsidRPr="00782E1C">
              <w:rPr>
                <w:rFonts w:cs="Times New Roman"/>
                <w:sz w:val="16"/>
                <w:szCs w:val="14"/>
              </w:rPr>
              <w:t>2021</w:t>
            </w:r>
          </w:p>
        </w:tc>
        <w:tc>
          <w:tcPr>
            <w:tcW w:w="535" w:type="dxa"/>
            <w:vAlign w:val="center"/>
          </w:tcPr>
          <w:p w14:paraId="30BCF9DB" w14:textId="7AAD130A" w:rsidR="00E170BA" w:rsidRPr="00782E1C" w:rsidRDefault="00E170BA" w:rsidP="002E7584">
            <w:pPr>
              <w:spacing w:line="240" w:lineRule="auto"/>
              <w:ind w:firstLine="0"/>
              <w:rPr>
                <w:rFonts w:cs="Times New Roman"/>
                <w:sz w:val="16"/>
                <w:szCs w:val="14"/>
              </w:rPr>
            </w:pPr>
            <w:r w:rsidRPr="00782E1C">
              <w:rPr>
                <w:rFonts w:cs="Times New Roman"/>
                <w:sz w:val="16"/>
                <w:szCs w:val="14"/>
              </w:rPr>
              <w:fldChar w:fldCharType="begin"/>
            </w:r>
            <w:r w:rsidR="00CA7A9D">
              <w:rPr>
                <w:rFonts w:cs="Times New Roman"/>
                <w:sz w:val="16"/>
                <w:szCs w:val="14"/>
              </w:rPr>
              <w:instrText xml:space="preserve"> ADDIN ZOTERO_ITEM CSL_CITATION {"citationID":"vIixLrjs","properties":{"formattedCitation":"[27]","plainCitation":"[27]","noteIndex":0},"citationItems":[{"id":196,"uris":["http://zotero.org/users/12063231/items/LKH32LS3"],"itemData":{"id":196,"type":"article-journal","abstract":"An anode-supported tubular protonic ceramic fuel cell with BaCe0.7Zr0.1Y0.2O3-δ electrolyte is fabricated using dip-coating technique. Electrochemical performances of the cell are tested at temperatures from 600 to 200 °C, utilizing humidified H2 (3 vol% H2O) as fuel and ambient air as oxidant. With an effective area of 2.3 cm2, the cell yields a peak power density of 465 mW cm−2 at 600 °C and 118 mW cm−2 at 450 °C. Even when the temperature is as low as 200 °C, there is still an output power of 3 mW. Stability of the cell under 600 °C is tested by operating the cell at a constant voltage of 0.7 V. The test lasts for 30 h during which the operating power density decreases rapidly in the first 10 h, then tend to be stable at 300 mW cm−2.","container-title":"Electrochemistry Communications","page":"106986","title":"High performance low-temperature tubular protonic ceramic fuel cells based on barium cerate-zirconate electrolyte - ScienceDirect","volume":"125","author":[{"family":"Cao","given":"Dan"},{"family":"Zhou","given":"Mingyang"},{"family":"Yan","given":"Xiaomin"},{"family":"Liu","given":"Zhijun"},{"family":"Liu","given":"Jiang"}],"issued":{"date-parts":[["2021",4]]}}}],"schema":"https://github.com/citation-style-language/schema/raw/master/csl-citation.json"} </w:instrText>
            </w:r>
            <w:r w:rsidRPr="00782E1C">
              <w:rPr>
                <w:rFonts w:cs="Times New Roman"/>
                <w:sz w:val="16"/>
                <w:szCs w:val="14"/>
              </w:rPr>
              <w:fldChar w:fldCharType="separate"/>
            </w:r>
            <w:r w:rsidR="00CA7A9D" w:rsidRPr="00CA7A9D">
              <w:rPr>
                <w:rFonts w:ascii="Aptos" w:hAnsi="Aptos"/>
                <w:sz w:val="16"/>
              </w:rPr>
              <w:t>[27]</w:t>
            </w:r>
            <w:r w:rsidRPr="00782E1C">
              <w:rPr>
                <w:rFonts w:cs="Times New Roman"/>
                <w:sz w:val="16"/>
                <w:szCs w:val="14"/>
              </w:rPr>
              <w:fldChar w:fldCharType="end"/>
            </w:r>
          </w:p>
        </w:tc>
      </w:tr>
      <w:tr w:rsidR="00E170BA" w:rsidRPr="00782E1C" w14:paraId="16F52790" w14:textId="77777777" w:rsidTr="002E7584">
        <w:trPr>
          <w:trHeight w:val="530"/>
          <w:jc w:val="center"/>
        </w:trPr>
        <w:tc>
          <w:tcPr>
            <w:tcW w:w="4045" w:type="dxa"/>
            <w:vAlign w:val="center"/>
          </w:tcPr>
          <w:p w14:paraId="4D3C096A" w14:textId="77777777" w:rsidR="00E170BA" w:rsidRPr="00782E1C" w:rsidRDefault="00E170BA" w:rsidP="002E7584">
            <w:pPr>
              <w:spacing w:line="240" w:lineRule="auto"/>
              <w:ind w:hanging="21"/>
              <w:rPr>
                <w:rFonts w:eastAsiaTheme="minorEastAsia" w:cs="Times New Roman"/>
                <w:sz w:val="16"/>
                <w:szCs w:val="14"/>
              </w:rPr>
            </w:pPr>
            <w:r w:rsidRPr="00782E1C">
              <w:rPr>
                <w:rFonts w:cs="Times New Roman"/>
                <w:sz w:val="16"/>
                <w:szCs w:val="14"/>
              </w:rPr>
              <w:t xml:space="preserve">E: </w:t>
            </w:r>
            <m:oMath>
              <m:r>
                <m:rPr>
                  <m:sty m:val="p"/>
                </m:rPr>
                <w:rPr>
                  <w:rFonts w:ascii="Cambria Math" w:hAnsi="Cambria Math" w:cs="Times New Roman"/>
                  <w:sz w:val="16"/>
                  <w:szCs w:val="14"/>
                </w:rPr>
                <m:t>BaZ</m:t>
              </m:r>
              <m:sSub>
                <m:sSubPr>
                  <m:ctrlPr>
                    <w:rPr>
                      <w:rFonts w:ascii="Cambria Math" w:hAnsi="Cambria Math" w:cs="Times New Roman"/>
                      <w:sz w:val="16"/>
                      <w:szCs w:val="14"/>
                    </w:rPr>
                  </m:ctrlPr>
                </m:sSubPr>
                <m:e>
                  <m:r>
                    <m:rPr>
                      <m:sty m:val="p"/>
                    </m:rPr>
                    <w:rPr>
                      <w:rFonts w:ascii="Cambria Math" w:hAnsi="Cambria Math" w:cs="Times New Roman"/>
                      <w:sz w:val="16"/>
                      <w:szCs w:val="14"/>
                    </w:rPr>
                    <m:t>r</m:t>
                  </m:r>
                </m:e>
                <m:sub>
                  <m:r>
                    <m:rPr>
                      <m:sty m:val="p"/>
                    </m:rPr>
                    <w:rPr>
                      <w:rFonts w:ascii="Cambria Math" w:hAnsi="Cambria Math" w:cs="Times New Roman"/>
                      <w:sz w:val="16"/>
                      <w:szCs w:val="14"/>
                    </w:rPr>
                    <m:t>0.1</m:t>
                  </m:r>
                </m:sub>
              </m:sSub>
              <m:r>
                <m:rPr>
                  <m:sty m:val="p"/>
                </m:rPr>
                <w:rPr>
                  <w:rFonts w:ascii="Cambria Math" w:hAnsi="Cambria Math" w:cs="Times New Roman"/>
                  <w:sz w:val="16"/>
                  <w:szCs w:val="14"/>
                </w:rPr>
                <m:t>C</m:t>
              </m:r>
              <m:sSub>
                <m:sSubPr>
                  <m:ctrlPr>
                    <w:rPr>
                      <w:rFonts w:ascii="Cambria Math" w:hAnsi="Cambria Math" w:cs="Times New Roman"/>
                      <w:sz w:val="16"/>
                      <w:szCs w:val="14"/>
                    </w:rPr>
                  </m:ctrlPr>
                </m:sSubPr>
                <m:e>
                  <m:r>
                    <m:rPr>
                      <m:sty m:val="p"/>
                    </m:rPr>
                    <w:rPr>
                      <w:rFonts w:ascii="Cambria Math" w:hAnsi="Cambria Math" w:cs="Times New Roman"/>
                      <w:sz w:val="16"/>
                      <w:szCs w:val="14"/>
                    </w:rPr>
                    <m:t>e</m:t>
                  </m:r>
                </m:e>
                <m:sub>
                  <m:r>
                    <m:rPr>
                      <m:sty m:val="p"/>
                    </m:rPr>
                    <w:rPr>
                      <w:rFonts w:ascii="Cambria Math" w:hAnsi="Cambria Math" w:cs="Times New Roman"/>
                      <w:sz w:val="16"/>
                      <w:szCs w:val="14"/>
                    </w:rPr>
                    <m:t>0.7</m:t>
                  </m:r>
                </m:sub>
              </m:sSub>
              <m:sSub>
                <m:sSubPr>
                  <m:ctrlPr>
                    <w:rPr>
                      <w:rFonts w:ascii="Cambria Math" w:hAnsi="Cambria Math" w:cs="Times New Roman"/>
                      <w:sz w:val="16"/>
                      <w:szCs w:val="14"/>
                    </w:rPr>
                  </m:ctrlPr>
                </m:sSubPr>
                <m:e>
                  <m:r>
                    <m:rPr>
                      <m:sty m:val="p"/>
                    </m:rPr>
                    <w:rPr>
                      <w:rFonts w:ascii="Cambria Math" w:hAnsi="Cambria Math" w:cs="Times New Roman"/>
                      <w:sz w:val="16"/>
                      <w:szCs w:val="14"/>
                    </w:rPr>
                    <m:t>Y</m:t>
                  </m:r>
                </m:e>
                <m:sub>
                  <m:r>
                    <m:rPr>
                      <m:sty m:val="p"/>
                    </m:rPr>
                    <w:rPr>
                      <w:rFonts w:ascii="Cambria Math" w:hAnsi="Cambria Math" w:cs="Times New Roman"/>
                      <w:sz w:val="16"/>
                      <w:szCs w:val="14"/>
                    </w:rPr>
                    <m:t>0.1</m:t>
                  </m:r>
                </m:sub>
              </m:sSub>
              <m:r>
                <m:rPr>
                  <m:sty m:val="p"/>
                </m:rPr>
                <w:rPr>
                  <w:rFonts w:ascii="Cambria Math" w:hAnsi="Cambria Math" w:cs="Times New Roman"/>
                  <w:sz w:val="16"/>
                  <w:szCs w:val="14"/>
                </w:rPr>
                <m:t>Y</m:t>
              </m:r>
              <m:sSub>
                <m:sSubPr>
                  <m:ctrlPr>
                    <w:rPr>
                      <w:rFonts w:ascii="Cambria Math" w:hAnsi="Cambria Math" w:cs="Times New Roman"/>
                      <w:sz w:val="16"/>
                      <w:szCs w:val="14"/>
                    </w:rPr>
                  </m:ctrlPr>
                </m:sSubPr>
                <m:e>
                  <m:r>
                    <m:rPr>
                      <m:sty m:val="p"/>
                    </m:rPr>
                    <w:rPr>
                      <w:rFonts w:ascii="Cambria Math" w:hAnsi="Cambria Math" w:cs="Times New Roman"/>
                      <w:sz w:val="16"/>
                      <w:szCs w:val="14"/>
                    </w:rPr>
                    <m:t>b</m:t>
                  </m:r>
                </m:e>
                <m:sub>
                  <m:r>
                    <m:rPr>
                      <m:sty m:val="p"/>
                    </m:rPr>
                    <w:rPr>
                      <w:rFonts w:ascii="Cambria Math" w:hAnsi="Cambria Math" w:cs="Times New Roman"/>
                      <w:sz w:val="16"/>
                      <w:szCs w:val="14"/>
                    </w:rPr>
                    <m:t>0.1</m:t>
                  </m:r>
                </m:sub>
              </m:sSub>
              <m:r>
                <m:rPr>
                  <m:sty m:val="p"/>
                </m:rPr>
                <w:rPr>
                  <w:rFonts w:ascii="Cambria Math" w:hAnsi="Cambria Math" w:cs="Times New Roman"/>
                  <w:sz w:val="16"/>
                  <w:szCs w:val="14"/>
                </w:rPr>
                <m:t xml:space="preserve"> (7 um)</m:t>
              </m:r>
            </m:oMath>
          </w:p>
          <w:p w14:paraId="1341F86F" w14:textId="77777777" w:rsidR="00E170BA" w:rsidRPr="00782E1C" w:rsidRDefault="00E170BA" w:rsidP="002E7584">
            <w:pPr>
              <w:spacing w:line="240" w:lineRule="auto"/>
              <w:ind w:hanging="21"/>
              <w:rPr>
                <w:rFonts w:cs="Times New Roman"/>
                <w:sz w:val="16"/>
                <w:szCs w:val="14"/>
              </w:rPr>
            </w:pPr>
            <w:r w:rsidRPr="00782E1C">
              <w:rPr>
                <w:rFonts w:eastAsiaTheme="minorEastAsia" w:cs="Times New Roman"/>
                <w:sz w:val="16"/>
                <w:szCs w:val="14"/>
              </w:rPr>
              <w:t xml:space="preserve">C: </w:t>
            </w:r>
            <m:oMath>
              <m:r>
                <m:rPr>
                  <m:sty m:val="p"/>
                </m:rPr>
                <w:rPr>
                  <w:rFonts w:ascii="Cambria Math" w:eastAsiaTheme="minorEastAsia" w:hAnsi="Cambria Math" w:cs="Times New Roman"/>
                  <w:sz w:val="16"/>
                  <w:szCs w:val="14"/>
                </w:rPr>
                <m:t>PrB</m:t>
              </m:r>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a</m:t>
                  </m:r>
                </m:e>
                <m:sub>
                  <m:r>
                    <m:rPr>
                      <m:sty m:val="p"/>
                    </m:rPr>
                    <w:rPr>
                      <w:rFonts w:ascii="Cambria Math" w:eastAsiaTheme="minorEastAsia" w:hAnsi="Cambria Math" w:cs="Times New Roman"/>
                      <w:sz w:val="16"/>
                      <w:szCs w:val="14"/>
                    </w:rPr>
                    <m:t>0.5</m:t>
                  </m:r>
                </m:sub>
              </m:sSub>
              <m:r>
                <m:rPr>
                  <m:sty m:val="p"/>
                </m:rPr>
                <w:rPr>
                  <w:rFonts w:ascii="Cambria Math" w:eastAsiaTheme="minorEastAsia" w:hAnsi="Cambria Math" w:cs="Times New Roman"/>
                  <w:sz w:val="16"/>
                  <w:szCs w:val="14"/>
                </w:rPr>
                <m:t>S</m:t>
              </m:r>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r</m:t>
                  </m:r>
                </m:e>
                <m:sub>
                  <m:r>
                    <m:rPr>
                      <m:sty m:val="p"/>
                    </m:rPr>
                    <w:rPr>
                      <w:rFonts w:ascii="Cambria Math" w:eastAsiaTheme="minorEastAsia" w:hAnsi="Cambria Math" w:cs="Times New Roman"/>
                      <w:sz w:val="16"/>
                      <w:szCs w:val="14"/>
                    </w:rPr>
                    <m:t>0.5</m:t>
                  </m:r>
                </m:sub>
              </m:sSub>
              <m:r>
                <m:rPr>
                  <m:sty m:val="p"/>
                </m:rPr>
                <w:rPr>
                  <w:rFonts w:ascii="Cambria Math" w:eastAsiaTheme="minorEastAsia" w:hAnsi="Cambria Math" w:cs="Times New Roman"/>
                  <w:sz w:val="16"/>
                  <w:szCs w:val="14"/>
                </w:rPr>
                <m:t>C</m:t>
              </m:r>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o</m:t>
                  </m:r>
                </m:e>
                <m:sub>
                  <m:r>
                    <m:rPr>
                      <m:sty m:val="p"/>
                    </m:rPr>
                    <w:rPr>
                      <w:rFonts w:ascii="Cambria Math" w:eastAsiaTheme="minorEastAsia" w:hAnsi="Cambria Math" w:cs="Times New Roman"/>
                      <w:sz w:val="16"/>
                      <w:szCs w:val="14"/>
                    </w:rPr>
                    <m:t>1.5</m:t>
                  </m:r>
                </m:sub>
              </m:sSub>
              <m:r>
                <m:rPr>
                  <m:sty m:val="p"/>
                </m:rPr>
                <w:rPr>
                  <w:rFonts w:ascii="Cambria Math" w:eastAsiaTheme="minorEastAsia" w:hAnsi="Cambria Math" w:cs="Times New Roman"/>
                  <w:sz w:val="16"/>
                  <w:szCs w:val="14"/>
                </w:rPr>
                <m:t>F</m:t>
              </m:r>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e</m:t>
                  </m:r>
                </m:e>
                <m:sub>
                  <m:r>
                    <m:rPr>
                      <m:sty m:val="p"/>
                    </m:rPr>
                    <w:rPr>
                      <w:rFonts w:ascii="Cambria Math" w:eastAsiaTheme="minorEastAsia" w:hAnsi="Cambria Math" w:cs="Times New Roman"/>
                      <w:sz w:val="16"/>
                      <w:szCs w:val="14"/>
                    </w:rPr>
                    <m:t>0.5</m:t>
                  </m:r>
                </m:sub>
              </m:sSub>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O</m:t>
                  </m:r>
                </m:e>
                <m:sub>
                  <m:r>
                    <m:rPr>
                      <m:sty m:val="p"/>
                    </m:rPr>
                    <w:rPr>
                      <w:rFonts w:ascii="Cambria Math" w:eastAsiaTheme="minorEastAsia" w:hAnsi="Cambria Math" w:cs="Times New Roman"/>
                      <w:sz w:val="16"/>
                      <w:szCs w:val="14"/>
                    </w:rPr>
                    <m:t>5+δ</m:t>
                  </m:r>
                </m:sub>
              </m:sSub>
            </m:oMath>
          </w:p>
        </w:tc>
        <w:tc>
          <w:tcPr>
            <w:tcW w:w="2250" w:type="dxa"/>
            <w:vAlign w:val="center"/>
          </w:tcPr>
          <w:p w14:paraId="64E47464" w14:textId="77777777" w:rsidR="00E170BA" w:rsidRPr="00782E1C" w:rsidRDefault="00E170BA" w:rsidP="002E7584">
            <w:pPr>
              <w:spacing w:line="240" w:lineRule="auto"/>
              <w:ind w:firstLine="0"/>
              <w:rPr>
                <w:rFonts w:eastAsiaTheme="minorEastAsia" w:cs="Times New Roman"/>
                <w:sz w:val="16"/>
                <w:szCs w:val="14"/>
              </w:rPr>
            </w:pPr>
            <m:oMath>
              <m:r>
                <m:rPr>
                  <m:sty m:val="p"/>
                </m:rPr>
                <w:rPr>
                  <w:rFonts w:ascii="Cambria Math" w:hAnsi="Cambria Math" w:cs="Times New Roman"/>
                  <w:sz w:val="16"/>
                  <w:szCs w:val="14"/>
                </w:rPr>
                <m:t>N</m:t>
              </m:r>
              <m:sSub>
                <m:sSubPr>
                  <m:ctrlPr>
                    <w:rPr>
                      <w:rFonts w:ascii="Cambria Math" w:hAnsi="Cambria Math" w:cs="Times New Roman"/>
                      <w:sz w:val="16"/>
                      <w:szCs w:val="14"/>
                    </w:rPr>
                  </m:ctrlPr>
                </m:sSubPr>
                <m:e>
                  <m:r>
                    <m:rPr>
                      <m:sty m:val="p"/>
                    </m:rPr>
                    <w:rPr>
                      <w:rFonts w:ascii="Cambria Math" w:hAnsi="Cambria Math" w:cs="Times New Roman"/>
                      <w:sz w:val="16"/>
                      <w:szCs w:val="14"/>
                    </w:rPr>
                    <m:t>H</m:t>
                  </m:r>
                </m:e>
                <m:sub>
                  <m:r>
                    <m:rPr>
                      <m:sty m:val="p"/>
                    </m:rPr>
                    <w:rPr>
                      <w:rFonts w:ascii="Cambria Math" w:hAnsi="Cambria Math" w:cs="Times New Roman"/>
                      <w:sz w:val="16"/>
                      <w:szCs w:val="14"/>
                    </w:rPr>
                    <m:t>3</m:t>
                  </m:r>
                </m:sub>
              </m:sSub>
              <m:r>
                <m:rPr>
                  <m:sty m:val="p"/>
                </m:rPr>
                <w:rPr>
                  <w:rFonts w:ascii="Cambria Math" w:hAnsi="Cambria Math" w:cs="Times New Roman"/>
                  <w:sz w:val="16"/>
                  <w:szCs w:val="14"/>
                </w:rPr>
                <m:t>:700 °C:1060 mW/c</m:t>
              </m:r>
              <m:sSup>
                <m:sSupPr>
                  <m:ctrlPr>
                    <w:rPr>
                      <w:rFonts w:ascii="Cambria Math" w:hAnsi="Cambria Math" w:cs="Times New Roman"/>
                      <w:sz w:val="16"/>
                      <w:szCs w:val="14"/>
                    </w:rPr>
                  </m:ctrlPr>
                </m:sSupPr>
                <m:e>
                  <m:r>
                    <m:rPr>
                      <m:sty m:val="p"/>
                    </m:rPr>
                    <w:rPr>
                      <w:rFonts w:ascii="Cambria Math" w:hAnsi="Cambria Math" w:cs="Times New Roman"/>
                      <w:sz w:val="16"/>
                      <w:szCs w:val="14"/>
                    </w:rPr>
                    <m:t>m</m:t>
                  </m:r>
                </m:e>
                <m:sup>
                  <m:r>
                    <m:rPr>
                      <m:sty m:val="p"/>
                    </m:rPr>
                    <w:rPr>
                      <w:rFonts w:ascii="Cambria Math" w:hAnsi="Cambria Math" w:cs="Times New Roman"/>
                      <w:sz w:val="16"/>
                      <w:szCs w:val="14"/>
                    </w:rPr>
                    <m:t>2</m:t>
                  </m:r>
                </m:sup>
              </m:sSup>
            </m:oMath>
            <w:r w:rsidRPr="00782E1C">
              <w:rPr>
                <w:rFonts w:eastAsiaTheme="minorEastAsia" w:cs="Times New Roman"/>
                <w:sz w:val="16"/>
                <w:szCs w:val="14"/>
              </w:rPr>
              <w:t xml:space="preserve"> </w:t>
            </w:r>
          </w:p>
          <w:p w14:paraId="2B5217C4" w14:textId="77777777" w:rsidR="00E170BA" w:rsidRPr="00782E1C" w:rsidRDefault="00924E48" w:rsidP="002E7584">
            <w:pPr>
              <w:spacing w:line="240" w:lineRule="auto"/>
              <w:ind w:firstLine="0"/>
              <w:rPr>
                <w:rFonts w:cs="Times New Roman"/>
                <w:sz w:val="16"/>
                <w:szCs w:val="14"/>
              </w:rPr>
            </w:pPr>
            <m:oMath>
              <m:sSub>
                <m:sSubPr>
                  <m:ctrlPr>
                    <w:rPr>
                      <w:rFonts w:ascii="Cambria Math" w:hAnsi="Cambria Math" w:cs="Times New Roman"/>
                      <w:sz w:val="16"/>
                      <w:szCs w:val="14"/>
                    </w:rPr>
                  </m:ctrlPr>
                </m:sSubPr>
                <m:e>
                  <m:r>
                    <m:rPr>
                      <m:sty m:val="p"/>
                    </m:rPr>
                    <w:rPr>
                      <w:rFonts w:ascii="Cambria Math" w:hAnsi="Cambria Math" w:cs="Times New Roman"/>
                      <w:sz w:val="16"/>
                      <w:szCs w:val="14"/>
                    </w:rPr>
                    <m:t>H</m:t>
                  </m:r>
                </m:e>
                <m:sub>
                  <m:r>
                    <m:rPr>
                      <m:sty m:val="p"/>
                    </m:rPr>
                    <w:rPr>
                      <w:rFonts w:ascii="Cambria Math" w:hAnsi="Cambria Math" w:cs="Times New Roman"/>
                      <w:sz w:val="16"/>
                      <w:szCs w:val="14"/>
                    </w:rPr>
                    <m:t>2</m:t>
                  </m:r>
                </m:sub>
              </m:sSub>
              <m:r>
                <m:rPr>
                  <m:sty m:val="p"/>
                </m:rPr>
                <w:rPr>
                  <w:rFonts w:ascii="Cambria Math" w:hAnsi="Cambria Math" w:cs="Times New Roman"/>
                  <w:sz w:val="16"/>
                  <w:szCs w:val="14"/>
                </w:rPr>
                <m:t>:700 °C:1330 mW/c</m:t>
              </m:r>
              <m:sSup>
                <m:sSupPr>
                  <m:ctrlPr>
                    <w:rPr>
                      <w:rFonts w:ascii="Cambria Math" w:hAnsi="Cambria Math" w:cs="Times New Roman"/>
                      <w:sz w:val="16"/>
                      <w:szCs w:val="14"/>
                    </w:rPr>
                  </m:ctrlPr>
                </m:sSupPr>
                <m:e>
                  <m:r>
                    <m:rPr>
                      <m:sty m:val="p"/>
                    </m:rPr>
                    <w:rPr>
                      <w:rFonts w:ascii="Cambria Math" w:hAnsi="Cambria Math" w:cs="Times New Roman"/>
                      <w:sz w:val="16"/>
                      <w:szCs w:val="14"/>
                    </w:rPr>
                    <m:t>m</m:t>
                  </m:r>
                </m:e>
                <m:sup>
                  <m:r>
                    <m:rPr>
                      <m:sty m:val="p"/>
                    </m:rPr>
                    <w:rPr>
                      <w:rFonts w:ascii="Cambria Math" w:hAnsi="Cambria Math" w:cs="Times New Roman"/>
                      <w:sz w:val="16"/>
                      <w:szCs w:val="14"/>
                    </w:rPr>
                    <m:t>2</m:t>
                  </m:r>
                </m:sup>
              </m:sSup>
            </m:oMath>
            <w:r w:rsidR="00E170BA" w:rsidRPr="00782E1C">
              <w:rPr>
                <w:rFonts w:eastAsiaTheme="minorEastAsia" w:cs="Times New Roman"/>
                <w:sz w:val="16"/>
                <w:szCs w:val="14"/>
              </w:rPr>
              <w:t xml:space="preserve"> </w:t>
            </w:r>
          </w:p>
        </w:tc>
        <w:tc>
          <w:tcPr>
            <w:tcW w:w="1890" w:type="dxa"/>
            <w:vAlign w:val="center"/>
          </w:tcPr>
          <w:p w14:paraId="07668237" w14:textId="77777777" w:rsidR="00E170BA" w:rsidRPr="00782E1C" w:rsidRDefault="00E170BA" w:rsidP="002E7584">
            <w:pPr>
              <w:spacing w:line="240" w:lineRule="auto"/>
              <w:ind w:firstLine="0"/>
              <w:rPr>
                <w:rFonts w:cs="Times New Roman"/>
                <w:sz w:val="16"/>
                <w:szCs w:val="14"/>
              </w:rPr>
            </w:pPr>
            <w:r w:rsidRPr="00782E1C">
              <w:rPr>
                <w:rFonts w:cs="Times New Roman"/>
                <w:sz w:val="16"/>
                <w:szCs w:val="14"/>
              </w:rPr>
              <w:t xml:space="preserve">Tubular PCFC, fueled by </w:t>
            </w:r>
            <m:oMath>
              <m:r>
                <m:rPr>
                  <m:sty m:val="p"/>
                </m:rPr>
                <w:rPr>
                  <w:rFonts w:ascii="Cambria Math" w:hAnsi="Cambria Math" w:cs="Times New Roman"/>
                  <w:sz w:val="16"/>
                  <w:szCs w:val="14"/>
                </w:rPr>
                <m:t>N</m:t>
              </m:r>
              <m:sSub>
                <m:sSubPr>
                  <m:ctrlPr>
                    <w:rPr>
                      <w:rFonts w:ascii="Cambria Math" w:hAnsi="Cambria Math" w:cs="Times New Roman"/>
                      <w:sz w:val="16"/>
                      <w:szCs w:val="14"/>
                    </w:rPr>
                  </m:ctrlPr>
                </m:sSubPr>
                <m:e>
                  <m:r>
                    <m:rPr>
                      <m:sty m:val="p"/>
                    </m:rPr>
                    <w:rPr>
                      <w:rFonts w:ascii="Cambria Math" w:hAnsi="Cambria Math" w:cs="Times New Roman"/>
                      <w:sz w:val="16"/>
                      <w:szCs w:val="14"/>
                    </w:rPr>
                    <m:t>H</m:t>
                  </m:r>
                </m:e>
                <m:sub>
                  <m:r>
                    <m:rPr>
                      <m:sty m:val="p"/>
                    </m:rPr>
                    <w:rPr>
                      <w:rFonts w:ascii="Cambria Math" w:hAnsi="Cambria Math" w:cs="Times New Roman"/>
                      <w:sz w:val="16"/>
                      <w:szCs w:val="14"/>
                    </w:rPr>
                    <m:t>3</m:t>
                  </m:r>
                </m:sub>
              </m:sSub>
            </m:oMath>
            <w:r w:rsidRPr="00782E1C">
              <w:rPr>
                <w:rFonts w:cs="Times New Roman"/>
                <w:sz w:val="16"/>
                <w:szCs w:val="14"/>
              </w:rPr>
              <w:t xml:space="preserve"> and </w:t>
            </w:r>
            <m:oMath>
              <m:sSub>
                <m:sSubPr>
                  <m:ctrlPr>
                    <w:rPr>
                      <w:rFonts w:ascii="Cambria Math" w:hAnsi="Cambria Math" w:cs="Times New Roman"/>
                      <w:sz w:val="16"/>
                      <w:szCs w:val="14"/>
                    </w:rPr>
                  </m:ctrlPr>
                </m:sSubPr>
                <m:e>
                  <m:r>
                    <m:rPr>
                      <m:sty m:val="p"/>
                    </m:rPr>
                    <w:rPr>
                      <w:rFonts w:ascii="Cambria Math" w:hAnsi="Cambria Math" w:cs="Times New Roman"/>
                      <w:sz w:val="16"/>
                      <w:szCs w:val="14"/>
                    </w:rPr>
                    <m:t>H</m:t>
                  </m:r>
                </m:e>
                <m:sub>
                  <m:r>
                    <m:rPr>
                      <m:sty m:val="p"/>
                    </m:rPr>
                    <w:rPr>
                      <w:rFonts w:ascii="Cambria Math" w:hAnsi="Cambria Math" w:cs="Times New Roman"/>
                      <w:sz w:val="16"/>
                      <w:szCs w:val="14"/>
                    </w:rPr>
                    <m:t>2</m:t>
                  </m:r>
                </m:sub>
              </m:sSub>
            </m:oMath>
            <w:r w:rsidRPr="00782E1C">
              <w:rPr>
                <w:rFonts w:cs="Times New Roman"/>
                <w:sz w:val="16"/>
                <w:szCs w:val="14"/>
              </w:rPr>
              <w:t>, prepared by phase inversion</w:t>
            </w:r>
          </w:p>
        </w:tc>
        <w:tc>
          <w:tcPr>
            <w:tcW w:w="630" w:type="dxa"/>
            <w:vAlign w:val="center"/>
          </w:tcPr>
          <w:p w14:paraId="029E1A74" w14:textId="77777777" w:rsidR="00E170BA" w:rsidRPr="00782E1C" w:rsidRDefault="00E170BA" w:rsidP="002E7584">
            <w:pPr>
              <w:tabs>
                <w:tab w:val="left" w:pos="157"/>
              </w:tabs>
              <w:spacing w:line="240" w:lineRule="auto"/>
              <w:ind w:firstLine="0"/>
              <w:rPr>
                <w:rFonts w:cs="Times New Roman"/>
                <w:sz w:val="16"/>
                <w:szCs w:val="14"/>
              </w:rPr>
            </w:pPr>
            <w:r w:rsidRPr="00782E1C">
              <w:rPr>
                <w:rFonts w:cs="Times New Roman"/>
                <w:sz w:val="16"/>
                <w:szCs w:val="14"/>
              </w:rPr>
              <w:t>2022</w:t>
            </w:r>
          </w:p>
        </w:tc>
        <w:tc>
          <w:tcPr>
            <w:tcW w:w="535" w:type="dxa"/>
            <w:vAlign w:val="center"/>
          </w:tcPr>
          <w:p w14:paraId="06697689" w14:textId="4287DC93" w:rsidR="00E170BA" w:rsidRPr="00782E1C" w:rsidRDefault="00E170BA" w:rsidP="002E7584">
            <w:pPr>
              <w:spacing w:line="240" w:lineRule="auto"/>
              <w:ind w:firstLine="0"/>
              <w:rPr>
                <w:rFonts w:cs="Times New Roman"/>
                <w:sz w:val="16"/>
                <w:szCs w:val="14"/>
              </w:rPr>
            </w:pPr>
            <w:r w:rsidRPr="00782E1C">
              <w:rPr>
                <w:rFonts w:cs="Times New Roman"/>
                <w:sz w:val="16"/>
                <w:szCs w:val="14"/>
              </w:rPr>
              <w:fldChar w:fldCharType="begin"/>
            </w:r>
            <w:r w:rsidR="00CA7A9D">
              <w:rPr>
                <w:rFonts w:cs="Times New Roman"/>
                <w:sz w:val="16"/>
                <w:szCs w:val="14"/>
              </w:rPr>
              <w:instrText xml:space="preserve"> ADDIN ZOTERO_ITEM CSL_CITATION {"citationID":"iL7Nraho","properties":{"formattedCitation":"[28]","plainCitation":"[28]","noteIndex":0},"citationItems":[{"id":177,"uris":["http://zotero.org/users/12063231/items/XUWVJHJ6"],"itemData":{"id":177,"type":"article-journal","abstract":"Ammonia is a promising fuel for protonic ceramic fuel cells (PCFCs), because of the high content of hydrogen and the advantages of safety and carbon neutrality. However, the wide application of PCFCs on ammonia fuel is greatly hindered by the relatively low electrochemical activity and durability. Here, we report a high-performance ammonia-fueled PCFC with enhanced electrochemical activity and durability, achieved by depositing an internal catalyst layer of an iron-doped ceria oxide (Fe-CeOx). It is demonstrated that the internal layer with a Fe: Ce molar ratio of 6:4 provides the best power output and durability. For example, when applied on tubular single cells with a configuration of Ni-BZCYYb (Fe-CeOx) || BZCYYb || PBSCF, a typical peak power density of 1.06 W cm−2 can be achieved on ammonia at 700 °C. The improved performance and longer lifetime are attributed to the Fe-CeOx internal catalyst, which can not only prevent the agglomeration of the particles during operation but also protect the Fe from reacting with ammonia to form iron nitride.","container-title":"Separation and Purification Technology","DOI":"10.1016/j.seppur.2022.121483","ISSN":"1383-5866","journalAbbreviation":"Separation and Purification Technology","language":"en","page":"121483","source":"ScienceDirect","title":"Enhanced electrochemical activity and durability of a direct ammonia protonic ceramic fuel cell enabled by an internal catalyst layer","volume":"297","author":[{"family":"Hou","given":"Mingyang"},{"family":"Pan","given":"Yuxin"},{"family":"Chen","given":"Yu"}],"issued":{"date-parts":[["2022",9,15]]}}}],"schema":"https://github.com/citation-style-language/schema/raw/master/csl-citation.json"} </w:instrText>
            </w:r>
            <w:r w:rsidRPr="00782E1C">
              <w:rPr>
                <w:rFonts w:cs="Times New Roman"/>
                <w:sz w:val="16"/>
                <w:szCs w:val="14"/>
              </w:rPr>
              <w:fldChar w:fldCharType="separate"/>
            </w:r>
            <w:r w:rsidR="00CA7A9D" w:rsidRPr="00CA7A9D">
              <w:rPr>
                <w:rFonts w:ascii="Aptos" w:hAnsi="Aptos"/>
                <w:sz w:val="16"/>
              </w:rPr>
              <w:t>[28]</w:t>
            </w:r>
            <w:r w:rsidRPr="00782E1C">
              <w:rPr>
                <w:rFonts w:cs="Times New Roman"/>
                <w:sz w:val="16"/>
                <w:szCs w:val="14"/>
              </w:rPr>
              <w:fldChar w:fldCharType="end"/>
            </w:r>
          </w:p>
        </w:tc>
      </w:tr>
      <w:tr w:rsidR="00E170BA" w:rsidRPr="00782E1C" w14:paraId="763875BF" w14:textId="77777777" w:rsidTr="002E7584">
        <w:trPr>
          <w:jc w:val="center"/>
        </w:trPr>
        <w:tc>
          <w:tcPr>
            <w:tcW w:w="4045" w:type="dxa"/>
            <w:vAlign w:val="center"/>
          </w:tcPr>
          <w:p w14:paraId="55FB75DA" w14:textId="77777777" w:rsidR="00E170BA" w:rsidRPr="00782E1C" w:rsidRDefault="00E170BA" w:rsidP="002E7584">
            <w:pPr>
              <w:spacing w:line="240" w:lineRule="auto"/>
              <w:ind w:hanging="21"/>
              <w:rPr>
                <w:rFonts w:eastAsiaTheme="minorEastAsia" w:cs="Times New Roman"/>
                <w:sz w:val="16"/>
                <w:szCs w:val="14"/>
              </w:rPr>
            </w:pPr>
            <w:r w:rsidRPr="00782E1C">
              <w:rPr>
                <w:rFonts w:eastAsiaTheme="minorEastAsia" w:cs="Times New Roman"/>
                <w:sz w:val="16"/>
                <w:szCs w:val="14"/>
              </w:rPr>
              <w:t xml:space="preserve">E: </w:t>
            </w:r>
            <m:oMath>
              <m:r>
                <m:rPr>
                  <m:sty m:val="p"/>
                </m:rPr>
                <w:rPr>
                  <w:rFonts w:ascii="Cambria Math" w:hAnsi="Cambria Math" w:cs="Times New Roman"/>
                  <w:sz w:val="16"/>
                  <w:szCs w:val="14"/>
                </w:rPr>
                <m:t>BaC</m:t>
              </m:r>
              <m:sSub>
                <m:sSubPr>
                  <m:ctrlPr>
                    <w:rPr>
                      <w:rFonts w:ascii="Cambria Math" w:hAnsi="Cambria Math" w:cs="Times New Roman"/>
                      <w:sz w:val="16"/>
                      <w:szCs w:val="14"/>
                    </w:rPr>
                  </m:ctrlPr>
                </m:sSubPr>
                <m:e>
                  <m:r>
                    <m:rPr>
                      <m:sty m:val="p"/>
                    </m:rPr>
                    <w:rPr>
                      <w:rFonts w:ascii="Cambria Math" w:hAnsi="Cambria Math" w:cs="Times New Roman"/>
                      <w:sz w:val="16"/>
                      <w:szCs w:val="14"/>
                    </w:rPr>
                    <m:t>e</m:t>
                  </m:r>
                </m:e>
                <m:sub>
                  <m:r>
                    <m:rPr>
                      <m:sty m:val="p"/>
                    </m:rPr>
                    <w:rPr>
                      <w:rFonts w:ascii="Cambria Math" w:hAnsi="Cambria Math" w:cs="Times New Roman"/>
                      <w:sz w:val="16"/>
                      <w:szCs w:val="14"/>
                    </w:rPr>
                    <m:t>0.7</m:t>
                  </m:r>
                </m:sub>
              </m:sSub>
              <m:r>
                <m:rPr>
                  <m:sty m:val="p"/>
                </m:rPr>
                <w:rPr>
                  <w:rFonts w:ascii="Cambria Math" w:hAnsi="Cambria Math" w:cs="Times New Roman"/>
                  <w:sz w:val="16"/>
                  <w:szCs w:val="14"/>
                </w:rPr>
                <m:t>Z</m:t>
              </m:r>
              <m:sSub>
                <m:sSubPr>
                  <m:ctrlPr>
                    <w:rPr>
                      <w:rFonts w:ascii="Cambria Math" w:hAnsi="Cambria Math" w:cs="Times New Roman"/>
                      <w:sz w:val="16"/>
                      <w:szCs w:val="14"/>
                    </w:rPr>
                  </m:ctrlPr>
                </m:sSubPr>
                <m:e>
                  <m:r>
                    <m:rPr>
                      <m:sty m:val="p"/>
                    </m:rPr>
                    <w:rPr>
                      <w:rFonts w:ascii="Cambria Math" w:hAnsi="Cambria Math" w:cs="Times New Roman"/>
                      <w:sz w:val="16"/>
                      <w:szCs w:val="14"/>
                    </w:rPr>
                    <m:t>r</m:t>
                  </m:r>
                </m:e>
                <m:sub>
                  <m:r>
                    <m:rPr>
                      <m:sty m:val="p"/>
                    </m:rPr>
                    <w:rPr>
                      <w:rFonts w:ascii="Cambria Math" w:hAnsi="Cambria Math" w:cs="Times New Roman"/>
                      <w:sz w:val="16"/>
                      <w:szCs w:val="14"/>
                    </w:rPr>
                    <m:t>0.1</m:t>
                  </m:r>
                </m:sub>
              </m:sSub>
              <m:sSub>
                <m:sSubPr>
                  <m:ctrlPr>
                    <w:rPr>
                      <w:rFonts w:ascii="Cambria Math" w:hAnsi="Cambria Math" w:cs="Times New Roman"/>
                      <w:sz w:val="16"/>
                      <w:szCs w:val="14"/>
                    </w:rPr>
                  </m:ctrlPr>
                </m:sSubPr>
                <m:e>
                  <m:r>
                    <m:rPr>
                      <m:sty m:val="p"/>
                    </m:rPr>
                    <w:rPr>
                      <w:rFonts w:ascii="Cambria Math" w:hAnsi="Cambria Math" w:cs="Times New Roman"/>
                      <w:sz w:val="16"/>
                      <w:szCs w:val="14"/>
                    </w:rPr>
                    <m:t>Y</m:t>
                  </m:r>
                </m:e>
                <m:sub>
                  <m:r>
                    <m:rPr>
                      <m:sty m:val="p"/>
                    </m:rPr>
                    <w:rPr>
                      <w:rFonts w:ascii="Cambria Math" w:hAnsi="Cambria Math" w:cs="Times New Roman"/>
                      <w:sz w:val="16"/>
                      <w:szCs w:val="14"/>
                    </w:rPr>
                    <m:t>0.2</m:t>
                  </m:r>
                </m:sub>
              </m:sSub>
              <m:sSub>
                <m:sSubPr>
                  <m:ctrlPr>
                    <w:rPr>
                      <w:rFonts w:ascii="Cambria Math" w:hAnsi="Cambria Math" w:cs="Times New Roman"/>
                      <w:sz w:val="16"/>
                      <w:szCs w:val="14"/>
                    </w:rPr>
                  </m:ctrlPr>
                </m:sSubPr>
                <m:e>
                  <m:r>
                    <m:rPr>
                      <m:sty m:val="p"/>
                    </m:rPr>
                    <w:rPr>
                      <w:rFonts w:ascii="Cambria Math" w:hAnsi="Cambria Math" w:cs="Times New Roman"/>
                      <w:sz w:val="16"/>
                      <w:szCs w:val="14"/>
                    </w:rPr>
                    <m:t>O</m:t>
                  </m:r>
                </m:e>
                <m:sub>
                  <m:r>
                    <m:rPr>
                      <m:sty m:val="p"/>
                    </m:rPr>
                    <w:rPr>
                      <w:rFonts w:ascii="Cambria Math" w:hAnsi="Cambria Math" w:cs="Times New Roman"/>
                      <w:sz w:val="16"/>
                      <w:szCs w:val="14"/>
                    </w:rPr>
                    <m:t>3-δ</m:t>
                  </m:r>
                </m:sub>
              </m:sSub>
            </m:oMath>
          </w:p>
          <w:p w14:paraId="2AE4FFC8" w14:textId="77777777" w:rsidR="00E170BA" w:rsidRPr="00782E1C" w:rsidRDefault="00E170BA" w:rsidP="002E7584">
            <w:pPr>
              <w:spacing w:line="240" w:lineRule="auto"/>
              <w:ind w:hanging="21"/>
              <w:rPr>
                <w:rFonts w:eastAsiaTheme="minorEastAsia" w:cs="Times New Roman"/>
                <w:sz w:val="16"/>
                <w:szCs w:val="14"/>
              </w:rPr>
            </w:pPr>
            <w:r w:rsidRPr="00782E1C">
              <w:rPr>
                <w:rFonts w:eastAsiaTheme="minorEastAsia" w:cs="Times New Roman"/>
                <w:sz w:val="16"/>
                <w:szCs w:val="14"/>
              </w:rPr>
              <w:t xml:space="preserve">C: </w:t>
            </w:r>
            <m:oMath>
              <m:r>
                <m:rPr>
                  <m:sty m:val="p"/>
                </m:rPr>
                <w:rPr>
                  <w:rFonts w:ascii="Cambria Math" w:eastAsiaTheme="minorEastAsia" w:hAnsi="Cambria Math" w:cs="Times New Roman"/>
                  <w:sz w:val="16"/>
                  <w:szCs w:val="14"/>
                </w:rPr>
                <m:t>LaN</m:t>
              </m:r>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i</m:t>
                  </m:r>
                </m:e>
                <m:sub>
                  <m:r>
                    <m:rPr>
                      <m:sty m:val="p"/>
                    </m:rPr>
                    <w:rPr>
                      <w:rFonts w:ascii="Cambria Math" w:eastAsiaTheme="minorEastAsia" w:hAnsi="Cambria Math" w:cs="Times New Roman"/>
                      <w:sz w:val="16"/>
                      <w:szCs w:val="14"/>
                    </w:rPr>
                    <m:t>0.6</m:t>
                  </m:r>
                </m:sub>
              </m:sSub>
              <m:r>
                <m:rPr>
                  <m:sty m:val="p"/>
                </m:rPr>
                <w:rPr>
                  <w:rFonts w:ascii="Cambria Math" w:eastAsiaTheme="minorEastAsia" w:hAnsi="Cambria Math" w:cs="Times New Roman"/>
                  <w:sz w:val="16"/>
                  <w:szCs w:val="14"/>
                </w:rPr>
                <m:t>F</m:t>
              </m:r>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e</m:t>
                  </m:r>
                </m:e>
                <m:sub>
                  <m:r>
                    <m:rPr>
                      <m:sty m:val="p"/>
                    </m:rPr>
                    <w:rPr>
                      <w:rFonts w:ascii="Cambria Math" w:eastAsiaTheme="minorEastAsia" w:hAnsi="Cambria Math" w:cs="Times New Roman"/>
                      <w:sz w:val="16"/>
                      <w:szCs w:val="14"/>
                    </w:rPr>
                    <m:t>0.4</m:t>
                  </m:r>
                </m:sub>
              </m:sSub>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O</m:t>
                  </m:r>
                </m:e>
                <m:sub>
                  <m:r>
                    <m:rPr>
                      <m:sty m:val="p"/>
                    </m:rPr>
                    <w:rPr>
                      <w:rFonts w:ascii="Cambria Math" w:eastAsiaTheme="minorEastAsia" w:hAnsi="Cambria Math" w:cs="Times New Roman"/>
                      <w:sz w:val="16"/>
                      <w:szCs w:val="14"/>
                    </w:rPr>
                    <m:t>3-δ</m:t>
                  </m:r>
                </m:sub>
              </m:sSub>
              <m:r>
                <m:rPr>
                  <m:sty m:val="p"/>
                </m:rPr>
                <w:rPr>
                  <w:rFonts w:ascii="Cambria Math" w:eastAsiaTheme="minorEastAsia" w:hAnsi="Cambria Math" w:cs="Times New Roman"/>
                  <w:sz w:val="16"/>
                  <w:szCs w:val="14"/>
                </w:rPr>
                <m:t>-S</m:t>
              </m:r>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m</m:t>
                  </m:r>
                </m:e>
                <m:sub>
                  <m:r>
                    <m:rPr>
                      <m:sty m:val="p"/>
                    </m:rPr>
                    <w:rPr>
                      <w:rFonts w:ascii="Cambria Math" w:eastAsiaTheme="minorEastAsia" w:hAnsi="Cambria Math" w:cs="Times New Roman"/>
                      <w:sz w:val="16"/>
                      <w:szCs w:val="14"/>
                    </w:rPr>
                    <m:t>0.5</m:t>
                  </m:r>
                </m:sub>
              </m:sSub>
              <m:r>
                <m:rPr>
                  <m:sty m:val="p"/>
                </m:rPr>
                <w:rPr>
                  <w:rFonts w:ascii="Cambria Math" w:eastAsiaTheme="minorEastAsia" w:hAnsi="Cambria Math" w:cs="Times New Roman"/>
                  <w:sz w:val="16"/>
                  <w:szCs w:val="14"/>
                </w:rPr>
                <m:t>S</m:t>
              </m:r>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r</m:t>
                  </m:r>
                </m:e>
                <m:sub>
                  <m:r>
                    <m:rPr>
                      <m:sty m:val="p"/>
                    </m:rPr>
                    <w:rPr>
                      <w:rFonts w:ascii="Cambria Math" w:eastAsiaTheme="minorEastAsia" w:hAnsi="Cambria Math" w:cs="Times New Roman"/>
                      <w:sz w:val="16"/>
                      <w:szCs w:val="14"/>
                    </w:rPr>
                    <m:t>0.5</m:t>
                  </m:r>
                </m:sub>
              </m:sSub>
              <m:r>
                <m:rPr>
                  <m:sty m:val="p"/>
                </m:rPr>
                <w:rPr>
                  <w:rFonts w:ascii="Cambria Math" w:eastAsiaTheme="minorEastAsia" w:hAnsi="Cambria Math" w:cs="Times New Roman"/>
                  <w:sz w:val="16"/>
                  <w:szCs w:val="14"/>
                </w:rPr>
                <m:t>Co</m:t>
              </m:r>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O</m:t>
                  </m:r>
                </m:e>
                <m:sub>
                  <m:r>
                    <m:rPr>
                      <m:sty m:val="p"/>
                    </m:rPr>
                    <w:rPr>
                      <w:rFonts w:ascii="Cambria Math" w:eastAsiaTheme="minorEastAsia" w:hAnsi="Cambria Math" w:cs="Times New Roman"/>
                      <w:sz w:val="16"/>
                      <w:szCs w:val="14"/>
                    </w:rPr>
                    <m:t>3-δ</m:t>
                  </m:r>
                </m:sub>
              </m:sSub>
            </m:oMath>
          </w:p>
        </w:tc>
        <w:tc>
          <w:tcPr>
            <w:tcW w:w="2250" w:type="dxa"/>
            <w:vAlign w:val="center"/>
          </w:tcPr>
          <w:p w14:paraId="2E3553B4" w14:textId="77777777" w:rsidR="00E170BA" w:rsidRPr="00782E1C" w:rsidRDefault="00E170BA" w:rsidP="002E7584">
            <w:pPr>
              <w:spacing w:line="240" w:lineRule="auto"/>
              <w:ind w:firstLine="0"/>
              <w:rPr>
                <w:rFonts w:eastAsiaTheme="minorEastAsia" w:cs="Times New Roman"/>
                <w:sz w:val="16"/>
                <w:szCs w:val="14"/>
              </w:rPr>
            </w:pPr>
            <m:oMathPara>
              <m:oMathParaPr>
                <m:jc m:val="left"/>
              </m:oMathParaPr>
              <m:oMath>
                <m:r>
                  <m:rPr>
                    <m:sty m:val="p"/>
                  </m:rPr>
                  <w:rPr>
                    <w:rFonts w:ascii="Cambria Math" w:hAnsi="Cambria Math" w:cs="Times New Roman"/>
                    <w:sz w:val="16"/>
                    <w:szCs w:val="14"/>
                  </w:rPr>
                  <m:t>600 °C:425 mW/c</m:t>
                </m:r>
                <m:sSup>
                  <m:sSupPr>
                    <m:ctrlPr>
                      <w:rPr>
                        <w:rFonts w:ascii="Cambria Math" w:hAnsi="Cambria Math" w:cs="Times New Roman"/>
                        <w:sz w:val="16"/>
                        <w:szCs w:val="14"/>
                      </w:rPr>
                    </m:ctrlPr>
                  </m:sSupPr>
                  <m:e>
                    <m:r>
                      <m:rPr>
                        <m:sty m:val="p"/>
                      </m:rPr>
                      <w:rPr>
                        <w:rFonts w:ascii="Cambria Math" w:hAnsi="Cambria Math" w:cs="Times New Roman"/>
                        <w:sz w:val="16"/>
                        <w:szCs w:val="14"/>
                      </w:rPr>
                      <m:t>m</m:t>
                    </m:r>
                  </m:e>
                  <m:sup>
                    <m:r>
                      <m:rPr>
                        <m:sty m:val="p"/>
                      </m:rPr>
                      <w:rPr>
                        <w:rFonts w:ascii="Cambria Math" w:hAnsi="Cambria Math" w:cs="Times New Roman"/>
                        <w:sz w:val="16"/>
                        <w:szCs w:val="14"/>
                      </w:rPr>
                      <m:t>2</m:t>
                    </m:r>
                  </m:sup>
                </m:sSup>
              </m:oMath>
            </m:oMathPara>
          </w:p>
          <w:p w14:paraId="4ED8F522" w14:textId="77777777" w:rsidR="00E170BA" w:rsidRPr="00782E1C" w:rsidRDefault="00E170BA" w:rsidP="002E7584">
            <w:pPr>
              <w:spacing w:line="240" w:lineRule="auto"/>
              <w:ind w:firstLine="0"/>
              <w:rPr>
                <w:rFonts w:eastAsiaTheme="minorEastAsia" w:cs="Times New Roman"/>
                <w:sz w:val="16"/>
                <w:szCs w:val="14"/>
              </w:rPr>
            </w:pPr>
            <m:oMathPara>
              <m:oMathParaPr>
                <m:jc m:val="left"/>
              </m:oMathParaPr>
              <m:oMath>
                <m:r>
                  <m:rPr>
                    <m:sty m:val="p"/>
                  </m:rPr>
                  <w:rPr>
                    <w:rFonts w:ascii="Cambria Math" w:hAnsi="Cambria Math" w:cs="Times New Roman"/>
                    <w:sz w:val="16"/>
                    <w:szCs w:val="14"/>
                  </w:rPr>
                  <m:t>650 °C:728 mW/c</m:t>
                </m:r>
                <m:sSup>
                  <m:sSupPr>
                    <m:ctrlPr>
                      <w:rPr>
                        <w:rFonts w:ascii="Cambria Math" w:hAnsi="Cambria Math" w:cs="Times New Roman"/>
                        <w:sz w:val="16"/>
                        <w:szCs w:val="14"/>
                      </w:rPr>
                    </m:ctrlPr>
                  </m:sSupPr>
                  <m:e>
                    <m:r>
                      <m:rPr>
                        <m:sty m:val="p"/>
                      </m:rPr>
                      <w:rPr>
                        <w:rFonts w:ascii="Cambria Math" w:hAnsi="Cambria Math" w:cs="Times New Roman"/>
                        <w:sz w:val="16"/>
                        <w:szCs w:val="14"/>
                      </w:rPr>
                      <m:t>m</m:t>
                    </m:r>
                  </m:e>
                  <m:sup>
                    <m:r>
                      <m:rPr>
                        <m:sty m:val="p"/>
                      </m:rPr>
                      <w:rPr>
                        <w:rFonts w:ascii="Cambria Math" w:hAnsi="Cambria Math" w:cs="Times New Roman"/>
                        <w:sz w:val="16"/>
                        <w:szCs w:val="14"/>
                      </w:rPr>
                      <m:t>2</m:t>
                    </m:r>
                  </m:sup>
                </m:sSup>
              </m:oMath>
            </m:oMathPara>
          </w:p>
          <w:p w14:paraId="744103E6" w14:textId="77777777" w:rsidR="00E170BA" w:rsidRPr="00782E1C" w:rsidRDefault="00E170BA" w:rsidP="002E7584">
            <w:pPr>
              <w:spacing w:line="240" w:lineRule="auto"/>
              <w:ind w:firstLine="0"/>
              <w:rPr>
                <w:rFonts w:cs="Times New Roman"/>
                <w:sz w:val="16"/>
                <w:szCs w:val="14"/>
              </w:rPr>
            </w:pPr>
            <m:oMathPara>
              <m:oMathParaPr>
                <m:jc m:val="left"/>
              </m:oMathParaPr>
              <m:oMath>
                <m:r>
                  <m:rPr>
                    <m:sty m:val="p"/>
                  </m:rPr>
                  <w:rPr>
                    <w:rFonts w:ascii="Cambria Math" w:hAnsi="Cambria Math" w:cs="Times New Roman"/>
                    <w:sz w:val="16"/>
                    <w:szCs w:val="14"/>
                  </w:rPr>
                  <m:t>700 °C:1427 mW/c</m:t>
                </m:r>
                <m:sSup>
                  <m:sSupPr>
                    <m:ctrlPr>
                      <w:rPr>
                        <w:rFonts w:ascii="Cambria Math" w:hAnsi="Cambria Math" w:cs="Times New Roman"/>
                        <w:sz w:val="16"/>
                        <w:szCs w:val="14"/>
                      </w:rPr>
                    </m:ctrlPr>
                  </m:sSupPr>
                  <m:e>
                    <m:r>
                      <m:rPr>
                        <m:sty m:val="p"/>
                      </m:rPr>
                      <w:rPr>
                        <w:rFonts w:ascii="Cambria Math" w:hAnsi="Cambria Math" w:cs="Times New Roman"/>
                        <w:sz w:val="16"/>
                        <w:szCs w:val="14"/>
                      </w:rPr>
                      <m:t>m</m:t>
                    </m:r>
                  </m:e>
                  <m:sup>
                    <m:r>
                      <m:rPr>
                        <m:sty m:val="p"/>
                      </m:rPr>
                      <w:rPr>
                        <w:rFonts w:ascii="Cambria Math" w:hAnsi="Cambria Math" w:cs="Times New Roman"/>
                        <w:sz w:val="16"/>
                        <w:szCs w:val="14"/>
                      </w:rPr>
                      <m:t>2</m:t>
                    </m:r>
                  </m:sup>
                </m:sSup>
              </m:oMath>
            </m:oMathPara>
          </w:p>
        </w:tc>
        <w:tc>
          <w:tcPr>
            <w:tcW w:w="1890" w:type="dxa"/>
            <w:vAlign w:val="center"/>
          </w:tcPr>
          <w:p w14:paraId="7D3F73A1" w14:textId="77777777" w:rsidR="00E170BA" w:rsidRPr="00782E1C" w:rsidRDefault="00E170BA" w:rsidP="002E7584">
            <w:pPr>
              <w:spacing w:line="240" w:lineRule="auto"/>
              <w:ind w:firstLine="0"/>
              <w:rPr>
                <w:rFonts w:cs="Times New Roman"/>
                <w:sz w:val="16"/>
                <w:szCs w:val="14"/>
              </w:rPr>
            </w:pPr>
            <w:r w:rsidRPr="00782E1C">
              <w:rPr>
                <w:rFonts w:cs="Times New Roman"/>
                <w:sz w:val="16"/>
                <w:szCs w:val="14"/>
              </w:rPr>
              <w:t>New combination of perovskite and materials for cathode</w:t>
            </w:r>
          </w:p>
        </w:tc>
        <w:tc>
          <w:tcPr>
            <w:tcW w:w="630" w:type="dxa"/>
            <w:vAlign w:val="center"/>
          </w:tcPr>
          <w:p w14:paraId="0643E90B" w14:textId="77777777" w:rsidR="00E170BA" w:rsidRPr="00782E1C" w:rsidRDefault="00E170BA" w:rsidP="002E7584">
            <w:pPr>
              <w:tabs>
                <w:tab w:val="left" w:pos="157"/>
              </w:tabs>
              <w:spacing w:line="240" w:lineRule="auto"/>
              <w:ind w:firstLine="0"/>
              <w:rPr>
                <w:rFonts w:cs="Times New Roman"/>
                <w:sz w:val="16"/>
                <w:szCs w:val="14"/>
              </w:rPr>
            </w:pPr>
            <w:r w:rsidRPr="00782E1C">
              <w:rPr>
                <w:rFonts w:cs="Times New Roman"/>
                <w:sz w:val="16"/>
                <w:szCs w:val="14"/>
              </w:rPr>
              <w:t>2022</w:t>
            </w:r>
          </w:p>
        </w:tc>
        <w:tc>
          <w:tcPr>
            <w:tcW w:w="535" w:type="dxa"/>
            <w:vAlign w:val="center"/>
          </w:tcPr>
          <w:p w14:paraId="765000B7" w14:textId="7B06FF53" w:rsidR="00E170BA" w:rsidRPr="00782E1C" w:rsidRDefault="00E170BA" w:rsidP="002E7584">
            <w:pPr>
              <w:spacing w:line="240" w:lineRule="auto"/>
              <w:ind w:firstLine="0"/>
              <w:rPr>
                <w:rFonts w:cs="Times New Roman"/>
                <w:sz w:val="16"/>
                <w:szCs w:val="14"/>
              </w:rPr>
            </w:pPr>
            <w:r w:rsidRPr="00782E1C">
              <w:rPr>
                <w:rFonts w:cs="Times New Roman"/>
                <w:sz w:val="16"/>
                <w:szCs w:val="14"/>
              </w:rPr>
              <w:fldChar w:fldCharType="begin"/>
            </w:r>
            <w:r w:rsidR="00CA7A9D">
              <w:rPr>
                <w:rFonts w:cs="Times New Roman"/>
                <w:sz w:val="16"/>
                <w:szCs w:val="14"/>
              </w:rPr>
              <w:instrText xml:space="preserve"> ADDIN ZOTERO_ITEM CSL_CITATION {"citationID":"LzFTMYCa","properties":{"formattedCitation":"[29]","plainCitation":"[29]","noteIndex":0},"citationItems":[{"id":195,"uris":["http://zotero.org/users/12063231/items/PYM2GQQU"],"itemData":{"id":195,"type":"article-journal","abstract":"Herein, new composite cathode material, aiming at optimizing the cell performance of BaCe0.7Y0.2Zr0.1O3δ(BZCY)-based proton-conducting solid oxide fuel cell(H-SOFC), is investigated through mingling LaNi0.6Fe0.4O3δ(LNF) with Sm0.5Sr0.5CoO3-δ(SSC) at different ratios (1:0, 7:3, 5:5, 0:1 wt%). The phase structure of the fabri­ cated cathode powders is analyzed through the X-ray diffraction method (XRD) and no second phase is observed at 1000 ◦C, showing good chemical compatibility. The electrochemical properties consisting of I-V and EIS curves reveal that the single-cell with LNF-SSC73 cathode has the best electrochemical performance, exhibiting a po­ larization resistance of 0.039 Ω</w:instrText>
            </w:r>
            <w:r w:rsidR="00CA7A9D">
              <w:rPr>
                <w:rFonts w:ascii="Cambria Math" w:hAnsi="Cambria Math" w:cs="Cambria Math"/>
                <w:sz w:val="16"/>
                <w:szCs w:val="14"/>
              </w:rPr>
              <w:instrText>⋅</w:instrText>
            </w:r>
            <w:r w:rsidR="00CA7A9D">
              <w:rPr>
                <w:rFonts w:cs="Times New Roman"/>
                <w:sz w:val="16"/>
                <w:szCs w:val="14"/>
              </w:rPr>
              <w:instrText xml:space="preserve">cm2 and a relatively high maximum power density of 1427 mWcm2 at 700 ◦C. These results above indicate that LNF-SSC73 composite material could improve the performance of fuel cells, which would be a prospective material in the field of H-SOFC.","container-title":"Separation and Purification Technology","DOI":"10.1016/j.seppur.2022.120581","ISSN":"13835866","journalAbbreviation":"Separation and Purification Technology","language":"en","page":"120581","source":"DOI.org (Crossref)","title":"Fabrication and study of LaNi0.6Fe0.4O3-δ and Sm0.5Sr0.5CoO3-δ composite cathode for proton-conducting solid oxide fuel cells","volume":"287","author":[{"family":"Fu","given":"Min"},{"family":"Li","given":"Kailin"},{"family":"Yang","given":"Yang"},{"family":"Zeng","given":"Qiaoling"},{"family":"Zeng","given":"Long"},{"family":"Tao","given":"Zetian"}],"issued":{"date-parts":[["2022",4]]}}}],"schema":"https://github.com/citation-style-language/schema/raw/master/csl-citation.json"} </w:instrText>
            </w:r>
            <w:r w:rsidRPr="00782E1C">
              <w:rPr>
                <w:rFonts w:cs="Times New Roman"/>
                <w:sz w:val="16"/>
                <w:szCs w:val="14"/>
              </w:rPr>
              <w:fldChar w:fldCharType="separate"/>
            </w:r>
            <w:r w:rsidR="00CA7A9D" w:rsidRPr="00CA7A9D">
              <w:rPr>
                <w:rFonts w:ascii="Aptos" w:hAnsi="Aptos"/>
                <w:sz w:val="16"/>
              </w:rPr>
              <w:t>[29]</w:t>
            </w:r>
            <w:r w:rsidRPr="00782E1C">
              <w:rPr>
                <w:rFonts w:cs="Times New Roman"/>
                <w:sz w:val="16"/>
                <w:szCs w:val="14"/>
              </w:rPr>
              <w:fldChar w:fldCharType="end"/>
            </w:r>
          </w:p>
        </w:tc>
      </w:tr>
      <w:tr w:rsidR="00E170BA" w:rsidRPr="00782E1C" w14:paraId="1F91397D" w14:textId="77777777" w:rsidTr="002E7584">
        <w:trPr>
          <w:trHeight w:val="467"/>
          <w:jc w:val="center"/>
        </w:trPr>
        <w:tc>
          <w:tcPr>
            <w:tcW w:w="4045" w:type="dxa"/>
            <w:vAlign w:val="center"/>
          </w:tcPr>
          <w:p w14:paraId="6F0A1798" w14:textId="77777777" w:rsidR="00E170BA" w:rsidRPr="00782E1C" w:rsidRDefault="00E170BA" w:rsidP="002E7584">
            <w:pPr>
              <w:spacing w:line="240" w:lineRule="auto"/>
              <w:ind w:hanging="21"/>
              <w:rPr>
                <w:rFonts w:eastAsiaTheme="minorEastAsia" w:cs="Times New Roman"/>
                <w:sz w:val="16"/>
                <w:szCs w:val="14"/>
              </w:rPr>
            </w:pPr>
            <w:r w:rsidRPr="00782E1C">
              <w:rPr>
                <w:rFonts w:cs="Times New Roman"/>
                <w:sz w:val="16"/>
                <w:szCs w:val="14"/>
              </w:rPr>
              <w:t xml:space="preserve">E: </w:t>
            </w:r>
            <m:oMath>
              <m:r>
                <m:rPr>
                  <m:sty m:val="p"/>
                </m:rPr>
                <w:rPr>
                  <w:rFonts w:ascii="Cambria Math" w:hAnsi="Cambria Math" w:cs="Times New Roman"/>
                  <w:sz w:val="16"/>
                  <w:szCs w:val="14"/>
                </w:rPr>
                <m:t>BaS</m:t>
              </m:r>
              <m:sSub>
                <m:sSubPr>
                  <m:ctrlPr>
                    <w:rPr>
                      <w:rFonts w:ascii="Cambria Math" w:hAnsi="Cambria Math" w:cs="Times New Roman"/>
                      <w:sz w:val="16"/>
                      <w:szCs w:val="14"/>
                    </w:rPr>
                  </m:ctrlPr>
                </m:sSubPr>
                <m:e>
                  <m:r>
                    <m:rPr>
                      <m:sty m:val="p"/>
                    </m:rPr>
                    <w:rPr>
                      <w:rFonts w:ascii="Cambria Math" w:hAnsi="Cambria Math" w:cs="Times New Roman"/>
                      <w:sz w:val="16"/>
                      <w:szCs w:val="14"/>
                    </w:rPr>
                    <m:t>n</m:t>
                  </m:r>
                </m:e>
                <m:sub>
                  <m:r>
                    <m:rPr>
                      <m:sty m:val="p"/>
                    </m:rPr>
                    <w:rPr>
                      <w:rFonts w:ascii="Cambria Math" w:hAnsi="Cambria Math" w:cs="Times New Roman"/>
                      <w:sz w:val="16"/>
                      <w:szCs w:val="14"/>
                    </w:rPr>
                    <m:t>0.16</m:t>
                  </m:r>
                </m:sub>
              </m:sSub>
              <m:r>
                <m:rPr>
                  <m:sty m:val="p"/>
                </m:rPr>
                <w:rPr>
                  <w:rFonts w:ascii="Cambria Math" w:eastAsiaTheme="minorEastAsia" w:hAnsi="Cambria Math" w:cs="Times New Roman"/>
                  <w:sz w:val="16"/>
                  <w:szCs w:val="14"/>
                </w:rPr>
                <m:t>Z</m:t>
              </m:r>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r</m:t>
                  </m:r>
                </m:e>
                <m:sub>
                  <m:r>
                    <m:rPr>
                      <m:sty m:val="p"/>
                    </m:rPr>
                    <w:rPr>
                      <w:rFonts w:ascii="Cambria Math" w:eastAsiaTheme="minorEastAsia" w:hAnsi="Cambria Math" w:cs="Times New Roman"/>
                      <w:sz w:val="16"/>
                      <w:szCs w:val="14"/>
                    </w:rPr>
                    <m:t>0.24</m:t>
                  </m:r>
                </m:sub>
              </m:sSub>
              <m:r>
                <m:rPr>
                  <m:sty m:val="p"/>
                </m:rPr>
                <w:rPr>
                  <w:rFonts w:ascii="Cambria Math" w:eastAsiaTheme="minorEastAsia" w:hAnsi="Cambria Math" w:cs="Times New Roman"/>
                  <w:sz w:val="16"/>
                  <w:szCs w:val="14"/>
                </w:rPr>
                <m:t>C</m:t>
              </m:r>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e</m:t>
                  </m:r>
                </m:e>
                <m:sub>
                  <m:r>
                    <m:rPr>
                      <m:sty m:val="p"/>
                    </m:rPr>
                    <w:rPr>
                      <w:rFonts w:ascii="Cambria Math" w:eastAsiaTheme="minorEastAsia" w:hAnsi="Cambria Math" w:cs="Times New Roman"/>
                      <w:sz w:val="16"/>
                      <w:szCs w:val="14"/>
                    </w:rPr>
                    <m:t>0.35</m:t>
                  </m:r>
                </m:sub>
              </m:sSub>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Y</m:t>
                  </m:r>
                </m:e>
                <m:sub>
                  <m:r>
                    <m:rPr>
                      <m:sty m:val="p"/>
                    </m:rPr>
                    <w:rPr>
                      <w:rFonts w:ascii="Cambria Math" w:eastAsiaTheme="minorEastAsia" w:hAnsi="Cambria Math" w:cs="Times New Roman"/>
                      <w:sz w:val="16"/>
                      <w:szCs w:val="14"/>
                    </w:rPr>
                    <m:t>0.1</m:t>
                  </m:r>
                </m:sub>
              </m:sSub>
              <m:r>
                <m:rPr>
                  <m:sty m:val="p"/>
                </m:rPr>
                <w:rPr>
                  <w:rFonts w:ascii="Cambria Math" w:eastAsiaTheme="minorEastAsia" w:hAnsi="Cambria Math" w:cs="Times New Roman"/>
                  <w:sz w:val="16"/>
                  <w:szCs w:val="14"/>
                </w:rPr>
                <m:t>Y</m:t>
              </m:r>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b</m:t>
                  </m:r>
                </m:e>
                <m:sub>
                  <m:r>
                    <m:rPr>
                      <m:sty m:val="p"/>
                    </m:rPr>
                    <w:rPr>
                      <w:rFonts w:ascii="Cambria Math" w:eastAsiaTheme="minorEastAsia" w:hAnsi="Cambria Math" w:cs="Times New Roman"/>
                      <w:sz w:val="16"/>
                      <w:szCs w:val="14"/>
                    </w:rPr>
                    <m:t>0.1</m:t>
                  </m:r>
                </m:sub>
              </m:sSub>
              <m:r>
                <m:rPr>
                  <m:sty m:val="p"/>
                </m:rPr>
                <w:rPr>
                  <w:rFonts w:ascii="Cambria Math" w:eastAsiaTheme="minorEastAsia" w:hAnsi="Cambria Math" w:cs="Times New Roman"/>
                  <w:sz w:val="16"/>
                  <w:szCs w:val="14"/>
                </w:rPr>
                <m:t>D</m:t>
              </m:r>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y</m:t>
                  </m:r>
                </m:e>
                <m:sub>
                  <m:r>
                    <m:rPr>
                      <m:sty m:val="p"/>
                    </m:rPr>
                    <w:rPr>
                      <w:rFonts w:ascii="Cambria Math" w:eastAsiaTheme="minorEastAsia" w:hAnsi="Cambria Math" w:cs="Times New Roman"/>
                      <w:sz w:val="16"/>
                      <w:szCs w:val="14"/>
                    </w:rPr>
                    <m:t>0.05</m:t>
                  </m:r>
                </m:sub>
              </m:sSub>
              <m:sSub>
                <m:sSubPr>
                  <m:ctrlPr>
                    <w:rPr>
                      <w:rFonts w:ascii="Cambria Math" w:eastAsiaTheme="minorEastAsia" w:hAnsi="Cambria Math" w:cs="Times New Roman"/>
                      <w:sz w:val="16"/>
                      <w:szCs w:val="14"/>
                    </w:rPr>
                  </m:ctrlPr>
                </m:sSubPr>
                <m:e>
                  <m:r>
                    <m:rPr>
                      <m:sty m:val="p"/>
                    </m:rPr>
                    <w:rPr>
                      <w:rFonts w:ascii="Cambria Math" w:eastAsiaTheme="minorEastAsia" w:hAnsi="Cambria Math" w:cs="Times New Roman"/>
                      <w:sz w:val="16"/>
                      <w:szCs w:val="14"/>
                    </w:rPr>
                    <m:t>O</m:t>
                  </m:r>
                </m:e>
                <m:sub>
                  <m:r>
                    <m:rPr>
                      <m:sty m:val="p"/>
                    </m:rPr>
                    <w:rPr>
                      <w:rFonts w:ascii="Cambria Math" w:eastAsiaTheme="minorEastAsia" w:hAnsi="Cambria Math" w:cs="Times New Roman"/>
                      <w:sz w:val="16"/>
                      <w:szCs w:val="14"/>
                    </w:rPr>
                    <m:t>3-δ</m:t>
                  </m:r>
                </m:sub>
              </m:sSub>
            </m:oMath>
          </w:p>
        </w:tc>
        <w:tc>
          <w:tcPr>
            <w:tcW w:w="2250" w:type="dxa"/>
            <w:vAlign w:val="center"/>
          </w:tcPr>
          <w:p w14:paraId="7138221E" w14:textId="77777777" w:rsidR="00E170BA" w:rsidRPr="00782E1C" w:rsidRDefault="00E170BA" w:rsidP="002E7584">
            <w:pPr>
              <w:spacing w:line="240" w:lineRule="auto"/>
              <w:ind w:firstLine="0"/>
              <w:rPr>
                <w:rFonts w:cs="Times New Roman"/>
                <w:sz w:val="16"/>
                <w:szCs w:val="14"/>
              </w:rPr>
            </w:pPr>
            <m:oMath>
              <m:r>
                <m:rPr>
                  <m:sty m:val="p"/>
                </m:rPr>
                <w:rPr>
                  <w:rFonts w:ascii="Cambria Math" w:hAnsi="Cambria Math" w:cs="Times New Roman"/>
                  <w:sz w:val="16"/>
                  <w:szCs w:val="14"/>
                </w:rPr>
                <m:t>600 °C:318 mW/c</m:t>
              </m:r>
              <m:sSup>
                <m:sSupPr>
                  <m:ctrlPr>
                    <w:rPr>
                      <w:rFonts w:ascii="Cambria Math" w:hAnsi="Cambria Math" w:cs="Times New Roman"/>
                      <w:sz w:val="16"/>
                      <w:szCs w:val="14"/>
                    </w:rPr>
                  </m:ctrlPr>
                </m:sSupPr>
                <m:e>
                  <m:r>
                    <m:rPr>
                      <m:sty m:val="p"/>
                    </m:rPr>
                    <w:rPr>
                      <w:rFonts w:ascii="Cambria Math" w:hAnsi="Cambria Math" w:cs="Times New Roman"/>
                      <w:sz w:val="16"/>
                      <w:szCs w:val="14"/>
                    </w:rPr>
                    <m:t>m</m:t>
                  </m:r>
                </m:e>
                <m:sup>
                  <m:r>
                    <m:rPr>
                      <m:sty m:val="p"/>
                    </m:rPr>
                    <w:rPr>
                      <w:rFonts w:ascii="Cambria Math" w:hAnsi="Cambria Math" w:cs="Times New Roman"/>
                      <w:sz w:val="16"/>
                      <w:szCs w:val="14"/>
                    </w:rPr>
                    <m:t>2</m:t>
                  </m:r>
                </m:sup>
              </m:sSup>
            </m:oMath>
            <w:r w:rsidRPr="00782E1C">
              <w:rPr>
                <w:rFonts w:eastAsiaTheme="minorEastAsia" w:cs="Times New Roman"/>
                <w:sz w:val="16"/>
                <w:szCs w:val="14"/>
              </w:rPr>
              <w:t xml:space="preserve"> </w:t>
            </w:r>
          </w:p>
        </w:tc>
        <w:tc>
          <w:tcPr>
            <w:tcW w:w="1890" w:type="dxa"/>
            <w:vAlign w:val="center"/>
          </w:tcPr>
          <w:p w14:paraId="1181DB80" w14:textId="77777777" w:rsidR="00E170BA" w:rsidRPr="00782E1C" w:rsidRDefault="00E170BA" w:rsidP="002E7584">
            <w:pPr>
              <w:spacing w:line="240" w:lineRule="auto"/>
              <w:ind w:firstLine="0"/>
              <w:rPr>
                <w:rFonts w:cs="Times New Roman"/>
                <w:sz w:val="16"/>
                <w:szCs w:val="14"/>
              </w:rPr>
            </w:pPr>
            <w:r w:rsidRPr="00782E1C">
              <w:rPr>
                <w:rFonts w:cs="Times New Roman"/>
                <w:sz w:val="16"/>
                <w:szCs w:val="14"/>
              </w:rPr>
              <w:t>Promising new proton conductor</w:t>
            </w:r>
          </w:p>
        </w:tc>
        <w:tc>
          <w:tcPr>
            <w:tcW w:w="630" w:type="dxa"/>
            <w:vAlign w:val="center"/>
          </w:tcPr>
          <w:p w14:paraId="3DCE880E" w14:textId="77777777" w:rsidR="00E170BA" w:rsidRPr="00782E1C" w:rsidRDefault="00E170BA" w:rsidP="002E7584">
            <w:pPr>
              <w:tabs>
                <w:tab w:val="left" w:pos="157"/>
              </w:tabs>
              <w:spacing w:line="240" w:lineRule="auto"/>
              <w:ind w:firstLine="0"/>
              <w:rPr>
                <w:rFonts w:cs="Times New Roman"/>
                <w:sz w:val="16"/>
                <w:szCs w:val="14"/>
              </w:rPr>
            </w:pPr>
            <w:r w:rsidRPr="00782E1C">
              <w:rPr>
                <w:rFonts w:cs="Times New Roman"/>
                <w:sz w:val="16"/>
                <w:szCs w:val="14"/>
              </w:rPr>
              <w:t>2022</w:t>
            </w:r>
          </w:p>
        </w:tc>
        <w:tc>
          <w:tcPr>
            <w:tcW w:w="535" w:type="dxa"/>
            <w:vAlign w:val="center"/>
          </w:tcPr>
          <w:p w14:paraId="374650A9" w14:textId="33821501" w:rsidR="00E170BA" w:rsidRPr="00782E1C" w:rsidRDefault="00E170BA" w:rsidP="002E7584">
            <w:pPr>
              <w:spacing w:line="240" w:lineRule="auto"/>
              <w:ind w:firstLine="0"/>
              <w:rPr>
                <w:rFonts w:cs="Times New Roman"/>
                <w:sz w:val="16"/>
                <w:szCs w:val="14"/>
              </w:rPr>
            </w:pPr>
            <w:r w:rsidRPr="00782E1C">
              <w:rPr>
                <w:rFonts w:cs="Times New Roman"/>
                <w:sz w:val="16"/>
                <w:szCs w:val="14"/>
              </w:rPr>
              <w:fldChar w:fldCharType="begin"/>
            </w:r>
            <w:r w:rsidR="00CA7A9D">
              <w:rPr>
                <w:rFonts w:cs="Times New Roman"/>
                <w:sz w:val="16"/>
                <w:szCs w:val="14"/>
              </w:rPr>
              <w:instrText xml:space="preserve"> ADDIN ZOTERO_ITEM CSL_CITATION {"citationID":"kL5bMamH","properties":{"formattedCitation":"[30]","plainCitation":"[30]","noteIndex":0},"citationItems":[{"id":174,"uris":["http://zotero.org/users/12063231/items/KKIV5KDI"],"itemData":{"id":174,"type":"article-journal","abstract":"High-entropy materials are attracting ever-increasing concern for their unique structural features and unprecedented potential applications. In this study, we design and successfully prepared single-phase high-entropy perovskite oxide (HEPO) BaSn0.16Zr0.24Ce0.35Y0.1Yb0.1Dy0.05O3−δ (BSZCYYbD) to use as a new class of proton conductor, which is first applied to protonic ceramic fuel cells (PCFCs) below 600 °C. The BSZCYYbD exhibits excellent chemical and structural stability, high densification, and mechanical properties. The protonic conduction in BSZCYYbD is proved by the proton-conductor isotope effect and hydration effect. The protonic conductivity of BSZCYYbD is the highest ever reached in the high-entropy proton conductors, which is 8.3 mS cm–1 in humidified air (3% H2O) at 600 °C. An anode-based PCFC with BSZCYYbD electrolyte (</w:instrText>
            </w:r>
            <w:r w:rsidR="00CA7A9D">
              <w:rPr>
                <w:rFonts w:ascii="Cambria Math" w:hAnsi="Cambria Math" w:cs="Cambria Math"/>
                <w:sz w:val="16"/>
                <w:szCs w:val="14"/>
              </w:rPr>
              <w:instrText>∼</w:instrText>
            </w:r>
            <w:r w:rsidR="00CA7A9D">
              <w:rPr>
                <w:rFonts w:cs="Times New Roman"/>
                <w:sz w:val="16"/>
                <w:szCs w:val="14"/>
              </w:rPr>
              <w:instrText xml:space="preserve">45 </w:instrText>
            </w:r>
            <w:r w:rsidR="00CA7A9D">
              <w:rPr>
                <w:rFonts w:ascii="Aptos" w:hAnsi="Aptos" w:cs="Aptos"/>
                <w:sz w:val="16"/>
                <w:szCs w:val="14"/>
              </w:rPr>
              <w:instrText>μ</w:instrText>
            </w:r>
            <w:r w:rsidR="00CA7A9D">
              <w:rPr>
                <w:rFonts w:cs="Times New Roman"/>
                <w:sz w:val="16"/>
                <w:szCs w:val="14"/>
              </w:rPr>
              <w:instrText>m) demonstrates a favorable output of 318 mW cm</w:instrText>
            </w:r>
            <w:r w:rsidR="00CA7A9D">
              <w:rPr>
                <w:rFonts w:ascii="Aptos" w:hAnsi="Aptos" w:cs="Aptos"/>
                <w:sz w:val="16"/>
                <w:szCs w:val="14"/>
              </w:rPr>
              <w:instrText>–</w:instrText>
            </w:r>
            <w:r w:rsidR="00CA7A9D">
              <w:rPr>
                <w:rFonts w:cs="Times New Roman"/>
                <w:sz w:val="16"/>
                <w:szCs w:val="14"/>
              </w:rPr>
              <w:instrText xml:space="preserve">2 at 600 </w:instrText>
            </w:r>
            <w:r w:rsidR="00CA7A9D">
              <w:rPr>
                <w:rFonts w:ascii="Aptos" w:hAnsi="Aptos" w:cs="Aptos"/>
                <w:sz w:val="16"/>
                <w:szCs w:val="14"/>
              </w:rPr>
              <w:instrText>°</w:instrText>
            </w:r>
            <w:r w:rsidR="00CA7A9D">
              <w:rPr>
                <w:rFonts w:cs="Times New Roman"/>
                <w:sz w:val="16"/>
                <w:szCs w:val="14"/>
              </w:rPr>
              <w:instrText xml:space="preserve">C. Our study offers a strategy for the design of superior proton-conducting electrolytes based on HEPOs, which hold promise for diverse electrochemical applications.","container-title":"ACS Materials Letters","DOI":"10.1021/acsmaterialslett.2c00542","issue":"9","journalAbbreviation":"ACS Materials Lett.","note":"publisher: American Chemical Society","page":"1646-1652","source":"ACS Publications","title":"High-Entropy Perovskite Electrolyte for Protonic Ceramic Fuel Cells Operating below 600 °C","volume":"4","author":[{"family":"Guo","given":"Rui"},{"family":"He","given":"Tianmin"}],"issued":{"date-parts":[["2022",9,5]]}}}],"schema":"https://github.com/citation-style-language/schema/raw/master/csl-citation.json"} </w:instrText>
            </w:r>
            <w:r w:rsidRPr="00782E1C">
              <w:rPr>
                <w:rFonts w:cs="Times New Roman"/>
                <w:sz w:val="16"/>
                <w:szCs w:val="14"/>
              </w:rPr>
              <w:fldChar w:fldCharType="separate"/>
            </w:r>
            <w:r w:rsidR="00CA7A9D" w:rsidRPr="00CA7A9D">
              <w:rPr>
                <w:rFonts w:ascii="Aptos" w:hAnsi="Aptos"/>
                <w:sz w:val="16"/>
              </w:rPr>
              <w:t>[30]</w:t>
            </w:r>
            <w:r w:rsidRPr="00782E1C">
              <w:rPr>
                <w:rFonts w:cs="Times New Roman"/>
                <w:sz w:val="16"/>
                <w:szCs w:val="14"/>
              </w:rPr>
              <w:fldChar w:fldCharType="end"/>
            </w:r>
          </w:p>
        </w:tc>
      </w:tr>
      <w:tr w:rsidR="00E170BA" w:rsidRPr="001F38A1" w14:paraId="473A4A57" w14:textId="77777777" w:rsidTr="002E7584">
        <w:trPr>
          <w:trHeight w:val="467"/>
          <w:jc w:val="center"/>
        </w:trPr>
        <w:tc>
          <w:tcPr>
            <w:tcW w:w="4045" w:type="dxa"/>
            <w:vAlign w:val="center"/>
          </w:tcPr>
          <w:p w14:paraId="21573EF0" w14:textId="77777777" w:rsidR="00E170BA" w:rsidRPr="001F38A1" w:rsidRDefault="00E170BA" w:rsidP="002E7584">
            <w:pPr>
              <w:spacing w:line="240" w:lineRule="auto"/>
              <w:ind w:firstLine="0"/>
              <w:rPr>
                <w:rFonts w:cs="Times New Roman"/>
                <w:sz w:val="16"/>
                <w:szCs w:val="14"/>
              </w:rPr>
            </w:pPr>
            <w:r w:rsidRPr="00782E1C">
              <w:rPr>
                <w:rFonts w:cs="Times New Roman"/>
                <w:sz w:val="16"/>
                <w:szCs w:val="14"/>
              </w:rPr>
              <w:t xml:space="preserve">E: </w:t>
            </w:r>
            <m:oMath>
              <m:r>
                <m:rPr>
                  <m:sty m:val="p"/>
                </m:rPr>
                <w:rPr>
                  <w:rFonts w:ascii="Cambria Math" w:hAnsi="Cambria Math" w:cs="Times New Roman"/>
                  <w:sz w:val="16"/>
                  <w:szCs w:val="14"/>
                </w:rPr>
                <m:t>BaC</m:t>
              </m:r>
              <m:sSub>
                <m:sSubPr>
                  <m:ctrlPr>
                    <w:rPr>
                      <w:rFonts w:ascii="Cambria Math" w:hAnsi="Cambria Math" w:cs="Times New Roman"/>
                      <w:sz w:val="16"/>
                      <w:szCs w:val="14"/>
                    </w:rPr>
                  </m:ctrlPr>
                </m:sSubPr>
                <m:e>
                  <m:r>
                    <m:rPr>
                      <m:sty m:val="p"/>
                    </m:rPr>
                    <w:rPr>
                      <w:rFonts w:ascii="Cambria Math" w:hAnsi="Cambria Math" w:cs="Times New Roman"/>
                      <w:sz w:val="16"/>
                      <w:szCs w:val="14"/>
                    </w:rPr>
                    <m:t>e</m:t>
                  </m:r>
                </m:e>
                <m:sub>
                  <m:r>
                    <m:rPr>
                      <m:sty m:val="p"/>
                    </m:rPr>
                    <w:rPr>
                      <w:rFonts w:ascii="Cambria Math" w:hAnsi="Cambria Math" w:cs="Times New Roman"/>
                      <w:sz w:val="16"/>
                      <w:szCs w:val="14"/>
                    </w:rPr>
                    <m:t>0.7</m:t>
                  </m:r>
                </m:sub>
              </m:sSub>
              <m:r>
                <m:rPr>
                  <m:sty m:val="p"/>
                </m:rPr>
                <w:rPr>
                  <w:rFonts w:ascii="Cambria Math" w:hAnsi="Cambria Math" w:cs="Times New Roman"/>
                  <w:sz w:val="16"/>
                  <w:szCs w:val="14"/>
                </w:rPr>
                <m:t>Z</m:t>
              </m:r>
              <m:sSub>
                <m:sSubPr>
                  <m:ctrlPr>
                    <w:rPr>
                      <w:rFonts w:ascii="Cambria Math" w:hAnsi="Cambria Math" w:cs="Times New Roman"/>
                      <w:sz w:val="16"/>
                      <w:szCs w:val="14"/>
                    </w:rPr>
                  </m:ctrlPr>
                </m:sSubPr>
                <m:e>
                  <m:r>
                    <m:rPr>
                      <m:sty m:val="p"/>
                    </m:rPr>
                    <w:rPr>
                      <w:rFonts w:ascii="Cambria Math" w:hAnsi="Cambria Math" w:cs="Times New Roman"/>
                      <w:sz w:val="16"/>
                      <w:szCs w:val="14"/>
                    </w:rPr>
                    <m:t>r</m:t>
                  </m:r>
                </m:e>
                <m:sub>
                  <m:r>
                    <m:rPr>
                      <m:sty m:val="p"/>
                    </m:rPr>
                    <w:rPr>
                      <w:rFonts w:ascii="Cambria Math" w:hAnsi="Cambria Math" w:cs="Times New Roman"/>
                      <w:sz w:val="16"/>
                      <w:szCs w:val="14"/>
                    </w:rPr>
                    <m:t>0.1</m:t>
                  </m:r>
                </m:sub>
              </m:sSub>
              <m:sSub>
                <m:sSubPr>
                  <m:ctrlPr>
                    <w:rPr>
                      <w:rFonts w:ascii="Cambria Math" w:hAnsi="Cambria Math" w:cs="Times New Roman"/>
                      <w:sz w:val="16"/>
                      <w:szCs w:val="14"/>
                    </w:rPr>
                  </m:ctrlPr>
                </m:sSubPr>
                <m:e>
                  <m:r>
                    <m:rPr>
                      <m:sty m:val="p"/>
                    </m:rPr>
                    <w:rPr>
                      <w:rFonts w:ascii="Cambria Math" w:hAnsi="Cambria Math" w:cs="Times New Roman"/>
                      <w:sz w:val="16"/>
                      <w:szCs w:val="14"/>
                    </w:rPr>
                    <m:t>Y</m:t>
                  </m:r>
                </m:e>
                <m:sub>
                  <m:r>
                    <m:rPr>
                      <m:sty m:val="p"/>
                    </m:rPr>
                    <w:rPr>
                      <w:rFonts w:ascii="Cambria Math" w:hAnsi="Cambria Math" w:cs="Times New Roman"/>
                      <w:sz w:val="16"/>
                      <w:szCs w:val="14"/>
                    </w:rPr>
                    <m:t>0.1</m:t>
                  </m:r>
                </m:sub>
              </m:sSub>
              <m:r>
                <m:rPr>
                  <m:sty m:val="p"/>
                </m:rPr>
                <w:rPr>
                  <w:rFonts w:ascii="Cambria Math" w:hAnsi="Cambria Math" w:cs="Times New Roman"/>
                  <w:sz w:val="16"/>
                  <w:szCs w:val="14"/>
                </w:rPr>
                <m:t>Y</m:t>
              </m:r>
              <m:sSub>
                <m:sSubPr>
                  <m:ctrlPr>
                    <w:rPr>
                      <w:rFonts w:ascii="Cambria Math" w:hAnsi="Cambria Math" w:cs="Times New Roman"/>
                      <w:sz w:val="16"/>
                      <w:szCs w:val="14"/>
                    </w:rPr>
                  </m:ctrlPr>
                </m:sSubPr>
                <m:e>
                  <m:r>
                    <m:rPr>
                      <m:sty m:val="p"/>
                    </m:rPr>
                    <w:rPr>
                      <w:rFonts w:ascii="Cambria Math" w:hAnsi="Cambria Math" w:cs="Times New Roman"/>
                      <w:sz w:val="16"/>
                      <w:szCs w:val="14"/>
                    </w:rPr>
                    <m:t>b</m:t>
                  </m:r>
                </m:e>
                <m:sub>
                  <m:r>
                    <m:rPr>
                      <m:sty m:val="p"/>
                    </m:rPr>
                    <w:rPr>
                      <w:rFonts w:ascii="Cambria Math" w:hAnsi="Cambria Math" w:cs="Times New Roman"/>
                      <w:sz w:val="16"/>
                      <w:szCs w:val="14"/>
                    </w:rPr>
                    <m:t>0.1</m:t>
                  </m:r>
                </m:sub>
              </m:sSub>
              <m:sSub>
                <m:sSubPr>
                  <m:ctrlPr>
                    <w:rPr>
                      <w:rFonts w:ascii="Cambria Math" w:hAnsi="Cambria Math" w:cs="Times New Roman"/>
                      <w:sz w:val="16"/>
                      <w:szCs w:val="14"/>
                    </w:rPr>
                  </m:ctrlPr>
                </m:sSubPr>
                <m:e>
                  <m:r>
                    <m:rPr>
                      <m:sty m:val="p"/>
                    </m:rPr>
                    <w:rPr>
                      <w:rFonts w:ascii="Cambria Math" w:hAnsi="Cambria Math" w:cs="Times New Roman"/>
                      <w:sz w:val="16"/>
                      <w:szCs w:val="14"/>
                    </w:rPr>
                    <m:t>O</m:t>
                  </m:r>
                </m:e>
                <m:sub>
                  <m:r>
                    <m:rPr>
                      <m:sty m:val="p"/>
                    </m:rPr>
                    <w:rPr>
                      <w:rFonts w:ascii="Cambria Math" w:hAnsi="Cambria Math" w:cs="Times New Roman"/>
                      <w:sz w:val="16"/>
                      <w:szCs w:val="14"/>
                    </w:rPr>
                    <m:t>3-δ</m:t>
                  </m:r>
                </m:sub>
              </m:sSub>
            </m:oMath>
            <w:r w:rsidRPr="001F38A1">
              <w:rPr>
                <w:rFonts w:cs="Times New Roman"/>
                <w:sz w:val="16"/>
                <w:szCs w:val="14"/>
              </w:rPr>
              <w:t xml:space="preserve"> (BCZYYb) </w:t>
            </w:r>
          </w:p>
          <w:p w14:paraId="2B163E74" w14:textId="77777777" w:rsidR="00E170BA" w:rsidRPr="00782E1C" w:rsidRDefault="00E170BA" w:rsidP="002E7584">
            <w:pPr>
              <w:spacing w:line="240" w:lineRule="auto"/>
              <w:ind w:firstLine="0"/>
              <w:rPr>
                <w:rFonts w:cs="Times New Roman"/>
                <w:sz w:val="16"/>
                <w:szCs w:val="14"/>
              </w:rPr>
            </w:pPr>
            <w:r w:rsidRPr="001F38A1">
              <w:rPr>
                <w:rFonts w:cs="Times New Roman"/>
                <w:sz w:val="16"/>
                <w:szCs w:val="14"/>
              </w:rPr>
              <w:t xml:space="preserve">C: </w:t>
            </w:r>
            <m:oMath>
              <m:r>
                <m:rPr>
                  <m:sty m:val="p"/>
                </m:rPr>
                <w:rPr>
                  <w:rFonts w:ascii="Cambria Math" w:hAnsi="Cambria Math" w:cs="Times New Roman"/>
                  <w:sz w:val="16"/>
                  <w:szCs w:val="14"/>
                </w:rPr>
                <m:t>B</m:t>
              </m:r>
              <m:sSub>
                <m:sSubPr>
                  <m:ctrlPr>
                    <w:rPr>
                      <w:rFonts w:ascii="Cambria Math" w:hAnsi="Cambria Math" w:cs="Times New Roman"/>
                      <w:sz w:val="16"/>
                      <w:szCs w:val="14"/>
                    </w:rPr>
                  </m:ctrlPr>
                </m:sSubPr>
                <m:e>
                  <m:r>
                    <m:rPr>
                      <m:sty m:val="p"/>
                    </m:rPr>
                    <w:rPr>
                      <w:rFonts w:ascii="Cambria Math" w:hAnsi="Cambria Math" w:cs="Times New Roman"/>
                      <w:sz w:val="16"/>
                      <w:szCs w:val="14"/>
                    </w:rPr>
                    <m:t>a</m:t>
                  </m:r>
                </m:e>
                <m:sub>
                  <m:r>
                    <m:rPr>
                      <m:sty m:val="p"/>
                    </m:rPr>
                    <w:rPr>
                      <w:rFonts w:ascii="Cambria Math" w:hAnsi="Cambria Math" w:cs="Times New Roman"/>
                      <w:sz w:val="16"/>
                      <w:szCs w:val="14"/>
                    </w:rPr>
                    <m:t>0.95</m:t>
                  </m:r>
                </m:sub>
              </m:sSub>
              <m:r>
                <m:rPr>
                  <m:sty m:val="p"/>
                </m:rPr>
                <w:rPr>
                  <w:rFonts w:ascii="Cambria Math" w:hAnsi="Cambria Math" w:cs="Times New Roman"/>
                  <w:sz w:val="16"/>
                  <w:szCs w:val="14"/>
                </w:rPr>
                <m:t>L</m:t>
              </m:r>
              <m:sSub>
                <m:sSubPr>
                  <m:ctrlPr>
                    <w:rPr>
                      <w:rFonts w:ascii="Cambria Math" w:hAnsi="Cambria Math" w:cs="Times New Roman"/>
                      <w:sz w:val="16"/>
                      <w:szCs w:val="14"/>
                    </w:rPr>
                  </m:ctrlPr>
                </m:sSubPr>
                <m:e>
                  <m:r>
                    <m:rPr>
                      <m:sty m:val="p"/>
                    </m:rPr>
                    <w:rPr>
                      <w:rFonts w:ascii="Cambria Math" w:hAnsi="Cambria Math" w:cs="Times New Roman"/>
                      <w:sz w:val="16"/>
                      <w:szCs w:val="14"/>
                    </w:rPr>
                    <m:t>a</m:t>
                  </m:r>
                </m:e>
                <m:sub>
                  <m:r>
                    <m:rPr>
                      <m:sty m:val="p"/>
                    </m:rPr>
                    <w:rPr>
                      <w:rFonts w:ascii="Cambria Math" w:hAnsi="Cambria Math" w:cs="Times New Roman"/>
                      <w:sz w:val="16"/>
                      <w:szCs w:val="14"/>
                    </w:rPr>
                    <m:t>0.05</m:t>
                  </m:r>
                </m:sub>
              </m:sSub>
              <m:r>
                <m:rPr>
                  <m:sty m:val="p"/>
                </m:rPr>
                <w:rPr>
                  <w:rFonts w:ascii="Cambria Math" w:hAnsi="Cambria Math" w:cs="Times New Roman"/>
                  <w:sz w:val="16"/>
                  <w:szCs w:val="14"/>
                </w:rPr>
                <m:t>F</m:t>
              </m:r>
              <m:sSub>
                <m:sSubPr>
                  <m:ctrlPr>
                    <w:rPr>
                      <w:rFonts w:ascii="Cambria Math" w:hAnsi="Cambria Math" w:cs="Times New Roman"/>
                      <w:sz w:val="16"/>
                      <w:szCs w:val="14"/>
                    </w:rPr>
                  </m:ctrlPr>
                </m:sSubPr>
                <m:e>
                  <m:r>
                    <m:rPr>
                      <m:sty m:val="p"/>
                    </m:rPr>
                    <w:rPr>
                      <w:rFonts w:ascii="Cambria Math" w:hAnsi="Cambria Math" w:cs="Times New Roman"/>
                      <w:sz w:val="16"/>
                      <w:szCs w:val="14"/>
                    </w:rPr>
                    <m:t>e</m:t>
                  </m:r>
                </m:e>
                <m:sub>
                  <m:r>
                    <m:rPr>
                      <m:sty m:val="p"/>
                    </m:rPr>
                    <w:rPr>
                      <w:rFonts w:ascii="Cambria Math" w:hAnsi="Cambria Math" w:cs="Times New Roman"/>
                      <w:sz w:val="16"/>
                      <w:szCs w:val="14"/>
                    </w:rPr>
                    <m:t>0.8</m:t>
                  </m:r>
                </m:sub>
              </m:sSub>
              <m:r>
                <m:rPr>
                  <m:sty m:val="p"/>
                </m:rPr>
                <w:rPr>
                  <w:rFonts w:ascii="Cambria Math" w:hAnsi="Cambria Math" w:cs="Times New Roman"/>
                  <w:sz w:val="16"/>
                  <w:szCs w:val="14"/>
                </w:rPr>
                <m:t>Z</m:t>
              </m:r>
              <m:sSub>
                <m:sSubPr>
                  <m:ctrlPr>
                    <w:rPr>
                      <w:rFonts w:ascii="Cambria Math" w:hAnsi="Cambria Math" w:cs="Times New Roman"/>
                      <w:sz w:val="16"/>
                      <w:szCs w:val="14"/>
                    </w:rPr>
                  </m:ctrlPr>
                </m:sSubPr>
                <m:e>
                  <m:r>
                    <m:rPr>
                      <m:sty m:val="p"/>
                    </m:rPr>
                    <w:rPr>
                      <w:rFonts w:ascii="Cambria Math" w:hAnsi="Cambria Math" w:cs="Times New Roman"/>
                      <w:sz w:val="16"/>
                      <w:szCs w:val="14"/>
                    </w:rPr>
                    <m:t>n</m:t>
                  </m:r>
                </m:e>
                <m:sub>
                  <m:r>
                    <m:rPr>
                      <m:sty m:val="p"/>
                    </m:rPr>
                    <w:rPr>
                      <w:rFonts w:ascii="Cambria Math" w:hAnsi="Cambria Math" w:cs="Times New Roman"/>
                      <w:sz w:val="16"/>
                      <w:szCs w:val="14"/>
                    </w:rPr>
                    <m:t>0.2</m:t>
                  </m:r>
                </m:sub>
              </m:sSub>
              <m:sSub>
                <m:sSubPr>
                  <m:ctrlPr>
                    <w:rPr>
                      <w:rFonts w:ascii="Cambria Math" w:hAnsi="Cambria Math" w:cs="Times New Roman"/>
                      <w:sz w:val="16"/>
                      <w:szCs w:val="14"/>
                    </w:rPr>
                  </m:ctrlPr>
                </m:sSubPr>
                <m:e>
                  <m:r>
                    <m:rPr>
                      <m:sty m:val="p"/>
                    </m:rPr>
                    <w:rPr>
                      <w:rFonts w:ascii="Cambria Math" w:hAnsi="Cambria Math" w:cs="Times New Roman"/>
                      <w:sz w:val="16"/>
                      <w:szCs w:val="14"/>
                    </w:rPr>
                    <m:t>O</m:t>
                  </m:r>
                </m:e>
                <m:sub>
                  <m:r>
                    <m:rPr>
                      <m:sty m:val="p"/>
                    </m:rPr>
                    <w:rPr>
                      <w:rFonts w:ascii="Cambria Math" w:hAnsi="Cambria Math" w:cs="Times New Roman"/>
                      <w:sz w:val="16"/>
                      <w:szCs w:val="14"/>
                    </w:rPr>
                    <m:t>3-δ</m:t>
                  </m:r>
                </m:sub>
              </m:sSub>
              <m:r>
                <m:rPr>
                  <m:sty m:val="p"/>
                </m:rPr>
                <w:rPr>
                  <w:rFonts w:ascii="Cambria Math" w:hAnsi="Cambria Math" w:cs="Times New Roman"/>
                  <w:sz w:val="16"/>
                  <w:szCs w:val="14"/>
                </w:rPr>
                <m:t>-BCZYYb</m:t>
              </m:r>
            </m:oMath>
          </w:p>
        </w:tc>
        <w:tc>
          <w:tcPr>
            <w:tcW w:w="2250" w:type="dxa"/>
            <w:vAlign w:val="center"/>
          </w:tcPr>
          <w:p w14:paraId="0F66A3A3" w14:textId="77777777" w:rsidR="00E170BA" w:rsidRPr="001F38A1" w:rsidRDefault="00E170BA" w:rsidP="002E7584">
            <w:pPr>
              <w:spacing w:line="240" w:lineRule="auto"/>
              <w:ind w:firstLine="0"/>
              <w:rPr>
                <w:rFonts w:cs="Times New Roman"/>
                <w:sz w:val="16"/>
                <w:szCs w:val="14"/>
              </w:rPr>
            </w:pPr>
            <m:oMath>
              <m:r>
                <m:rPr>
                  <m:sty m:val="p"/>
                </m:rPr>
                <w:rPr>
                  <w:rFonts w:ascii="Cambria Math" w:hAnsi="Cambria Math" w:cs="Times New Roman"/>
                  <w:sz w:val="16"/>
                  <w:szCs w:val="14"/>
                </w:rPr>
                <m:t>550 °C:174 mW/c</m:t>
              </m:r>
              <m:sSup>
                <m:sSupPr>
                  <m:ctrlPr>
                    <w:rPr>
                      <w:rFonts w:ascii="Cambria Math" w:hAnsi="Cambria Math" w:cs="Times New Roman"/>
                      <w:sz w:val="16"/>
                      <w:szCs w:val="14"/>
                    </w:rPr>
                  </m:ctrlPr>
                </m:sSupPr>
                <m:e>
                  <m:r>
                    <m:rPr>
                      <m:sty m:val="p"/>
                    </m:rPr>
                    <w:rPr>
                      <w:rFonts w:ascii="Cambria Math" w:hAnsi="Cambria Math" w:cs="Times New Roman"/>
                      <w:sz w:val="16"/>
                      <w:szCs w:val="14"/>
                    </w:rPr>
                    <m:t>m</m:t>
                  </m:r>
                </m:e>
                <m:sup>
                  <m:r>
                    <m:rPr>
                      <m:sty m:val="p"/>
                    </m:rPr>
                    <w:rPr>
                      <w:rFonts w:ascii="Cambria Math" w:hAnsi="Cambria Math" w:cs="Times New Roman"/>
                      <w:sz w:val="16"/>
                      <w:szCs w:val="14"/>
                    </w:rPr>
                    <m:t>2</m:t>
                  </m:r>
                </m:sup>
              </m:sSup>
            </m:oMath>
            <w:r w:rsidRPr="001F38A1">
              <w:rPr>
                <w:rFonts w:cs="Times New Roman"/>
                <w:sz w:val="16"/>
                <w:szCs w:val="14"/>
              </w:rPr>
              <w:t xml:space="preserve"> </w:t>
            </w:r>
          </w:p>
          <w:p w14:paraId="6FA0603B" w14:textId="77777777" w:rsidR="00E170BA" w:rsidRPr="001F38A1" w:rsidRDefault="00E170BA" w:rsidP="002E7584">
            <w:pPr>
              <w:spacing w:line="240" w:lineRule="auto"/>
              <w:ind w:firstLine="0"/>
              <w:rPr>
                <w:rFonts w:cs="Times New Roman"/>
                <w:sz w:val="16"/>
                <w:szCs w:val="14"/>
              </w:rPr>
            </w:pPr>
            <m:oMath>
              <m:r>
                <m:rPr>
                  <m:sty m:val="p"/>
                </m:rPr>
                <w:rPr>
                  <w:rFonts w:ascii="Cambria Math" w:hAnsi="Cambria Math" w:cs="Times New Roman"/>
                  <w:sz w:val="16"/>
                  <w:szCs w:val="14"/>
                </w:rPr>
                <m:t>600 °C:342 mW/c</m:t>
              </m:r>
              <m:sSup>
                <m:sSupPr>
                  <m:ctrlPr>
                    <w:rPr>
                      <w:rFonts w:ascii="Cambria Math" w:hAnsi="Cambria Math" w:cs="Times New Roman"/>
                      <w:sz w:val="16"/>
                      <w:szCs w:val="14"/>
                    </w:rPr>
                  </m:ctrlPr>
                </m:sSupPr>
                <m:e>
                  <m:r>
                    <m:rPr>
                      <m:sty m:val="p"/>
                    </m:rPr>
                    <w:rPr>
                      <w:rFonts w:ascii="Cambria Math" w:hAnsi="Cambria Math" w:cs="Times New Roman"/>
                      <w:sz w:val="16"/>
                      <w:szCs w:val="14"/>
                    </w:rPr>
                    <m:t>m</m:t>
                  </m:r>
                </m:e>
                <m:sup>
                  <m:r>
                    <m:rPr>
                      <m:sty m:val="p"/>
                    </m:rPr>
                    <w:rPr>
                      <w:rFonts w:ascii="Cambria Math" w:hAnsi="Cambria Math" w:cs="Times New Roman"/>
                      <w:sz w:val="16"/>
                      <w:szCs w:val="14"/>
                    </w:rPr>
                    <m:t>2</m:t>
                  </m:r>
                </m:sup>
              </m:sSup>
            </m:oMath>
            <w:r w:rsidRPr="001F38A1">
              <w:rPr>
                <w:rFonts w:cs="Times New Roman"/>
                <w:sz w:val="16"/>
                <w:szCs w:val="14"/>
              </w:rPr>
              <w:t xml:space="preserve"> </w:t>
            </w:r>
          </w:p>
          <w:p w14:paraId="7698A43A" w14:textId="77777777" w:rsidR="00E170BA" w:rsidRPr="001F38A1" w:rsidRDefault="00E170BA" w:rsidP="002E7584">
            <w:pPr>
              <w:spacing w:line="240" w:lineRule="auto"/>
              <w:ind w:firstLine="0"/>
              <w:rPr>
                <w:rFonts w:cs="Times New Roman"/>
                <w:sz w:val="16"/>
                <w:szCs w:val="14"/>
              </w:rPr>
            </w:pPr>
            <m:oMath>
              <m:r>
                <m:rPr>
                  <m:sty m:val="p"/>
                </m:rPr>
                <w:rPr>
                  <w:rFonts w:ascii="Cambria Math" w:hAnsi="Cambria Math" w:cs="Times New Roman"/>
                  <w:sz w:val="16"/>
                  <w:szCs w:val="14"/>
                </w:rPr>
                <m:t>650 °C:601 mW/c</m:t>
              </m:r>
              <m:sSup>
                <m:sSupPr>
                  <m:ctrlPr>
                    <w:rPr>
                      <w:rFonts w:ascii="Cambria Math" w:hAnsi="Cambria Math" w:cs="Times New Roman"/>
                      <w:sz w:val="16"/>
                      <w:szCs w:val="14"/>
                    </w:rPr>
                  </m:ctrlPr>
                </m:sSupPr>
                <m:e>
                  <m:r>
                    <m:rPr>
                      <m:sty m:val="p"/>
                    </m:rPr>
                    <w:rPr>
                      <w:rFonts w:ascii="Cambria Math" w:hAnsi="Cambria Math" w:cs="Times New Roman"/>
                      <w:sz w:val="16"/>
                      <w:szCs w:val="14"/>
                    </w:rPr>
                    <m:t>m</m:t>
                  </m:r>
                </m:e>
                <m:sup>
                  <m:r>
                    <m:rPr>
                      <m:sty m:val="p"/>
                    </m:rPr>
                    <w:rPr>
                      <w:rFonts w:ascii="Cambria Math" w:hAnsi="Cambria Math" w:cs="Times New Roman"/>
                      <w:sz w:val="16"/>
                      <w:szCs w:val="14"/>
                    </w:rPr>
                    <m:t>2</m:t>
                  </m:r>
                </m:sup>
              </m:sSup>
            </m:oMath>
            <w:r w:rsidRPr="001F38A1">
              <w:rPr>
                <w:rFonts w:cs="Times New Roman"/>
                <w:sz w:val="16"/>
                <w:szCs w:val="14"/>
              </w:rPr>
              <w:t xml:space="preserve"> </w:t>
            </w:r>
          </w:p>
          <w:p w14:paraId="58E13B62" w14:textId="77777777" w:rsidR="00E170BA" w:rsidRPr="001F38A1" w:rsidRDefault="00E170BA" w:rsidP="002E7584">
            <w:pPr>
              <w:spacing w:line="240" w:lineRule="auto"/>
              <w:ind w:firstLine="0"/>
              <w:rPr>
                <w:rFonts w:cs="Times New Roman"/>
                <w:sz w:val="16"/>
                <w:szCs w:val="14"/>
              </w:rPr>
            </w:pPr>
            <m:oMath>
              <m:r>
                <m:rPr>
                  <m:sty m:val="p"/>
                </m:rPr>
                <w:rPr>
                  <w:rFonts w:ascii="Cambria Math" w:hAnsi="Cambria Math" w:cs="Times New Roman"/>
                  <w:sz w:val="16"/>
                  <w:szCs w:val="14"/>
                </w:rPr>
                <m:t>700 °C:847 mW/c</m:t>
              </m:r>
              <m:sSup>
                <m:sSupPr>
                  <m:ctrlPr>
                    <w:rPr>
                      <w:rFonts w:ascii="Cambria Math" w:hAnsi="Cambria Math" w:cs="Times New Roman"/>
                      <w:sz w:val="16"/>
                      <w:szCs w:val="14"/>
                    </w:rPr>
                  </m:ctrlPr>
                </m:sSupPr>
                <m:e>
                  <m:r>
                    <m:rPr>
                      <m:sty m:val="p"/>
                    </m:rPr>
                    <w:rPr>
                      <w:rFonts w:ascii="Cambria Math" w:hAnsi="Cambria Math" w:cs="Times New Roman"/>
                      <w:sz w:val="16"/>
                      <w:szCs w:val="14"/>
                    </w:rPr>
                    <m:t>m</m:t>
                  </m:r>
                </m:e>
                <m:sup>
                  <m:r>
                    <m:rPr>
                      <m:sty m:val="p"/>
                    </m:rPr>
                    <w:rPr>
                      <w:rFonts w:ascii="Cambria Math" w:hAnsi="Cambria Math" w:cs="Times New Roman"/>
                      <w:sz w:val="16"/>
                      <w:szCs w:val="14"/>
                    </w:rPr>
                    <m:t>2</m:t>
                  </m:r>
                </m:sup>
              </m:sSup>
            </m:oMath>
            <w:r w:rsidRPr="001F38A1">
              <w:rPr>
                <w:rFonts w:cs="Times New Roman"/>
                <w:sz w:val="16"/>
                <w:szCs w:val="14"/>
              </w:rPr>
              <w:t xml:space="preserve"> </w:t>
            </w:r>
          </w:p>
        </w:tc>
        <w:tc>
          <w:tcPr>
            <w:tcW w:w="1890" w:type="dxa"/>
            <w:vAlign w:val="center"/>
          </w:tcPr>
          <w:p w14:paraId="53AFF13F" w14:textId="77777777" w:rsidR="00E170BA" w:rsidRPr="00782E1C" w:rsidRDefault="00E170BA" w:rsidP="002E7584">
            <w:pPr>
              <w:spacing w:line="240" w:lineRule="auto"/>
              <w:ind w:firstLine="0"/>
              <w:rPr>
                <w:rFonts w:cs="Times New Roman"/>
                <w:sz w:val="16"/>
                <w:szCs w:val="14"/>
              </w:rPr>
            </w:pPr>
            <w:r w:rsidRPr="00782E1C">
              <w:rPr>
                <w:rFonts w:cs="Times New Roman"/>
                <w:sz w:val="16"/>
                <w:szCs w:val="14"/>
              </w:rPr>
              <w:t>Introduction of a nano-structured active layer to expand triple phase boundary</w:t>
            </w:r>
          </w:p>
        </w:tc>
        <w:tc>
          <w:tcPr>
            <w:tcW w:w="630" w:type="dxa"/>
            <w:vAlign w:val="center"/>
          </w:tcPr>
          <w:p w14:paraId="1FC6E524" w14:textId="77777777" w:rsidR="00E170BA" w:rsidRPr="00782E1C" w:rsidRDefault="00E170BA" w:rsidP="002E7584">
            <w:pPr>
              <w:spacing w:line="240" w:lineRule="auto"/>
              <w:ind w:firstLine="0"/>
              <w:rPr>
                <w:rFonts w:cs="Times New Roman"/>
                <w:sz w:val="16"/>
                <w:szCs w:val="14"/>
              </w:rPr>
            </w:pPr>
            <w:r w:rsidRPr="00782E1C">
              <w:rPr>
                <w:rFonts w:cs="Times New Roman"/>
                <w:sz w:val="16"/>
                <w:szCs w:val="14"/>
              </w:rPr>
              <w:t>2023</w:t>
            </w:r>
          </w:p>
        </w:tc>
        <w:tc>
          <w:tcPr>
            <w:tcW w:w="535" w:type="dxa"/>
            <w:vAlign w:val="center"/>
          </w:tcPr>
          <w:p w14:paraId="2C515518" w14:textId="538B935E" w:rsidR="00E170BA" w:rsidRPr="00782E1C" w:rsidRDefault="00E170BA" w:rsidP="002E7584">
            <w:pPr>
              <w:spacing w:line="240" w:lineRule="auto"/>
              <w:ind w:firstLine="0"/>
              <w:rPr>
                <w:rFonts w:cs="Times New Roman"/>
                <w:sz w:val="16"/>
                <w:szCs w:val="14"/>
              </w:rPr>
            </w:pPr>
            <w:r w:rsidRPr="00782E1C">
              <w:rPr>
                <w:rFonts w:cs="Times New Roman"/>
                <w:sz w:val="16"/>
                <w:szCs w:val="14"/>
              </w:rPr>
              <w:fldChar w:fldCharType="begin"/>
            </w:r>
            <w:r w:rsidR="00CA7A9D">
              <w:rPr>
                <w:rFonts w:cs="Times New Roman"/>
                <w:sz w:val="16"/>
                <w:szCs w:val="14"/>
              </w:rPr>
              <w:instrText xml:space="preserve"> ADDIN ZOTERO_ITEM CSL_CITATION {"citationID":"IiVHGyuT","properties":{"formattedCitation":"[31]","plainCitation":"[31]","noteIndex":0},"citationItems":[{"id":173,"uris":["http://zotero.org/users/12063231/items/AF7VCYMJ"],"itemData":{"id":173,"type":"article-journal","abstract":"Protonic ceramic fuel cells (PCFCs) are a promising option for efficient energy-conversion devices, which are hindered by sluggish cathodic kinetics. Here, a Ba0.95La0.05Fe0.8Zn0.2O3−δ (BLFZ)-infiltrated BaCe0.7Zr0.1Y0.1Yb0.1O3−δ (BCZYYb) nano-structured active layer (NAL) between the porous cathode and the dense electrolyte is designed, which can provide a powerful strategy to expand the triple-phase boundaries, allowing excellent electrochemical performance for PCFC with NH3 and H2 fuel. BLFZ nanoparticles are homogeneously distributed in a porous BCZYYb scaffold, as confirmed by SEM images and EDS mappings. The reduction of </w:instrText>
            </w:r>
            <w:r w:rsidR="00CA7A9D">
              <w:rPr>
                <w:rFonts w:ascii="Cambria Math" w:hAnsi="Cambria Math" w:cs="Cambria Math"/>
                <w:sz w:val="16"/>
                <w:szCs w:val="14"/>
              </w:rPr>
              <w:instrText>∼</w:instrText>
            </w:r>
            <w:r w:rsidR="00CA7A9D">
              <w:rPr>
                <w:rFonts w:cs="Times New Roman"/>
                <w:sz w:val="16"/>
                <w:szCs w:val="14"/>
              </w:rPr>
              <w:instrText xml:space="preserve">59% in polarization resistance for symmetrical cells at 600 </w:instrText>
            </w:r>
            <w:r w:rsidR="00CA7A9D">
              <w:rPr>
                <w:rFonts w:ascii="Aptos" w:hAnsi="Aptos" w:cs="Aptos"/>
                <w:sz w:val="16"/>
                <w:szCs w:val="14"/>
              </w:rPr>
              <w:instrText>°</w:instrText>
            </w:r>
            <w:r w:rsidR="00CA7A9D">
              <w:rPr>
                <w:rFonts w:cs="Times New Roman"/>
                <w:sz w:val="16"/>
                <w:szCs w:val="14"/>
              </w:rPr>
              <w:instrText xml:space="preserve">C is achieved. The electrochemical reaction processes are revealed by the electrochemical impedance spectra and the distribution of relaxation time analysis. Compared to the BLFZ-BCZYYb composite cathode, the single cell with the NAL shows an over 1.3-fold and 1.5-fold increase in peak power density, 601 and 486 mW cm–2 at 650 °C with H2 and NH3 fuel, respectively. The enhancement of cell performance is attributed to the coupling of proton conduction and electrocatalytic activity of the NAL, which expand the proton-accessible cathode area at the cathode/electrolyte interface. No obvious degradation is achieved for the PCFC measured at 600 °C with H2 and NH3 fuel.","container-title":"ACS Sustainable Chemistry &amp; Engineering","DOI":"10.1021/acssuschemeng.3c00706","issue":"28","journalAbbreviation":"ACS Sustainable Chem. Eng.","note":"publisher: American Chemical Society","page":"10303-10310","source":"ACS Publications","title":"Boosting Performance of a Protonic Ceramic Fuel Cell by the Incorporation of Active Nano-Structured Layers","volume":"11","author":[{"family":"Jing","given":"Junmeng"},{"family":"Lei","given":"Ze"},{"family":"Wang","given":"Chaoyu"},{"family":"Zheng","given":"Ziwei"},{"family":"Wang","given":"Haoran"},{"family":"Zhang","given":"Panpan"},{"family":"Yang","given":"Zhibin"},{"family":"Peng","given":"Suping"}],"issued":{"date-parts":[["2023",7,17]]}}}],"schema":"https://github.com/citation-style-language/schema/raw/master/csl-citation.json"} </w:instrText>
            </w:r>
            <w:r w:rsidRPr="00782E1C">
              <w:rPr>
                <w:rFonts w:cs="Times New Roman"/>
                <w:sz w:val="16"/>
                <w:szCs w:val="14"/>
              </w:rPr>
              <w:fldChar w:fldCharType="separate"/>
            </w:r>
            <w:r w:rsidR="00CA7A9D" w:rsidRPr="00CA7A9D">
              <w:rPr>
                <w:rFonts w:ascii="Aptos" w:hAnsi="Aptos"/>
                <w:sz w:val="16"/>
              </w:rPr>
              <w:t>[31]</w:t>
            </w:r>
            <w:r w:rsidRPr="00782E1C">
              <w:rPr>
                <w:rFonts w:cs="Times New Roman"/>
                <w:sz w:val="16"/>
                <w:szCs w:val="14"/>
              </w:rPr>
              <w:fldChar w:fldCharType="end"/>
            </w:r>
          </w:p>
        </w:tc>
      </w:tr>
      <w:tr w:rsidR="00E170BA" w:rsidRPr="001F38A1" w14:paraId="52C663DF" w14:textId="77777777" w:rsidTr="002E7584">
        <w:trPr>
          <w:trHeight w:val="467"/>
          <w:jc w:val="center"/>
        </w:trPr>
        <w:tc>
          <w:tcPr>
            <w:tcW w:w="4045" w:type="dxa"/>
            <w:vAlign w:val="center"/>
          </w:tcPr>
          <w:p w14:paraId="2242D688" w14:textId="77777777" w:rsidR="00E170BA" w:rsidRPr="00782E1C" w:rsidRDefault="00E170BA" w:rsidP="002E7584">
            <w:pPr>
              <w:spacing w:line="240" w:lineRule="auto"/>
              <w:ind w:firstLine="0"/>
              <w:rPr>
                <w:rFonts w:cs="Times New Roman"/>
                <w:sz w:val="16"/>
                <w:szCs w:val="14"/>
              </w:rPr>
            </w:pPr>
            <w:r w:rsidRPr="00782E1C">
              <w:rPr>
                <w:rFonts w:cs="Times New Roman"/>
                <w:sz w:val="16"/>
                <w:szCs w:val="14"/>
              </w:rPr>
              <w:t xml:space="preserve">E: </w:t>
            </w:r>
            <m:oMath>
              <m:r>
                <w:rPr>
                  <w:rFonts w:ascii="Cambria Math" w:hAnsi="Cambria Math" w:cs="Times New Roman"/>
                  <w:sz w:val="16"/>
                  <w:szCs w:val="14"/>
                </w:rPr>
                <m:t>BaZ</m:t>
              </m:r>
              <m:sSub>
                <m:sSubPr>
                  <m:ctrlPr>
                    <w:rPr>
                      <w:rFonts w:ascii="Cambria Math" w:hAnsi="Cambria Math" w:cs="Times New Roman"/>
                      <w:sz w:val="16"/>
                      <w:szCs w:val="14"/>
                    </w:rPr>
                  </m:ctrlPr>
                </m:sSubPr>
                <m:e>
                  <m:r>
                    <w:rPr>
                      <w:rFonts w:ascii="Cambria Math" w:hAnsi="Cambria Math" w:cs="Times New Roman"/>
                      <w:sz w:val="16"/>
                      <w:szCs w:val="14"/>
                    </w:rPr>
                    <m:t>r</m:t>
                  </m:r>
                </m:e>
                <m:sub>
                  <m:r>
                    <m:rPr>
                      <m:sty m:val="p"/>
                    </m:rPr>
                    <w:rPr>
                      <w:rFonts w:ascii="Cambria Math" w:hAnsi="Cambria Math" w:cs="Times New Roman"/>
                      <w:sz w:val="16"/>
                      <w:szCs w:val="14"/>
                    </w:rPr>
                    <m:t>0.2</m:t>
                  </m:r>
                </m:sub>
              </m:sSub>
              <m:r>
                <w:rPr>
                  <w:rFonts w:ascii="Cambria Math" w:hAnsi="Cambria Math" w:cs="Times New Roman"/>
                  <w:sz w:val="16"/>
                  <w:szCs w:val="14"/>
                </w:rPr>
                <m:t>C</m:t>
              </m:r>
              <m:sSub>
                <m:sSubPr>
                  <m:ctrlPr>
                    <w:rPr>
                      <w:rFonts w:ascii="Cambria Math" w:hAnsi="Cambria Math" w:cs="Times New Roman"/>
                      <w:sz w:val="16"/>
                      <w:szCs w:val="14"/>
                    </w:rPr>
                  </m:ctrlPr>
                </m:sSubPr>
                <m:e>
                  <m:r>
                    <w:rPr>
                      <w:rFonts w:ascii="Cambria Math" w:hAnsi="Cambria Math" w:cs="Times New Roman"/>
                      <w:sz w:val="16"/>
                      <w:szCs w:val="14"/>
                    </w:rPr>
                    <m:t>e</m:t>
                  </m:r>
                </m:e>
                <m:sub>
                  <m:r>
                    <m:rPr>
                      <m:sty m:val="p"/>
                    </m:rPr>
                    <w:rPr>
                      <w:rFonts w:ascii="Cambria Math" w:hAnsi="Cambria Math" w:cs="Times New Roman"/>
                      <w:sz w:val="16"/>
                      <w:szCs w:val="14"/>
                    </w:rPr>
                    <m:t>0.7</m:t>
                  </m:r>
                </m:sub>
              </m:sSub>
              <m:sSub>
                <m:sSubPr>
                  <m:ctrlPr>
                    <w:rPr>
                      <w:rFonts w:ascii="Cambria Math" w:hAnsi="Cambria Math" w:cs="Times New Roman"/>
                      <w:sz w:val="16"/>
                      <w:szCs w:val="14"/>
                    </w:rPr>
                  </m:ctrlPr>
                </m:sSubPr>
                <m:e>
                  <m:r>
                    <w:rPr>
                      <w:rFonts w:ascii="Cambria Math" w:hAnsi="Cambria Math" w:cs="Times New Roman"/>
                      <w:sz w:val="16"/>
                      <w:szCs w:val="14"/>
                    </w:rPr>
                    <m:t>Y</m:t>
                  </m:r>
                </m:e>
                <m:sub>
                  <m:r>
                    <m:rPr>
                      <m:sty m:val="p"/>
                    </m:rPr>
                    <w:rPr>
                      <w:rFonts w:ascii="Cambria Math" w:hAnsi="Cambria Math" w:cs="Times New Roman"/>
                      <w:sz w:val="16"/>
                      <w:szCs w:val="14"/>
                    </w:rPr>
                    <m:t>0.1</m:t>
                  </m:r>
                </m:sub>
              </m:sSub>
              <m:sSub>
                <m:sSubPr>
                  <m:ctrlPr>
                    <w:rPr>
                      <w:rFonts w:ascii="Cambria Math" w:hAnsi="Cambria Math" w:cs="Times New Roman"/>
                      <w:sz w:val="16"/>
                      <w:szCs w:val="14"/>
                    </w:rPr>
                  </m:ctrlPr>
                </m:sSubPr>
                <m:e>
                  <m:r>
                    <w:rPr>
                      <w:rFonts w:ascii="Cambria Math" w:hAnsi="Cambria Math" w:cs="Times New Roman"/>
                      <w:sz w:val="16"/>
                      <w:szCs w:val="14"/>
                    </w:rPr>
                    <m:t>O</m:t>
                  </m:r>
                </m:e>
                <m:sub>
                  <m:r>
                    <m:rPr>
                      <m:sty m:val="p"/>
                    </m:rPr>
                    <w:rPr>
                      <w:rFonts w:ascii="Cambria Math" w:hAnsi="Cambria Math" w:cs="Times New Roman"/>
                      <w:sz w:val="16"/>
                      <w:szCs w:val="14"/>
                    </w:rPr>
                    <m:t>3-</m:t>
                  </m:r>
                  <m:r>
                    <w:rPr>
                      <w:rFonts w:ascii="Cambria Math" w:hAnsi="Cambria Math" w:cs="Times New Roman"/>
                      <w:sz w:val="16"/>
                      <w:szCs w:val="14"/>
                    </w:rPr>
                    <m:t>δ</m:t>
                  </m:r>
                </m:sub>
              </m:sSub>
            </m:oMath>
          </w:p>
          <w:p w14:paraId="792CDA99" w14:textId="77777777" w:rsidR="00E170BA" w:rsidRPr="00782E1C" w:rsidRDefault="00E170BA" w:rsidP="002E7584">
            <w:pPr>
              <w:spacing w:line="240" w:lineRule="auto"/>
              <w:ind w:firstLine="0"/>
              <w:rPr>
                <w:rFonts w:cs="Times New Roman"/>
                <w:sz w:val="16"/>
                <w:szCs w:val="14"/>
              </w:rPr>
            </w:pPr>
            <w:r w:rsidRPr="00782E1C">
              <w:rPr>
                <w:rFonts w:cs="Times New Roman"/>
                <w:sz w:val="16"/>
                <w:szCs w:val="14"/>
              </w:rPr>
              <w:t xml:space="preserve">C: </w:t>
            </w:r>
            <m:oMath>
              <m:r>
                <w:rPr>
                  <w:rFonts w:ascii="Cambria Math" w:hAnsi="Cambria Math" w:cs="Times New Roman"/>
                  <w:sz w:val="16"/>
                  <w:szCs w:val="14"/>
                </w:rPr>
                <m:t>S</m:t>
              </m:r>
              <m:sSub>
                <m:sSubPr>
                  <m:ctrlPr>
                    <w:rPr>
                      <w:rFonts w:ascii="Cambria Math" w:hAnsi="Cambria Math" w:cs="Times New Roman"/>
                      <w:sz w:val="16"/>
                      <w:szCs w:val="14"/>
                    </w:rPr>
                  </m:ctrlPr>
                </m:sSubPr>
                <m:e>
                  <m:r>
                    <w:rPr>
                      <w:rFonts w:ascii="Cambria Math" w:hAnsi="Cambria Math" w:cs="Times New Roman"/>
                      <w:sz w:val="16"/>
                      <w:szCs w:val="14"/>
                    </w:rPr>
                    <m:t>r</m:t>
                  </m:r>
                </m:e>
                <m:sub>
                  <m:r>
                    <m:rPr>
                      <m:sty m:val="p"/>
                    </m:rPr>
                    <w:rPr>
                      <w:rFonts w:ascii="Cambria Math" w:hAnsi="Cambria Math" w:cs="Times New Roman"/>
                      <w:sz w:val="16"/>
                      <w:szCs w:val="14"/>
                    </w:rPr>
                    <m:t>4</m:t>
                  </m:r>
                </m:sub>
              </m:sSub>
              <m:r>
                <w:rPr>
                  <w:rFonts w:ascii="Cambria Math" w:hAnsi="Cambria Math" w:cs="Times New Roman"/>
                  <w:sz w:val="16"/>
                  <w:szCs w:val="14"/>
                </w:rPr>
                <m:t>F</m:t>
              </m:r>
              <m:sSub>
                <m:sSubPr>
                  <m:ctrlPr>
                    <w:rPr>
                      <w:rFonts w:ascii="Cambria Math" w:hAnsi="Cambria Math" w:cs="Times New Roman"/>
                      <w:sz w:val="16"/>
                      <w:szCs w:val="14"/>
                    </w:rPr>
                  </m:ctrlPr>
                </m:sSubPr>
                <m:e>
                  <m:r>
                    <w:rPr>
                      <w:rFonts w:ascii="Cambria Math" w:hAnsi="Cambria Math" w:cs="Times New Roman"/>
                      <w:sz w:val="16"/>
                      <w:szCs w:val="14"/>
                    </w:rPr>
                    <m:t>e</m:t>
                  </m:r>
                </m:e>
                <m:sub>
                  <m:r>
                    <m:rPr>
                      <m:sty m:val="p"/>
                    </m:rPr>
                    <w:rPr>
                      <w:rFonts w:ascii="Cambria Math" w:hAnsi="Cambria Math" w:cs="Times New Roman"/>
                      <w:sz w:val="16"/>
                      <w:szCs w:val="14"/>
                    </w:rPr>
                    <m:t>4</m:t>
                  </m:r>
                </m:sub>
              </m:sSub>
              <m:r>
                <w:rPr>
                  <w:rFonts w:ascii="Cambria Math" w:hAnsi="Cambria Math" w:cs="Times New Roman"/>
                  <w:sz w:val="16"/>
                  <w:szCs w:val="14"/>
                </w:rPr>
                <m:t>C</m:t>
              </m:r>
              <m:sSub>
                <m:sSubPr>
                  <m:ctrlPr>
                    <w:rPr>
                      <w:rFonts w:ascii="Cambria Math" w:hAnsi="Cambria Math" w:cs="Times New Roman"/>
                      <w:sz w:val="16"/>
                      <w:szCs w:val="14"/>
                    </w:rPr>
                  </m:ctrlPr>
                </m:sSubPr>
                <m:e>
                  <m:r>
                    <w:rPr>
                      <w:rFonts w:ascii="Cambria Math" w:hAnsi="Cambria Math" w:cs="Times New Roman"/>
                      <w:sz w:val="16"/>
                      <w:szCs w:val="14"/>
                    </w:rPr>
                    <m:t>o</m:t>
                  </m:r>
                </m:e>
                <m:sub>
                  <m:r>
                    <m:rPr>
                      <m:sty m:val="p"/>
                    </m:rPr>
                    <w:rPr>
                      <w:rFonts w:ascii="Cambria Math" w:hAnsi="Cambria Math" w:cs="Times New Roman"/>
                      <w:sz w:val="16"/>
                      <w:szCs w:val="14"/>
                    </w:rPr>
                    <m:t>2</m:t>
                  </m:r>
                </m:sub>
              </m:sSub>
              <m:sSub>
                <m:sSubPr>
                  <m:ctrlPr>
                    <w:rPr>
                      <w:rFonts w:ascii="Cambria Math" w:hAnsi="Cambria Math" w:cs="Times New Roman"/>
                      <w:sz w:val="16"/>
                      <w:szCs w:val="14"/>
                    </w:rPr>
                  </m:ctrlPr>
                </m:sSubPr>
                <m:e>
                  <m:r>
                    <w:rPr>
                      <w:rFonts w:ascii="Cambria Math" w:hAnsi="Cambria Math" w:cs="Times New Roman"/>
                      <w:sz w:val="16"/>
                      <w:szCs w:val="14"/>
                    </w:rPr>
                    <m:t>O</m:t>
                  </m:r>
                </m:e>
                <m:sub>
                  <m:r>
                    <m:rPr>
                      <m:sty m:val="p"/>
                    </m:rPr>
                    <w:rPr>
                      <w:rFonts w:ascii="Cambria Math" w:hAnsi="Cambria Math" w:cs="Times New Roman"/>
                      <w:sz w:val="16"/>
                      <w:szCs w:val="14"/>
                    </w:rPr>
                    <m:t>13+</m:t>
                  </m:r>
                  <m:r>
                    <w:rPr>
                      <w:rFonts w:ascii="Cambria Math" w:hAnsi="Cambria Math" w:cs="Times New Roman"/>
                      <w:sz w:val="16"/>
                      <w:szCs w:val="14"/>
                    </w:rPr>
                    <m:t>δ</m:t>
                  </m:r>
                </m:sub>
              </m:sSub>
              <m:r>
                <m:rPr>
                  <m:sty m:val="p"/>
                </m:rPr>
                <w:rPr>
                  <w:rFonts w:ascii="Cambria Math" w:hAnsi="Cambria Math" w:cs="Times New Roman"/>
                  <w:sz w:val="16"/>
                  <w:szCs w:val="14"/>
                </w:rPr>
                <m:t>+</m:t>
              </m:r>
              <m:r>
                <w:rPr>
                  <w:rFonts w:ascii="Cambria Math" w:hAnsi="Cambria Math" w:cs="Times New Roman"/>
                  <w:sz w:val="16"/>
                  <w:szCs w:val="14"/>
                </w:rPr>
                <m:t>BaZ</m:t>
              </m:r>
              <m:sSub>
                <m:sSubPr>
                  <m:ctrlPr>
                    <w:rPr>
                      <w:rFonts w:ascii="Cambria Math" w:hAnsi="Cambria Math" w:cs="Times New Roman"/>
                      <w:sz w:val="16"/>
                      <w:szCs w:val="14"/>
                    </w:rPr>
                  </m:ctrlPr>
                </m:sSubPr>
                <m:e>
                  <m:r>
                    <w:rPr>
                      <w:rFonts w:ascii="Cambria Math" w:hAnsi="Cambria Math" w:cs="Times New Roman"/>
                      <w:sz w:val="16"/>
                      <w:szCs w:val="14"/>
                    </w:rPr>
                    <m:t>r</m:t>
                  </m:r>
                </m:e>
                <m:sub>
                  <m:r>
                    <m:rPr>
                      <m:sty m:val="p"/>
                    </m:rPr>
                    <w:rPr>
                      <w:rFonts w:ascii="Cambria Math" w:hAnsi="Cambria Math" w:cs="Times New Roman"/>
                      <w:sz w:val="16"/>
                      <w:szCs w:val="14"/>
                    </w:rPr>
                    <m:t>0.2</m:t>
                  </m:r>
                </m:sub>
              </m:sSub>
              <m:r>
                <w:rPr>
                  <w:rFonts w:ascii="Cambria Math" w:hAnsi="Cambria Math" w:cs="Times New Roman"/>
                  <w:sz w:val="16"/>
                  <w:szCs w:val="14"/>
                </w:rPr>
                <m:t>C</m:t>
              </m:r>
              <m:sSub>
                <m:sSubPr>
                  <m:ctrlPr>
                    <w:rPr>
                      <w:rFonts w:ascii="Cambria Math" w:hAnsi="Cambria Math" w:cs="Times New Roman"/>
                      <w:sz w:val="16"/>
                      <w:szCs w:val="14"/>
                    </w:rPr>
                  </m:ctrlPr>
                </m:sSubPr>
                <m:e>
                  <m:r>
                    <w:rPr>
                      <w:rFonts w:ascii="Cambria Math" w:hAnsi="Cambria Math" w:cs="Times New Roman"/>
                      <w:sz w:val="16"/>
                      <w:szCs w:val="14"/>
                    </w:rPr>
                    <m:t>e</m:t>
                  </m:r>
                </m:e>
                <m:sub>
                  <m:r>
                    <m:rPr>
                      <m:sty m:val="p"/>
                    </m:rPr>
                    <w:rPr>
                      <w:rFonts w:ascii="Cambria Math" w:hAnsi="Cambria Math" w:cs="Times New Roman"/>
                      <w:sz w:val="16"/>
                      <w:szCs w:val="14"/>
                    </w:rPr>
                    <m:t>0.7</m:t>
                  </m:r>
                </m:sub>
              </m:sSub>
              <m:sSub>
                <m:sSubPr>
                  <m:ctrlPr>
                    <w:rPr>
                      <w:rFonts w:ascii="Cambria Math" w:hAnsi="Cambria Math" w:cs="Times New Roman"/>
                      <w:sz w:val="16"/>
                      <w:szCs w:val="14"/>
                    </w:rPr>
                  </m:ctrlPr>
                </m:sSubPr>
                <m:e>
                  <m:r>
                    <w:rPr>
                      <w:rFonts w:ascii="Cambria Math" w:hAnsi="Cambria Math" w:cs="Times New Roman"/>
                      <w:sz w:val="16"/>
                      <w:szCs w:val="14"/>
                    </w:rPr>
                    <m:t>Y</m:t>
                  </m:r>
                </m:e>
                <m:sub>
                  <m:r>
                    <m:rPr>
                      <m:sty m:val="p"/>
                    </m:rPr>
                    <w:rPr>
                      <w:rFonts w:ascii="Cambria Math" w:hAnsi="Cambria Math" w:cs="Times New Roman"/>
                      <w:sz w:val="16"/>
                      <w:szCs w:val="14"/>
                    </w:rPr>
                    <m:t>0.1</m:t>
                  </m:r>
                </m:sub>
              </m:sSub>
              <m:sSub>
                <m:sSubPr>
                  <m:ctrlPr>
                    <w:rPr>
                      <w:rFonts w:ascii="Cambria Math" w:hAnsi="Cambria Math" w:cs="Times New Roman"/>
                      <w:sz w:val="16"/>
                      <w:szCs w:val="14"/>
                    </w:rPr>
                  </m:ctrlPr>
                </m:sSubPr>
                <m:e>
                  <m:r>
                    <w:rPr>
                      <w:rFonts w:ascii="Cambria Math" w:hAnsi="Cambria Math" w:cs="Times New Roman"/>
                      <w:sz w:val="16"/>
                      <w:szCs w:val="14"/>
                    </w:rPr>
                    <m:t>O</m:t>
                  </m:r>
                </m:e>
                <m:sub>
                  <m:r>
                    <m:rPr>
                      <m:sty m:val="p"/>
                    </m:rPr>
                    <w:rPr>
                      <w:rFonts w:ascii="Cambria Math" w:hAnsi="Cambria Math" w:cs="Times New Roman"/>
                      <w:sz w:val="16"/>
                      <w:szCs w:val="14"/>
                    </w:rPr>
                    <m:t>3-</m:t>
                  </m:r>
                  <m:r>
                    <w:rPr>
                      <w:rFonts w:ascii="Cambria Math" w:hAnsi="Cambria Math" w:cs="Times New Roman"/>
                      <w:sz w:val="16"/>
                      <w:szCs w:val="14"/>
                    </w:rPr>
                    <m:t>δ</m:t>
                  </m:r>
                </m:sub>
              </m:sSub>
            </m:oMath>
          </w:p>
        </w:tc>
        <w:tc>
          <w:tcPr>
            <w:tcW w:w="2250" w:type="dxa"/>
            <w:vAlign w:val="center"/>
          </w:tcPr>
          <w:p w14:paraId="48CB0C74" w14:textId="77777777" w:rsidR="00E170BA" w:rsidRPr="001F38A1" w:rsidRDefault="00E170BA" w:rsidP="002E7584">
            <w:pPr>
              <w:spacing w:line="240" w:lineRule="auto"/>
              <w:ind w:firstLine="0"/>
              <w:rPr>
                <w:rFonts w:cs="Times New Roman"/>
                <w:sz w:val="16"/>
                <w:szCs w:val="14"/>
              </w:rPr>
            </w:pPr>
            <m:oMath>
              <m:r>
                <m:rPr>
                  <m:sty m:val="p"/>
                </m:rPr>
                <w:rPr>
                  <w:rFonts w:ascii="Cambria Math" w:hAnsi="Cambria Math" w:cs="Times New Roman"/>
                  <w:sz w:val="16"/>
                  <w:szCs w:val="14"/>
                </w:rPr>
                <m:t>550 °</m:t>
              </m:r>
              <m:r>
                <w:rPr>
                  <w:rFonts w:ascii="Cambria Math" w:hAnsi="Cambria Math" w:cs="Times New Roman"/>
                  <w:sz w:val="16"/>
                  <w:szCs w:val="14"/>
                </w:rPr>
                <m:t>C</m:t>
              </m:r>
              <m:r>
                <m:rPr>
                  <m:sty m:val="p"/>
                </m:rPr>
                <w:rPr>
                  <w:rFonts w:ascii="Cambria Math" w:hAnsi="Cambria Math" w:cs="Times New Roman"/>
                  <w:sz w:val="16"/>
                  <w:szCs w:val="14"/>
                </w:rPr>
                <m:t xml:space="preserve">:550 </m:t>
              </m:r>
              <m:r>
                <w:rPr>
                  <w:rFonts w:ascii="Cambria Math" w:hAnsi="Cambria Math" w:cs="Times New Roman"/>
                  <w:sz w:val="16"/>
                  <w:szCs w:val="14"/>
                </w:rPr>
                <m:t>mW</m:t>
              </m:r>
              <m:r>
                <m:rPr>
                  <m:sty m:val="p"/>
                </m:rPr>
                <w:rPr>
                  <w:rFonts w:ascii="Cambria Math" w:hAnsi="Cambria Math" w:cs="Times New Roman"/>
                  <w:sz w:val="16"/>
                  <w:szCs w:val="14"/>
                </w:rPr>
                <m:t>/</m:t>
              </m:r>
              <m:r>
                <w:rPr>
                  <w:rFonts w:ascii="Cambria Math" w:hAnsi="Cambria Math" w:cs="Times New Roman"/>
                  <w:sz w:val="16"/>
                  <w:szCs w:val="14"/>
                </w:rPr>
                <m:t>c</m:t>
              </m:r>
              <m:sSup>
                <m:sSupPr>
                  <m:ctrlPr>
                    <w:rPr>
                      <w:rFonts w:ascii="Cambria Math" w:hAnsi="Cambria Math" w:cs="Times New Roman"/>
                      <w:sz w:val="16"/>
                      <w:szCs w:val="14"/>
                    </w:rPr>
                  </m:ctrlPr>
                </m:sSupPr>
                <m:e>
                  <m:r>
                    <w:rPr>
                      <w:rFonts w:ascii="Cambria Math" w:hAnsi="Cambria Math" w:cs="Times New Roman"/>
                      <w:sz w:val="16"/>
                      <w:szCs w:val="14"/>
                    </w:rPr>
                    <m:t>m</m:t>
                  </m:r>
                </m:e>
                <m:sup>
                  <m:r>
                    <m:rPr>
                      <m:sty m:val="p"/>
                    </m:rPr>
                    <w:rPr>
                      <w:rFonts w:ascii="Cambria Math" w:hAnsi="Cambria Math" w:cs="Times New Roman"/>
                      <w:sz w:val="16"/>
                      <w:szCs w:val="14"/>
                    </w:rPr>
                    <m:t>2</m:t>
                  </m:r>
                </m:sup>
              </m:sSup>
            </m:oMath>
            <w:r w:rsidRPr="001F38A1">
              <w:rPr>
                <w:rFonts w:cs="Times New Roman"/>
                <w:sz w:val="16"/>
                <w:szCs w:val="14"/>
              </w:rPr>
              <w:t xml:space="preserve"> </w:t>
            </w:r>
          </w:p>
        </w:tc>
        <w:tc>
          <w:tcPr>
            <w:tcW w:w="1890" w:type="dxa"/>
            <w:vAlign w:val="center"/>
          </w:tcPr>
          <w:p w14:paraId="30A99522" w14:textId="77777777" w:rsidR="00E170BA" w:rsidRPr="00782E1C" w:rsidRDefault="00E170BA" w:rsidP="002E7584">
            <w:pPr>
              <w:spacing w:line="240" w:lineRule="auto"/>
              <w:ind w:firstLine="0"/>
              <w:rPr>
                <w:rFonts w:cs="Times New Roman"/>
                <w:sz w:val="16"/>
                <w:szCs w:val="14"/>
              </w:rPr>
            </w:pPr>
            <w:r w:rsidRPr="00782E1C">
              <w:rPr>
                <w:rFonts w:cs="Times New Roman"/>
                <w:sz w:val="16"/>
                <w:szCs w:val="14"/>
              </w:rPr>
              <w:t>Excellent triple-conducting cathode material SFC+BCZY</w:t>
            </w:r>
          </w:p>
        </w:tc>
        <w:tc>
          <w:tcPr>
            <w:tcW w:w="630" w:type="dxa"/>
            <w:vAlign w:val="center"/>
          </w:tcPr>
          <w:p w14:paraId="74CB0EC4" w14:textId="77777777" w:rsidR="00E170BA" w:rsidRPr="00782E1C" w:rsidRDefault="00E170BA" w:rsidP="002E7584">
            <w:pPr>
              <w:spacing w:line="240" w:lineRule="auto"/>
              <w:ind w:firstLine="0"/>
              <w:rPr>
                <w:rFonts w:cs="Times New Roman"/>
                <w:sz w:val="16"/>
                <w:szCs w:val="14"/>
              </w:rPr>
            </w:pPr>
            <w:r w:rsidRPr="00782E1C">
              <w:rPr>
                <w:rFonts w:cs="Times New Roman"/>
                <w:sz w:val="16"/>
                <w:szCs w:val="14"/>
              </w:rPr>
              <w:t>2023</w:t>
            </w:r>
          </w:p>
        </w:tc>
        <w:tc>
          <w:tcPr>
            <w:tcW w:w="535" w:type="dxa"/>
            <w:vAlign w:val="center"/>
          </w:tcPr>
          <w:p w14:paraId="2D02781B" w14:textId="16506529" w:rsidR="00E170BA" w:rsidRPr="00782E1C" w:rsidRDefault="00E170BA" w:rsidP="002E7584">
            <w:pPr>
              <w:spacing w:line="240" w:lineRule="auto"/>
              <w:ind w:firstLine="0"/>
              <w:rPr>
                <w:rFonts w:cs="Times New Roman"/>
                <w:sz w:val="16"/>
                <w:szCs w:val="14"/>
              </w:rPr>
            </w:pPr>
            <w:r w:rsidRPr="00782E1C">
              <w:rPr>
                <w:rFonts w:cs="Times New Roman"/>
                <w:sz w:val="16"/>
                <w:szCs w:val="14"/>
              </w:rPr>
              <w:fldChar w:fldCharType="begin"/>
            </w:r>
            <w:r w:rsidR="00CA7A9D">
              <w:rPr>
                <w:rFonts w:cs="Times New Roman"/>
                <w:sz w:val="16"/>
                <w:szCs w:val="14"/>
              </w:rPr>
              <w:instrText xml:space="preserve"> ADDIN ZOTERO_ITEM CSL_CITATION {"citationID":"2CARaAyw","properties":{"formattedCitation":"[32]","plainCitation":"[32]","noteIndex":0},"citationItems":[{"id":172,"uris":["http://zotero.org/users/12063231/items/7Z5JDA24"],"itemData":{"id":172,"type":"article-journal","abstract":"Protonic ceramic fuel cells (PCFCs) are more suitable for operation at low temperatures due to their smaller activation energy (Ea). Unfortunately, the utilization of PCFC technology at reduced temperatures is limited by the lack of durable and high-activity air electrodes. A lot number of cobalt-based oxides have been developed as air electrodes for PCFCs, due to their high oxygen reduction reaction (ORR) activity. However, cobalt-based oxides usually have more significant thermal expansion coefficients (TECs) and poor thermomechanical compatibility with electrolytes. These characteristics can lead to cell delamination and degradation. Herein, we rationally design a novel cobalt-containing composite cathode material with the nominal composition of Sr4Fe4Co2O13+δ (SFC). SFC is composed of tetragonal perovskite phase (Sr8Fe8O23+δ, I4/mmm, 81 wt.%) and spinel phase (Co3O4, Fd3̄m, 19 wt.%). The SFC composite cathode displays an ultra-high oxygen ionic conductivity (0.053 S·cm−1 at 550 °C), superior CO2 tolerance, and suitable TEC value (17.01 × 10−6 K−1). SFC has both the O2−/e− conduction function, and the triple conducting (H+/O2−/e−) capability was achieved by introducing the protonic conduction phase (BaZr0.2Ce0.7Y0.1O3−δ, BZCY) to form SFC+BZCY (70 wt.%:30 wt.%). The SFC+BZCY composite electrode exhibits superior ORR activity at a reduced temperature with extremely low area-specific resistance (ASR, 0.677 Ω·cm2 at 550 °C), profound peak power density (PPD, 535 mW·cm−2 and 1.065 V at 550 °C), extraordinarily long-term durability (&gt; 500 h for symmetrical cell and 350 h for single cell). Moreover, the composite has an ultra-low TEC value (15.96 × 10−6 K−1). This study proves that SFC+BZCY with triple conducting capacity is an excellent cathode for low-temperature PCFCs.","container-title":"Nano Research","DOI":"10.1007/s12274-023-5531-3","ISSN":"1998-0000","journalAbbreviation":"Nano Res.","language":"en","source":"Springer Link","title":"Highly active and durable triple conducting composite air electrode for low-temperature protonic ceramic fuel cells","URL":"https://doi.org/10.1007/s12274-023-5531-3","author":[{"family":"Huang","given":"Qi"},{"family":"Jiang","given":"Shanshan"},{"family":"Wang","given":"Yujia"},{"family":"Jiang","given":"Jingjing"},{"family":"Chen","given":"Yubo"},{"family":"Xu","given":"Jiahuan"},{"family":"Qiu","given":"Hao"},{"family":"Su","given":"Chao"},{"family":"Chen","given":"Daifen"}],"accessed":{"date-parts":[["2023",7,20]]},"issued":{"date-parts":[["2023",2,22]]}}}],"schema":"https://github.com/citation-style-language/schema/raw/master/csl-citation.json"} </w:instrText>
            </w:r>
            <w:r w:rsidRPr="00782E1C">
              <w:rPr>
                <w:rFonts w:cs="Times New Roman"/>
                <w:sz w:val="16"/>
                <w:szCs w:val="14"/>
              </w:rPr>
              <w:fldChar w:fldCharType="separate"/>
            </w:r>
            <w:r w:rsidR="00CA7A9D" w:rsidRPr="00CA7A9D">
              <w:rPr>
                <w:rFonts w:ascii="Aptos" w:hAnsi="Aptos"/>
                <w:sz w:val="16"/>
              </w:rPr>
              <w:t>[32]</w:t>
            </w:r>
            <w:r w:rsidRPr="00782E1C">
              <w:rPr>
                <w:rFonts w:cs="Times New Roman"/>
                <w:sz w:val="16"/>
                <w:szCs w:val="14"/>
              </w:rPr>
              <w:fldChar w:fldCharType="end"/>
            </w:r>
          </w:p>
        </w:tc>
      </w:tr>
      <w:tr w:rsidR="00E170BA" w:rsidRPr="001F38A1" w14:paraId="5F34C25D" w14:textId="77777777" w:rsidTr="002E7584">
        <w:trPr>
          <w:trHeight w:val="467"/>
          <w:jc w:val="center"/>
        </w:trPr>
        <w:tc>
          <w:tcPr>
            <w:tcW w:w="4045" w:type="dxa"/>
            <w:vAlign w:val="center"/>
          </w:tcPr>
          <w:p w14:paraId="1FF24778" w14:textId="77777777" w:rsidR="00E170BA" w:rsidRPr="00E85097" w:rsidRDefault="00E170BA" w:rsidP="002E7584">
            <w:pPr>
              <w:spacing w:line="240" w:lineRule="auto"/>
              <w:ind w:firstLine="0"/>
              <w:rPr>
                <w:rFonts w:cs="Times New Roman"/>
                <w:sz w:val="16"/>
                <w:szCs w:val="14"/>
              </w:rPr>
            </w:pPr>
            <w:r>
              <w:rPr>
                <w:rFonts w:cs="Times New Roman"/>
                <w:sz w:val="16"/>
                <w:szCs w:val="14"/>
              </w:rPr>
              <w:t xml:space="preserve">E: </w:t>
            </w:r>
            <w:r w:rsidRPr="00E85097">
              <w:rPr>
                <w:rFonts w:cs="Times New Roman"/>
                <w:sz w:val="16"/>
                <w:szCs w:val="14"/>
              </w:rPr>
              <w:t>BaCe</w:t>
            </w:r>
            <w:r w:rsidRPr="001F38A1">
              <w:rPr>
                <w:rFonts w:cs="Times New Roman"/>
                <w:sz w:val="16"/>
                <w:szCs w:val="14"/>
              </w:rPr>
              <w:t>0.2</w:t>
            </w:r>
            <w:r w:rsidRPr="00E85097">
              <w:rPr>
                <w:rFonts w:cs="Times New Roman"/>
                <w:sz w:val="16"/>
                <w:szCs w:val="14"/>
              </w:rPr>
              <w:t>Zr</w:t>
            </w:r>
            <w:r w:rsidRPr="001F38A1">
              <w:rPr>
                <w:rFonts w:cs="Times New Roman"/>
                <w:sz w:val="16"/>
                <w:szCs w:val="14"/>
              </w:rPr>
              <w:t>0.7</w:t>
            </w:r>
            <w:r w:rsidRPr="00E85097">
              <w:rPr>
                <w:rFonts w:cs="Times New Roman"/>
                <w:sz w:val="16"/>
                <w:szCs w:val="14"/>
              </w:rPr>
              <w:t>Y</w:t>
            </w:r>
            <w:r w:rsidRPr="001F38A1">
              <w:rPr>
                <w:rFonts w:cs="Times New Roman"/>
                <w:sz w:val="16"/>
                <w:szCs w:val="14"/>
              </w:rPr>
              <w:t>0.1</w:t>
            </w:r>
            <w:r w:rsidRPr="00E85097">
              <w:rPr>
                <w:rFonts w:cs="Times New Roman"/>
                <w:sz w:val="16"/>
                <w:szCs w:val="14"/>
              </w:rPr>
              <w:t>O</w:t>
            </w:r>
            <w:r w:rsidRPr="001F38A1">
              <w:rPr>
                <w:rFonts w:cs="Times New Roman"/>
                <w:sz w:val="16"/>
                <w:szCs w:val="14"/>
              </w:rPr>
              <w:t>3−δ</w:t>
            </w:r>
            <w:r>
              <w:rPr>
                <w:rFonts w:cs="Times New Roman"/>
                <w:sz w:val="16"/>
                <w:szCs w:val="14"/>
              </w:rPr>
              <w:t>(BCZY27) (12um)</w:t>
            </w:r>
          </w:p>
          <w:p w14:paraId="2CAC77D3" w14:textId="77777777" w:rsidR="00E170BA" w:rsidRPr="0011641F" w:rsidRDefault="00E170BA" w:rsidP="002E7584">
            <w:pPr>
              <w:spacing w:line="240" w:lineRule="auto"/>
              <w:ind w:firstLine="0"/>
              <w:rPr>
                <w:rFonts w:cs="Times New Roman"/>
                <w:sz w:val="16"/>
                <w:szCs w:val="14"/>
              </w:rPr>
            </w:pPr>
            <w:r>
              <w:rPr>
                <w:rFonts w:cs="Times New Roman"/>
                <w:sz w:val="16"/>
                <w:szCs w:val="14"/>
              </w:rPr>
              <w:t xml:space="preserve">C: </w:t>
            </w:r>
            <w:r w:rsidRPr="00D10FB6">
              <w:rPr>
                <w:rFonts w:cs="Times New Roman"/>
                <w:sz w:val="16"/>
                <w:szCs w:val="14"/>
              </w:rPr>
              <w:t>BaCo</w:t>
            </w:r>
            <w:r w:rsidRPr="001F38A1">
              <w:rPr>
                <w:rFonts w:cs="Times New Roman"/>
                <w:sz w:val="16"/>
                <w:szCs w:val="14"/>
              </w:rPr>
              <w:t>0.4</w:t>
            </w:r>
            <w:r w:rsidRPr="00D10FB6">
              <w:rPr>
                <w:rFonts w:cs="Times New Roman"/>
                <w:sz w:val="16"/>
                <w:szCs w:val="14"/>
              </w:rPr>
              <w:t>Fe</w:t>
            </w:r>
            <w:r w:rsidRPr="001F38A1">
              <w:rPr>
                <w:rFonts w:cs="Times New Roman"/>
                <w:sz w:val="16"/>
                <w:szCs w:val="14"/>
              </w:rPr>
              <w:t>0.4</w:t>
            </w:r>
            <w:r w:rsidRPr="00D10FB6">
              <w:rPr>
                <w:rFonts w:cs="Times New Roman"/>
                <w:sz w:val="16"/>
                <w:szCs w:val="14"/>
              </w:rPr>
              <w:t>Zr</w:t>
            </w:r>
            <w:r w:rsidRPr="001F38A1">
              <w:rPr>
                <w:rFonts w:cs="Times New Roman"/>
                <w:sz w:val="16"/>
                <w:szCs w:val="14"/>
              </w:rPr>
              <w:t>0.1</w:t>
            </w:r>
            <w:r w:rsidRPr="00D10FB6">
              <w:rPr>
                <w:rFonts w:cs="Times New Roman"/>
                <w:sz w:val="16"/>
                <w:szCs w:val="14"/>
              </w:rPr>
              <w:t>Y</w:t>
            </w:r>
            <w:r w:rsidRPr="001F38A1">
              <w:rPr>
                <w:rFonts w:cs="Times New Roman"/>
                <w:sz w:val="16"/>
                <w:szCs w:val="14"/>
              </w:rPr>
              <w:t>0.1</w:t>
            </w:r>
            <w:r w:rsidRPr="00D10FB6">
              <w:rPr>
                <w:rFonts w:cs="Times New Roman"/>
                <w:sz w:val="16"/>
                <w:szCs w:val="14"/>
              </w:rPr>
              <w:t>O</w:t>
            </w:r>
            <w:r w:rsidRPr="001F38A1">
              <w:rPr>
                <w:rFonts w:cs="Times New Roman"/>
                <w:sz w:val="16"/>
                <w:szCs w:val="14"/>
              </w:rPr>
              <w:t>3−δ</w:t>
            </w:r>
            <w:r>
              <w:rPr>
                <w:rFonts w:cs="Times New Roman"/>
                <w:sz w:val="16"/>
                <w:szCs w:val="14"/>
              </w:rPr>
              <w:t xml:space="preserve"> (11um)</w:t>
            </w:r>
          </w:p>
        </w:tc>
        <w:tc>
          <w:tcPr>
            <w:tcW w:w="2250" w:type="dxa"/>
            <w:vAlign w:val="center"/>
          </w:tcPr>
          <w:p w14:paraId="6F7D9A17" w14:textId="77777777" w:rsidR="00E170BA" w:rsidRPr="001F38A1" w:rsidRDefault="00E170BA" w:rsidP="002E7584">
            <w:pPr>
              <w:spacing w:line="240" w:lineRule="auto"/>
              <w:ind w:firstLine="0"/>
              <w:rPr>
                <w:rFonts w:cs="Times New Roman"/>
                <w:sz w:val="16"/>
                <w:szCs w:val="14"/>
              </w:rPr>
            </w:pPr>
            <m:oMathPara>
              <m:oMathParaPr>
                <m:jc m:val="left"/>
              </m:oMathParaPr>
              <m:oMath>
                <m:r>
                  <m:rPr>
                    <m:sty m:val="p"/>
                  </m:rPr>
                  <w:rPr>
                    <w:rFonts w:ascii="Cambria Math" w:hAnsi="Cambria Math" w:cs="Times New Roman"/>
                    <w:sz w:val="16"/>
                    <w:szCs w:val="14"/>
                  </w:rPr>
                  <m:t>650 °</m:t>
                </m:r>
                <m:r>
                  <w:rPr>
                    <w:rFonts w:ascii="Cambria Math" w:hAnsi="Cambria Math" w:cs="Times New Roman"/>
                    <w:sz w:val="16"/>
                    <w:szCs w:val="14"/>
                  </w:rPr>
                  <m:t>C</m:t>
                </m:r>
                <m:r>
                  <m:rPr>
                    <m:sty m:val="p"/>
                  </m:rPr>
                  <w:rPr>
                    <w:rFonts w:ascii="Cambria Math" w:hAnsi="Cambria Math" w:cs="Times New Roman"/>
                    <w:sz w:val="16"/>
                    <w:szCs w:val="14"/>
                  </w:rPr>
                  <m:t xml:space="preserve">:196 </m:t>
                </m:r>
                <m:r>
                  <w:rPr>
                    <w:rFonts w:ascii="Cambria Math" w:hAnsi="Cambria Math" w:cs="Times New Roman"/>
                    <w:sz w:val="16"/>
                    <w:szCs w:val="14"/>
                  </w:rPr>
                  <m:t>mW</m:t>
                </m:r>
                <m:r>
                  <m:rPr>
                    <m:sty m:val="p"/>
                  </m:rPr>
                  <w:rPr>
                    <w:rFonts w:ascii="Cambria Math" w:hAnsi="Cambria Math" w:cs="Times New Roman"/>
                    <w:sz w:val="16"/>
                    <w:szCs w:val="14"/>
                  </w:rPr>
                  <m:t>/</m:t>
                </m:r>
                <m:r>
                  <w:rPr>
                    <w:rFonts w:ascii="Cambria Math" w:hAnsi="Cambria Math" w:cs="Times New Roman"/>
                    <w:sz w:val="16"/>
                    <w:szCs w:val="14"/>
                  </w:rPr>
                  <m:t>c</m:t>
                </m:r>
                <m:sSup>
                  <m:sSupPr>
                    <m:ctrlPr>
                      <w:rPr>
                        <w:rFonts w:ascii="Cambria Math" w:hAnsi="Cambria Math" w:cs="Times New Roman"/>
                        <w:sz w:val="16"/>
                        <w:szCs w:val="14"/>
                      </w:rPr>
                    </m:ctrlPr>
                  </m:sSupPr>
                  <m:e>
                    <m:r>
                      <w:rPr>
                        <w:rFonts w:ascii="Cambria Math" w:hAnsi="Cambria Math" w:cs="Times New Roman"/>
                        <w:sz w:val="16"/>
                        <w:szCs w:val="14"/>
                      </w:rPr>
                      <m:t>m</m:t>
                    </m:r>
                  </m:e>
                  <m:sup>
                    <m:r>
                      <m:rPr>
                        <m:sty m:val="p"/>
                      </m:rPr>
                      <w:rPr>
                        <w:rFonts w:ascii="Cambria Math" w:hAnsi="Cambria Math" w:cs="Times New Roman"/>
                        <w:sz w:val="16"/>
                        <w:szCs w:val="14"/>
                      </w:rPr>
                      <m:t>2</m:t>
                    </m:r>
                  </m:sup>
                </m:sSup>
              </m:oMath>
            </m:oMathPara>
          </w:p>
        </w:tc>
        <w:tc>
          <w:tcPr>
            <w:tcW w:w="1890" w:type="dxa"/>
            <w:vAlign w:val="center"/>
          </w:tcPr>
          <w:p w14:paraId="408D4649" w14:textId="77777777" w:rsidR="00E170BA" w:rsidRPr="00782E1C" w:rsidRDefault="00E170BA" w:rsidP="002E7584">
            <w:pPr>
              <w:spacing w:line="240" w:lineRule="auto"/>
              <w:ind w:firstLine="0"/>
              <w:rPr>
                <w:rFonts w:cs="Times New Roman"/>
                <w:sz w:val="16"/>
                <w:szCs w:val="14"/>
              </w:rPr>
            </w:pPr>
            <w:r>
              <w:rPr>
                <w:rFonts w:cs="Times New Roman"/>
                <w:sz w:val="16"/>
                <w:szCs w:val="14"/>
              </w:rPr>
              <w:t>Introduces new 3D printing method for mass-producible tubular PCFCs</w:t>
            </w:r>
          </w:p>
        </w:tc>
        <w:tc>
          <w:tcPr>
            <w:tcW w:w="630" w:type="dxa"/>
            <w:vAlign w:val="center"/>
          </w:tcPr>
          <w:p w14:paraId="06CE47F3" w14:textId="77777777" w:rsidR="00E170BA" w:rsidRPr="00782E1C" w:rsidRDefault="00E170BA" w:rsidP="002E7584">
            <w:pPr>
              <w:spacing w:line="240" w:lineRule="auto"/>
              <w:ind w:firstLine="0"/>
              <w:rPr>
                <w:rFonts w:cs="Times New Roman"/>
                <w:sz w:val="16"/>
                <w:szCs w:val="14"/>
              </w:rPr>
            </w:pPr>
            <w:r>
              <w:rPr>
                <w:rFonts w:cs="Times New Roman"/>
                <w:sz w:val="16"/>
                <w:szCs w:val="14"/>
              </w:rPr>
              <w:t>2023</w:t>
            </w:r>
          </w:p>
        </w:tc>
        <w:tc>
          <w:tcPr>
            <w:tcW w:w="535" w:type="dxa"/>
            <w:vAlign w:val="center"/>
          </w:tcPr>
          <w:p w14:paraId="32AAD832" w14:textId="16981045" w:rsidR="00E170BA" w:rsidRPr="00782E1C" w:rsidRDefault="00E170BA" w:rsidP="002E7584">
            <w:pPr>
              <w:spacing w:line="240" w:lineRule="auto"/>
              <w:ind w:firstLine="0"/>
              <w:rPr>
                <w:rFonts w:cs="Times New Roman"/>
                <w:sz w:val="16"/>
                <w:szCs w:val="14"/>
              </w:rPr>
            </w:pPr>
            <w:r>
              <w:rPr>
                <w:rFonts w:cs="Times New Roman"/>
                <w:sz w:val="16"/>
                <w:szCs w:val="14"/>
              </w:rPr>
              <w:fldChar w:fldCharType="begin"/>
            </w:r>
            <w:r w:rsidR="00CA7A9D">
              <w:rPr>
                <w:rFonts w:cs="Times New Roman"/>
                <w:sz w:val="16"/>
                <w:szCs w:val="14"/>
              </w:rPr>
              <w:instrText xml:space="preserve"> ADDIN ZOTERO_ITEM CSL_CITATION {"citationID":"6FWUc04h","properties":{"formattedCitation":"[21]","plainCitation":"[21]","noteIndex":0},"citationItems":[{"id":82,"uris":["http://zotero.org/users/12063231/items/IKMWCGBN"],"itemData":{"id":82,"type":"article-journal","abstract":"Protonic ceramic fuel cells (PCFCs) are clean and efficient power generation devices operating at intermediate temperatures. However, manufacturing difficulties have limited their commercialization, especially for promising tubular PCFCs. Herein, we report a cost-effective 3D printing technique for manufacturing large-area tubular PCFCs (e.g., 15.7 cm2), featured with the use of commercial raw materials, a small amount of binder, and a CO2 laser for rapid in situ drying. The technical advantages enable low-cost material preparation and efficient achievement of exemplary shape/dimension-controlled uniform microstructures in porous anode support, dense electrolyte, and porous cathode. The 3D-printed tubular PCFC (</w:instrText>
            </w:r>
            <w:r w:rsidR="00CA7A9D">
              <w:rPr>
                <w:rFonts w:ascii="Cambria Math" w:hAnsi="Cambria Math" w:cs="Cambria Math"/>
                <w:sz w:val="16"/>
                <w:szCs w:val="14"/>
              </w:rPr>
              <w:instrText>∼</w:instrText>
            </w:r>
            <w:r w:rsidR="00CA7A9D">
              <w:rPr>
                <w:rFonts w:cs="Times New Roman"/>
                <w:sz w:val="16"/>
                <w:szCs w:val="14"/>
              </w:rPr>
              <w:instrText xml:space="preserve">12.5 cm2) exhibits a power output of 2.45 W at 650 °C. Meanwhile, the long-term stability is confirmed during 200 h of operation. This novel 3D printing offers great potential to advance PCFCs from the laboratory to larger scales for realistic applications.","container-title":"ACS Energy Letters","DOI":"10.1021/acsenergylett.3c01345","issue":"8","journalAbbreviation":"ACS Energy Lett.","note":"publisher: American Chemical Society","page":"3545-3551","source":"ACS Publications","title":"3D Printing Enabled Highly Scalable Tubular Protonic Ceramic Fuel Cells","volume":"8","author":[{"family":"Zou","given":"Minda"},{"family":"Conrad","given":"Jacob"},{"family":"Sheridan","given":"Bridget"},{"family":"Zhang","given":"Jiawei"},{"family":"Huang","given":"Hua"},{"family":"Mu","given":"Shenglong"},{"family":"Zhou","given":"Tianyi"},{"family":"Zhao","given":"Zeyu"},{"family":"Brinkman","given":"Kyle S."},{"family":"Xiao","given":"Hai"},{"family":"Peng","given":"Fei"},{"family":"Tong","given":"Jianhua"}],"issued":{"date-parts":[["2023",8,11]]}}}],"schema":"https://github.com/citation-style-language/schema/raw/master/csl-citation.json"} </w:instrText>
            </w:r>
            <w:r>
              <w:rPr>
                <w:rFonts w:cs="Times New Roman"/>
                <w:sz w:val="16"/>
                <w:szCs w:val="14"/>
              </w:rPr>
              <w:fldChar w:fldCharType="separate"/>
            </w:r>
            <w:r w:rsidR="00CA7A9D" w:rsidRPr="00CA7A9D">
              <w:rPr>
                <w:rFonts w:ascii="Aptos" w:hAnsi="Aptos"/>
                <w:sz w:val="16"/>
              </w:rPr>
              <w:t>[21]</w:t>
            </w:r>
            <w:r>
              <w:rPr>
                <w:rFonts w:cs="Times New Roman"/>
                <w:sz w:val="16"/>
                <w:szCs w:val="14"/>
              </w:rPr>
              <w:fldChar w:fldCharType="end"/>
            </w:r>
          </w:p>
        </w:tc>
      </w:tr>
      <w:tr w:rsidR="00E170BA" w:rsidRPr="001F38A1" w14:paraId="20368888" w14:textId="77777777" w:rsidTr="002E7584">
        <w:trPr>
          <w:trHeight w:val="467"/>
          <w:jc w:val="center"/>
        </w:trPr>
        <w:tc>
          <w:tcPr>
            <w:tcW w:w="4045" w:type="dxa"/>
            <w:vAlign w:val="center"/>
          </w:tcPr>
          <w:p w14:paraId="06115F94" w14:textId="77777777" w:rsidR="00E170BA" w:rsidRPr="001F38A1" w:rsidRDefault="00E170BA" w:rsidP="002E7584">
            <w:pPr>
              <w:spacing w:line="240" w:lineRule="auto"/>
              <w:ind w:firstLine="0"/>
              <w:rPr>
                <w:rFonts w:cs="Times New Roman"/>
                <w:sz w:val="16"/>
                <w:szCs w:val="14"/>
              </w:rPr>
            </w:pPr>
            <w:r w:rsidRPr="001F38A1">
              <w:rPr>
                <w:rFonts w:cs="Times New Roman"/>
                <w:sz w:val="16"/>
                <w:szCs w:val="14"/>
              </w:rPr>
              <w:t xml:space="preserve">E: </w:t>
            </w:r>
            <m:oMath>
              <m:r>
                <w:rPr>
                  <w:rFonts w:ascii="Cambria Math" w:hAnsi="Cambria Math" w:cs="Times New Roman"/>
                  <w:sz w:val="16"/>
                  <w:szCs w:val="14"/>
                </w:rPr>
                <m:t>BaC</m:t>
              </m:r>
              <m:sSub>
                <m:sSubPr>
                  <m:ctrlPr>
                    <w:rPr>
                      <w:rFonts w:ascii="Cambria Math" w:hAnsi="Cambria Math" w:cs="Times New Roman"/>
                      <w:sz w:val="16"/>
                      <w:szCs w:val="14"/>
                    </w:rPr>
                  </m:ctrlPr>
                </m:sSubPr>
                <m:e>
                  <m:r>
                    <w:rPr>
                      <w:rFonts w:ascii="Cambria Math" w:hAnsi="Cambria Math" w:cs="Times New Roman"/>
                      <w:sz w:val="16"/>
                      <w:szCs w:val="14"/>
                    </w:rPr>
                    <m:t>e</m:t>
                  </m:r>
                </m:e>
                <m:sub>
                  <m:r>
                    <m:rPr>
                      <m:sty m:val="p"/>
                    </m:rPr>
                    <w:rPr>
                      <w:rFonts w:ascii="Cambria Math" w:hAnsi="Cambria Math" w:cs="Times New Roman"/>
                      <w:sz w:val="16"/>
                      <w:szCs w:val="14"/>
                    </w:rPr>
                    <m:t>0.4</m:t>
                  </m:r>
                </m:sub>
              </m:sSub>
              <m:r>
                <w:rPr>
                  <w:rFonts w:ascii="Cambria Math" w:hAnsi="Cambria Math" w:cs="Times New Roman"/>
                  <w:sz w:val="16"/>
                  <w:szCs w:val="14"/>
                </w:rPr>
                <m:t>Z</m:t>
              </m:r>
              <m:sSub>
                <m:sSubPr>
                  <m:ctrlPr>
                    <w:rPr>
                      <w:rFonts w:ascii="Cambria Math" w:hAnsi="Cambria Math" w:cs="Times New Roman"/>
                      <w:sz w:val="16"/>
                      <w:szCs w:val="14"/>
                    </w:rPr>
                  </m:ctrlPr>
                </m:sSubPr>
                <m:e>
                  <m:r>
                    <w:rPr>
                      <w:rFonts w:ascii="Cambria Math" w:hAnsi="Cambria Math" w:cs="Times New Roman"/>
                      <w:sz w:val="16"/>
                      <w:szCs w:val="14"/>
                    </w:rPr>
                    <m:t>r</m:t>
                  </m:r>
                </m:e>
                <m:sub>
                  <m:r>
                    <m:rPr>
                      <m:sty m:val="p"/>
                    </m:rPr>
                    <w:rPr>
                      <w:rFonts w:ascii="Cambria Math" w:hAnsi="Cambria Math" w:cs="Times New Roman"/>
                      <w:sz w:val="16"/>
                      <w:szCs w:val="14"/>
                    </w:rPr>
                    <m:t>0.4</m:t>
                  </m:r>
                </m:sub>
              </m:sSub>
              <m:sSub>
                <m:sSubPr>
                  <m:ctrlPr>
                    <w:rPr>
                      <w:rFonts w:ascii="Cambria Math" w:hAnsi="Cambria Math" w:cs="Times New Roman"/>
                      <w:sz w:val="16"/>
                      <w:szCs w:val="14"/>
                    </w:rPr>
                  </m:ctrlPr>
                </m:sSubPr>
                <m:e>
                  <m:r>
                    <w:rPr>
                      <w:rFonts w:ascii="Cambria Math" w:hAnsi="Cambria Math" w:cs="Times New Roman"/>
                      <w:sz w:val="16"/>
                      <w:szCs w:val="14"/>
                    </w:rPr>
                    <m:t>Y</m:t>
                  </m:r>
                </m:e>
                <m:sub>
                  <m:r>
                    <m:rPr>
                      <m:sty m:val="p"/>
                    </m:rPr>
                    <w:rPr>
                      <w:rFonts w:ascii="Cambria Math" w:hAnsi="Cambria Math" w:cs="Times New Roman"/>
                      <w:sz w:val="16"/>
                      <w:szCs w:val="14"/>
                    </w:rPr>
                    <m:t>0.1</m:t>
                  </m:r>
                </m:sub>
              </m:sSub>
              <m:r>
                <w:rPr>
                  <w:rFonts w:ascii="Cambria Math" w:hAnsi="Cambria Math" w:cs="Times New Roman"/>
                  <w:sz w:val="16"/>
                  <w:szCs w:val="14"/>
                </w:rPr>
                <m:t>Y</m:t>
              </m:r>
              <m:sSub>
                <m:sSubPr>
                  <m:ctrlPr>
                    <w:rPr>
                      <w:rFonts w:ascii="Cambria Math" w:hAnsi="Cambria Math" w:cs="Times New Roman"/>
                      <w:sz w:val="16"/>
                      <w:szCs w:val="14"/>
                    </w:rPr>
                  </m:ctrlPr>
                </m:sSubPr>
                <m:e>
                  <m:r>
                    <w:rPr>
                      <w:rFonts w:ascii="Cambria Math" w:hAnsi="Cambria Math" w:cs="Times New Roman"/>
                      <w:sz w:val="16"/>
                      <w:szCs w:val="14"/>
                    </w:rPr>
                    <m:t>b</m:t>
                  </m:r>
                </m:e>
                <m:sub>
                  <m:r>
                    <m:rPr>
                      <m:sty m:val="p"/>
                    </m:rPr>
                    <w:rPr>
                      <w:rFonts w:ascii="Cambria Math" w:hAnsi="Cambria Math" w:cs="Times New Roman"/>
                      <w:sz w:val="16"/>
                      <w:szCs w:val="14"/>
                    </w:rPr>
                    <m:t>0.1</m:t>
                  </m:r>
                </m:sub>
              </m:sSub>
              <m:sSub>
                <m:sSubPr>
                  <m:ctrlPr>
                    <w:rPr>
                      <w:rFonts w:ascii="Cambria Math" w:hAnsi="Cambria Math" w:cs="Times New Roman"/>
                      <w:sz w:val="16"/>
                      <w:szCs w:val="14"/>
                    </w:rPr>
                  </m:ctrlPr>
                </m:sSubPr>
                <m:e>
                  <m:r>
                    <w:rPr>
                      <w:rFonts w:ascii="Cambria Math" w:hAnsi="Cambria Math" w:cs="Times New Roman"/>
                      <w:sz w:val="16"/>
                      <w:szCs w:val="14"/>
                    </w:rPr>
                    <m:t>O</m:t>
                  </m:r>
                </m:e>
                <m:sub>
                  <m:r>
                    <m:rPr>
                      <m:sty m:val="p"/>
                    </m:rPr>
                    <w:rPr>
                      <w:rFonts w:ascii="Cambria Math" w:hAnsi="Cambria Math" w:cs="Times New Roman"/>
                      <w:sz w:val="16"/>
                      <w:szCs w:val="14"/>
                    </w:rPr>
                    <m:t>3-</m:t>
                  </m:r>
                  <m:r>
                    <w:rPr>
                      <w:rFonts w:ascii="Cambria Math" w:hAnsi="Cambria Math" w:cs="Times New Roman"/>
                      <w:sz w:val="16"/>
                      <w:szCs w:val="14"/>
                    </w:rPr>
                    <m:t>δ</m:t>
                  </m:r>
                </m:sub>
              </m:sSub>
            </m:oMath>
          </w:p>
          <w:p w14:paraId="638C528E" w14:textId="77777777" w:rsidR="00E170BA" w:rsidRDefault="00E170BA" w:rsidP="002E7584">
            <w:pPr>
              <w:spacing w:line="240" w:lineRule="auto"/>
              <w:ind w:firstLine="0"/>
              <w:rPr>
                <w:rFonts w:cs="Times New Roman"/>
                <w:sz w:val="16"/>
                <w:szCs w:val="14"/>
              </w:rPr>
            </w:pPr>
            <w:r w:rsidRPr="001F38A1">
              <w:rPr>
                <w:rFonts w:cs="Times New Roman"/>
                <w:sz w:val="16"/>
                <w:szCs w:val="14"/>
              </w:rPr>
              <w:t xml:space="preserve">C: </w:t>
            </w:r>
            <m:oMath>
              <m:r>
                <w:rPr>
                  <w:rFonts w:ascii="Cambria Math" w:hAnsi="Cambria Math" w:cs="Times New Roman"/>
                  <w:sz w:val="16"/>
                  <w:szCs w:val="14"/>
                </w:rPr>
                <m:t>BSC</m:t>
              </m:r>
              <m:r>
                <m:rPr>
                  <m:sty m:val="p"/>
                </m:rPr>
                <w:rPr>
                  <w:rFonts w:ascii="Cambria Math" w:hAnsi="Cambria Math" w:cs="Times New Roman"/>
                  <w:sz w:val="16"/>
                  <w:szCs w:val="14"/>
                </w:rPr>
                <m:t>+</m:t>
              </m:r>
              <m:r>
                <w:rPr>
                  <w:rFonts w:ascii="Cambria Math" w:hAnsi="Cambria Math" w:cs="Times New Roman"/>
                  <w:sz w:val="16"/>
                  <w:szCs w:val="14"/>
                </w:rPr>
                <m:t>PBSCF</m:t>
              </m:r>
            </m:oMath>
          </w:p>
        </w:tc>
        <w:tc>
          <w:tcPr>
            <w:tcW w:w="2250" w:type="dxa"/>
            <w:vAlign w:val="center"/>
          </w:tcPr>
          <w:p w14:paraId="19480EB8" w14:textId="77777777" w:rsidR="00E170BA" w:rsidRPr="001F38A1" w:rsidRDefault="00924E48" w:rsidP="002E7584">
            <w:pPr>
              <w:spacing w:line="240" w:lineRule="auto"/>
              <w:ind w:firstLine="0"/>
              <w:rPr>
                <w:rFonts w:cs="Times New Roman"/>
                <w:sz w:val="16"/>
                <w:szCs w:val="14"/>
              </w:rPr>
            </w:pPr>
            <m:oMathPara>
              <m:oMathParaPr>
                <m:jc m:val="left"/>
              </m:oMathParaPr>
              <m:oMath>
                <m:sSub>
                  <m:sSubPr>
                    <m:ctrlPr>
                      <w:rPr>
                        <w:rFonts w:ascii="Cambria Math" w:hAnsi="Cambria Math" w:cs="Times New Roman"/>
                        <w:sz w:val="16"/>
                        <w:szCs w:val="14"/>
                      </w:rPr>
                    </m:ctrlPr>
                  </m:sSubPr>
                  <m:e>
                    <m:r>
                      <w:rPr>
                        <w:rFonts w:ascii="Cambria Math" w:hAnsi="Cambria Math" w:cs="Times New Roman"/>
                        <w:sz w:val="16"/>
                        <w:szCs w:val="14"/>
                      </w:rPr>
                      <m:t>H</m:t>
                    </m:r>
                  </m:e>
                  <m:sub>
                    <m:r>
                      <m:rPr>
                        <m:sty m:val="p"/>
                      </m:rPr>
                      <w:rPr>
                        <w:rFonts w:ascii="Cambria Math" w:hAnsi="Cambria Math" w:cs="Times New Roman"/>
                        <w:sz w:val="16"/>
                        <w:szCs w:val="14"/>
                      </w:rPr>
                      <m:t>2</m:t>
                    </m:r>
                  </m:sub>
                </m:sSub>
                <m:r>
                  <m:rPr>
                    <m:sty m:val="p"/>
                  </m:rPr>
                  <w:rPr>
                    <w:rFonts w:ascii="Cambria Math" w:hAnsi="Cambria Math" w:cs="Times New Roman"/>
                    <w:sz w:val="16"/>
                    <w:szCs w:val="14"/>
                  </w:rPr>
                  <m:t>: 600 °</m:t>
                </m:r>
                <m:r>
                  <w:rPr>
                    <w:rFonts w:ascii="Cambria Math" w:hAnsi="Cambria Math" w:cs="Times New Roman"/>
                    <w:sz w:val="16"/>
                    <w:szCs w:val="14"/>
                  </w:rPr>
                  <m:t>C</m:t>
                </m:r>
                <m:r>
                  <m:rPr>
                    <m:sty m:val="p"/>
                  </m:rPr>
                  <w:rPr>
                    <w:rFonts w:ascii="Cambria Math" w:hAnsi="Cambria Math" w:cs="Times New Roman"/>
                    <w:sz w:val="16"/>
                    <w:szCs w:val="14"/>
                  </w:rPr>
                  <m:t xml:space="preserve">:1640 </m:t>
                </m:r>
                <m:r>
                  <w:rPr>
                    <w:rFonts w:ascii="Cambria Math" w:hAnsi="Cambria Math" w:cs="Times New Roman"/>
                    <w:sz w:val="16"/>
                    <w:szCs w:val="14"/>
                  </w:rPr>
                  <m:t>mW</m:t>
                </m:r>
                <m:r>
                  <m:rPr>
                    <m:sty m:val="p"/>
                  </m:rPr>
                  <w:rPr>
                    <w:rFonts w:ascii="Cambria Math" w:hAnsi="Cambria Math" w:cs="Times New Roman"/>
                    <w:sz w:val="16"/>
                    <w:szCs w:val="14"/>
                  </w:rPr>
                  <m:t>/</m:t>
                </m:r>
                <m:r>
                  <w:rPr>
                    <w:rFonts w:ascii="Cambria Math" w:hAnsi="Cambria Math" w:cs="Times New Roman"/>
                    <w:sz w:val="16"/>
                    <w:szCs w:val="14"/>
                  </w:rPr>
                  <m:t>c</m:t>
                </m:r>
                <m:sSup>
                  <m:sSupPr>
                    <m:ctrlPr>
                      <w:rPr>
                        <w:rFonts w:ascii="Cambria Math" w:hAnsi="Cambria Math" w:cs="Times New Roman"/>
                        <w:sz w:val="16"/>
                        <w:szCs w:val="14"/>
                      </w:rPr>
                    </m:ctrlPr>
                  </m:sSupPr>
                  <m:e>
                    <m:r>
                      <w:rPr>
                        <w:rFonts w:ascii="Cambria Math" w:hAnsi="Cambria Math" w:cs="Times New Roman"/>
                        <w:sz w:val="16"/>
                        <w:szCs w:val="14"/>
                      </w:rPr>
                      <m:t>m</m:t>
                    </m:r>
                  </m:e>
                  <m:sup>
                    <m:r>
                      <m:rPr>
                        <m:sty m:val="p"/>
                      </m:rPr>
                      <w:rPr>
                        <w:rFonts w:ascii="Cambria Math" w:hAnsi="Cambria Math" w:cs="Times New Roman"/>
                        <w:sz w:val="16"/>
                        <w:szCs w:val="14"/>
                      </w:rPr>
                      <m:t>2</m:t>
                    </m:r>
                  </m:sup>
                </m:sSup>
              </m:oMath>
            </m:oMathPara>
          </w:p>
          <w:p w14:paraId="7C69695B" w14:textId="77777777" w:rsidR="00E170BA" w:rsidRPr="001F38A1" w:rsidRDefault="00924E48" w:rsidP="002E7584">
            <w:pPr>
              <w:spacing w:line="240" w:lineRule="auto"/>
              <w:ind w:firstLine="0"/>
              <w:rPr>
                <w:rFonts w:cs="Times New Roman"/>
                <w:sz w:val="16"/>
                <w:szCs w:val="14"/>
              </w:rPr>
            </w:pPr>
            <m:oMathPara>
              <m:oMathParaPr>
                <m:jc m:val="left"/>
              </m:oMathParaPr>
              <m:oMath>
                <m:sSub>
                  <m:sSubPr>
                    <m:ctrlPr>
                      <w:rPr>
                        <w:rFonts w:ascii="Cambria Math" w:hAnsi="Cambria Math" w:cs="Times New Roman"/>
                        <w:sz w:val="16"/>
                        <w:szCs w:val="14"/>
                      </w:rPr>
                    </m:ctrlPr>
                  </m:sSubPr>
                  <m:e>
                    <m:r>
                      <w:rPr>
                        <w:rFonts w:ascii="Cambria Math" w:hAnsi="Cambria Math" w:cs="Times New Roman"/>
                        <w:sz w:val="16"/>
                        <w:szCs w:val="14"/>
                      </w:rPr>
                      <m:t>H</m:t>
                    </m:r>
                  </m:e>
                  <m:sub>
                    <m:r>
                      <m:rPr>
                        <m:sty m:val="p"/>
                      </m:rPr>
                      <w:rPr>
                        <w:rFonts w:ascii="Cambria Math" w:hAnsi="Cambria Math" w:cs="Times New Roman"/>
                        <w:sz w:val="16"/>
                        <w:szCs w:val="14"/>
                      </w:rPr>
                      <m:t>2</m:t>
                    </m:r>
                  </m:sub>
                </m:sSub>
                <m:r>
                  <m:rPr>
                    <m:sty m:val="p"/>
                  </m:rPr>
                  <w:rPr>
                    <w:rFonts w:ascii="Cambria Math" w:hAnsi="Cambria Math" w:cs="Times New Roman"/>
                    <w:sz w:val="16"/>
                    <w:szCs w:val="14"/>
                  </w:rPr>
                  <m:t>: 450 °</m:t>
                </m:r>
                <m:r>
                  <w:rPr>
                    <w:rFonts w:ascii="Cambria Math" w:hAnsi="Cambria Math" w:cs="Times New Roman"/>
                    <w:sz w:val="16"/>
                    <w:szCs w:val="14"/>
                  </w:rPr>
                  <m:t>C</m:t>
                </m:r>
                <m:r>
                  <m:rPr>
                    <m:sty m:val="p"/>
                  </m:rPr>
                  <w:rPr>
                    <w:rFonts w:ascii="Cambria Math" w:hAnsi="Cambria Math" w:cs="Times New Roman"/>
                    <w:sz w:val="16"/>
                    <w:szCs w:val="14"/>
                  </w:rPr>
                  <m:t xml:space="preserve">:770 </m:t>
                </m:r>
                <m:r>
                  <w:rPr>
                    <w:rFonts w:ascii="Cambria Math" w:hAnsi="Cambria Math" w:cs="Times New Roman"/>
                    <w:sz w:val="16"/>
                    <w:szCs w:val="14"/>
                  </w:rPr>
                  <m:t>mW</m:t>
                </m:r>
                <m:r>
                  <m:rPr>
                    <m:sty m:val="p"/>
                  </m:rPr>
                  <w:rPr>
                    <w:rFonts w:ascii="Cambria Math" w:hAnsi="Cambria Math" w:cs="Times New Roman"/>
                    <w:sz w:val="16"/>
                    <w:szCs w:val="14"/>
                  </w:rPr>
                  <m:t>/</m:t>
                </m:r>
                <m:r>
                  <w:rPr>
                    <w:rFonts w:ascii="Cambria Math" w:hAnsi="Cambria Math" w:cs="Times New Roman"/>
                    <w:sz w:val="16"/>
                    <w:szCs w:val="14"/>
                  </w:rPr>
                  <m:t>c</m:t>
                </m:r>
                <m:sSup>
                  <m:sSupPr>
                    <m:ctrlPr>
                      <w:rPr>
                        <w:rFonts w:ascii="Cambria Math" w:hAnsi="Cambria Math" w:cs="Times New Roman"/>
                        <w:sz w:val="16"/>
                        <w:szCs w:val="14"/>
                      </w:rPr>
                    </m:ctrlPr>
                  </m:sSupPr>
                  <m:e>
                    <m:r>
                      <w:rPr>
                        <w:rFonts w:ascii="Cambria Math" w:hAnsi="Cambria Math" w:cs="Times New Roman"/>
                        <w:sz w:val="16"/>
                        <w:szCs w:val="14"/>
                      </w:rPr>
                      <m:t>m</m:t>
                    </m:r>
                  </m:e>
                  <m:sup>
                    <m:r>
                      <m:rPr>
                        <m:sty m:val="p"/>
                      </m:rPr>
                      <w:rPr>
                        <w:rFonts w:ascii="Cambria Math" w:hAnsi="Cambria Math" w:cs="Times New Roman"/>
                        <w:sz w:val="16"/>
                        <w:szCs w:val="14"/>
                      </w:rPr>
                      <m:t>2</m:t>
                    </m:r>
                  </m:sup>
                </m:sSup>
              </m:oMath>
            </m:oMathPara>
          </w:p>
          <w:p w14:paraId="72FBB0F5" w14:textId="77777777" w:rsidR="00E170BA" w:rsidRPr="00A96DF2" w:rsidRDefault="00E170BA" w:rsidP="002E7584">
            <w:pPr>
              <w:spacing w:line="240" w:lineRule="auto"/>
              <w:ind w:firstLine="0"/>
              <w:rPr>
                <w:rFonts w:cs="Times New Roman"/>
                <w:sz w:val="16"/>
                <w:szCs w:val="14"/>
              </w:rPr>
            </w:pPr>
            <m:oMathPara>
              <m:oMathParaPr>
                <m:jc m:val="left"/>
              </m:oMathParaPr>
              <m:oMath>
                <m:r>
                  <w:rPr>
                    <w:rFonts w:ascii="Cambria Math" w:hAnsi="Cambria Math" w:cs="Times New Roman"/>
                    <w:sz w:val="16"/>
                    <w:szCs w:val="14"/>
                  </w:rPr>
                  <m:t>C</m:t>
                </m:r>
                <m:sSub>
                  <m:sSubPr>
                    <m:ctrlPr>
                      <w:rPr>
                        <w:rFonts w:ascii="Cambria Math" w:hAnsi="Cambria Math" w:cs="Times New Roman"/>
                        <w:sz w:val="16"/>
                        <w:szCs w:val="14"/>
                      </w:rPr>
                    </m:ctrlPr>
                  </m:sSubPr>
                  <m:e>
                    <m:r>
                      <w:rPr>
                        <w:rFonts w:ascii="Cambria Math" w:hAnsi="Cambria Math" w:cs="Times New Roman"/>
                        <w:sz w:val="16"/>
                        <w:szCs w:val="14"/>
                      </w:rPr>
                      <m:t>H</m:t>
                    </m:r>
                  </m:e>
                  <m:sub>
                    <m:r>
                      <m:rPr>
                        <m:sty m:val="p"/>
                      </m:rPr>
                      <w:rPr>
                        <w:rFonts w:ascii="Cambria Math" w:hAnsi="Cambria Math" w:cs="Times New Roman"/>
                        <w:sz w:val="16"/>
                        <w:szCs w:val="14"/>
                      </w:rPr>
                      <m:t>4</m:t>
                    </m:r>
                  </m:sub>
                </m:sSub>
                <m:r>
                  <m:rPr>
                    <m:sty m:val="p"/>
                  </m:rPr>
                  <w:rPr>
                    <w:rFonts w:ascii="Cambria Math" w:hAnsi="Cambria Math" w:cs="Times New Roman"/>
                    <w:sz w:val="16"/>
                    <w:szCs w:val="14"/>
                  </w:rPr>
                  <m:t>:500 °</m:t>
                </m:r>
                <m:r>
                  <w:rPr>
                    <w:rFonts w:ascii="Cambria Math" w:hAnsi="Cambria Math" w:cs="Times New Roman"/>
                    <w:sz w:val="16"/>
                    <w:szCs w:val="14"/>
                  </w:rPr>
                  <m:t>C</m:t>
                </m:r>
                <m:r>
                  <m:rPr>
                    <m:sty m:val="p"/>
                  </m:rPr>
                  <w:rPr>
                    <w:rFonts w:ascii="Cambria Math" w:hAnsi="Cambria Math" w:cs="Times New Roman"/>
                    <w:sz w:val="16"/>
                    <w:szCs w:val="14"/>
                  </w:rPr>
                  <m:t xml:space="preserve">:550 </m:t>
                </m:r>
                <m:r>
                  <w:rPr>
                    <w:rFonts w:ascii="Cambria Math" w:hAnsi="Cambria Math" w:cs="Times New Roman"/>
                    <w:sz w:val="16"/>
                    <w:szCs w:val="14"/>
                  </w:rPr>
                  <m:t>mw</m:t>
                </m:r>
                <m:r>
                  <m:rPr>
                    <m:sty m:val="p"/>
                  </m:rPr>
                  <w:rPr>
                    <w:rFonts w:ascii="Cambria Math" w:hAnsi="Cambria Math" w:cs="Times New Roman"/>
                    <w:sz w:val="16"/>
                    <w:szCs w:val="14"/>
                  </w:rPr>
                  <m:t>/</m:t>
                </m:r>
                <m:r>
                  <w:rPr>
                    <w:rFonts w:ascii="Cambria Math" w:hAnsi="Cambria Math" w:cs="Times New Roman"/>
                    <w:sz w:val="16"/>
                    <w:szCs w:val="14"/>
                  </w:rPr>
                  <m:t>c</m:t>
                </m:r>
                <m:sSup>
                  <m:sSupPr>
                    <m:ctrlPr>
                      <w:rPr>
                        <w:rFonts w:ascii="Cambria Math" w:hAnsi="Cambria Math" w:cs="Times New Roman"/>
                        <w:sz w:val="16"/>
                        <w:szCs w:val="14"/>
                      </w:rPr>
                    </m:ctrlPr>
                  </m:sSupPr>
                  <m:e>
                    <m:r>
                      <w:rPr>
                        <w:rFonts w:ascii="Cambria Math" w:hAnsi="Cambria Math" w:cs="Times New Roman"/>
                        <w:sz w:val="16"/>
                        <w:szCs w:val="14"/>
                      </w:rPr>
                      <m:t>m</m:t>
                    </m:r>
                  </m:e>
                  <m:sup>
                    <m:r>
                      <m:rPr>
                        <m:sty m:val="p"/>
                      </m:rPr>
                      <w:rPr>
                        <w:rFonts w:ascii="Cambria Math" w:hAnsi="Cambria Math" w:cs="Times New Roman"/>
                        <w:sz w:val="16"/>
                        <w:szCs w:val="14"/>
                      </w:rPr>
                      <m:t>2</m:t>
                    </m:r>
                  </m:sup>
                </m:sSup>
              </m:oMath>
            </m:oMathPara>
          </w:p>
        </w:tc>
        <w:tc>
          <w:tcPr>
            <w:tcW w:w="1890" w:type="dxa"/>
            <w:vAlign w:val="center"/>
          </w:tcPr>
          <w:p w14:paraId="3CC08C3C" w14:textId="77777777" w:rsidR="00E170BA" w:rsidRDefault="00E170BA" w:rsidP="002E7584">
            <w:pPr>
              <w:spacing w:line="240" w:lineRule="auto"/>
              <w:ind w:firstLine="0"/>
              <w:rPr>
                <w:rFonts w:cs="Times New Roman"/>
                <w:sz w:val="16"/>
                <w:szCs w:val="14"/>
              </w:rPr>
            </w:pPr>
            <w:r w:rsidRPr="001F38A1">
              <w:rPr>
                <w:rFonts w:cs="Times New Roman"/>
                <w:sz w:val="16"/>
                <w:szCs w:val="14"/>
              </w:rPr>
              <w:t>Incredible peak power densities at lower operating temperatures</w:t>
            </w:r>
          </w:p>
        </w:tc>
        <w:tc>
          <w:tcPr>
            <w:tcW w:w="630" w:type="dxa"/>
            <w:vAlign w:val="center"/>
          </w:tcPr>
          <w:p w14:paraId="41D09C8F" w14:textId="77777777" w:rsidR="00E170BA" w:rsidRDefault="00E170BA" w:rsidP="002E7584">
            <w:pPr>
              <w:spacing w:line="240" w:lineRule="auto"/>
              <w:ind w:firstLine="0"/>
              <w:rPr>
                <w:rFonts w:cs="Times New Roman"/>
                <w:sz w:val="16"/>
                <w:szCs w:val="14"/>
              </w:rPr>
            </w:pPr>
            <w:r w:rsidRPr="001F38A1">
              <w:rPr>
                <w:rFonts w:cs="Times New Roman"/>
                <w:sz w:val="16"/>
                <w:szCs w:val="14"/>
              </w:rPr>
              <w:t>2023</w:t>
            </w:r>
          </w:p>
        </w:tc>
        <w:tc>
          <w:tcPr>
            <w:tcW w:w="535" w:type="dxa"/>
            <w:vAlign w:val="center"/>
          </w:tcPr>
          <w:p w14:paraId="7B12EDB7" w14:textId="758C3C4C" w:rsidR="00E170BA" w:rsidRDefault="00E170BA" w:rsidP="002E7584">
            <w:pPr>
              <w:spacing w:line="240" w:lineRule="auto"/>
              <w:ind w:firstLine="0"/>
              <w:rPr>
                <w:rFonts w:cs="Times New Roman"/>
                <w:sz w:val="16"/>
                <w:szCs w:val="14"/>
              </w:rPr>
            </w:pPr>
            <w:r w:rsidRPr="001F38A1">
              <w:rPr>
                <w:rFonts w:cs="Times New Roman"/>
                <w:sz w:val="16"/>
                <w:szCs w:val="14"/>
              </w:rPr>
              <w:fldChar w:fldCharType="begin"/>
            </w:r>
            <w:r w:rsidR="00CA7A9D">
              <w:rPr>
                <w:rFonts w:cs="Times New Roman"/>
                <w:sz w:val="16"/>
                <w:szCs w:val="14"/>
              </w:rPr>
              <w:instrText xml:space="preserve"> ADDIN ZOTERO_ITEM CSL_CITATION {"citationID":"OaY6l5pR","properties":{"formattedCitation":"[33]","plainCitation":"[33]","noteIndex":0},"citationItems":[{"id":591,"uris":["http://zotero.org/users/12063231/items/BE5BSF4A"],"itemData":{"id":591,"type":"article-journal","abstract":"The typically high temperatures (≥500</w:instrText>
            </w:r>
            <w:r w:rsidR="00CA7A9D">
              <w:rPr>
                <w:rFonts w:ascii="Arial" w:hAnsi="Arial" w:cs="Arial"/>
                <w:sz w:val="16"/>
                <w:szCs w:val="14"/>
              </w:rPr>
              <w:instrText> </w:instrText>
            </w:r>
            <w:r w:rsidR="00CA7A9D">
              <w:rPr>
                <w:rFonts w:ascii="Aptos" w:hAnsi="Aptos" w:cs="Aptos"/>
                <w:sz w:val="16"/>
                <w:szCs w:val="14"/>
              </w:rPr>
              <w:instrText>°</w:instrText>
            </w:r>
            <w:r w:rsidR="00CA7A9D">
              <w:rPr>
                <w:rFonts w:cs="Times New Roman"/>
                <w:sz w:val="16"/>
                <w:szCs w:val="14"/>
              </w:rPr>
              <w:instrText>C) at which ceramic electrochemical cells operate place constraints on device materials and construction. Here Liu and colleagues design reversible proton-conducting electrochemical cells that can operate with high performance at temperatures of 450</w:instrText>
            </w:r>
            <w:r w:rsidR="00CA7A9D">
              <w:rPr>
                <w:rFonts w:ascii="Arial" w:hAnsi="Arial" w:cs="Arial"/>
                <w:sz w:val="16"/>
                <w:szCs w:val="14"/>
              </w:rPr>
              <w:instrText> </w:instrText>
            </w:r>
            <w:r w:rsidR="00CA7A9D">
              <w:rPr>
                <w:rFonts w:ascii="Aptos" w:hAnsi="Aptos" w:cs="Aptos"/>
                <w:sz w:val="16"/>
                <w:szCs w:val="14"/>
              </w:rPr>
              <w:instrText>°</w:instrText>
            </w:r>
            <w:r w:rsidR="00CA7A9D">
              <w:rPr>
                <w:rFonts w:cs="Times New Roman"/>
                <w:sz w:val="16"/>
                <w:szCs w:val="14"/>
              </w:rPr>
              <w:instrText xml:space="preserve">C and below.","container-title":"Nature Energy","DOI":"10.1038/s41560-023-01350-4","ISSN":"2058-7546","issue":"10","journalAbbreviation":"Nat Energy","language":"en","license":"2023 The Author(s), under exclusive licence to Springer Nature Limited","note":"number: 10\npublisher: Nature Publishing Group","page":"1145-1157","source":"www.nature.com","title":"Lowering the operating temperature of protonic ceramic electrochemical cells to &lt;450 </w:instrText>
            </w:r>
            <w:r w:rsidR="00CA7A9D">
              <w:rPr>
                <w:rFonts w:ascii="Aptos" w:hAnsi="Aptos" w:cs="Aptos"/>
                <w:sz w:val="16"/>
                <w:szCs w:val="14"/>
              </w:rPr>
              <w:instrText>°</w:instrText>
            </w:r>
            <w:r w:rsidR="00CA7A9D">
              <w:rPr>
                <w:rFonts w:cs="Times New Roman"/>
                <w:sz w:val="16"/>
                <w:szCs w:val="14"/>
              </w:rPr>
              <w:instrText xml:space="preserve">C","volume":"8","author":[{"family":"Liu","given":"Fan"},{"family":"Deng","given":"Hao"},{"family":"Diercks","given":"David"},{"family":"Kumar","given":"Praveen"},{"family":"Jabbar","given":"Mohammed Hussain Abdul"},{"family":"Gumeci","given":"Cenk"},{"family":"Furuya","given":"Yoshihisa"},{"family":"Dale","given":"Nilesh"},{"family":"Oku","given":"Takanori"},{"family":"Usuda","given":"Masahiro"},{"family":"Kazempoor","given":"Pejman"},{"family":"Fang","given":"Liyang"},{"family":"Chen","given":"Di"},{"family":"Liu","given":"Bin"},{"family":"Duan","given":"Chuancheng"}],"issued":{"date-parts":[["2023",10]]}}}],"schema":"https://github.com/citation-style-language/schema/raw/master/csl-citation.json"} </w:instrText>
            </w:r>
            <w:r w:rsidRPr="001F38A1">
              <w:rPr>
                <w:rFonts w:cs="Times New Roman"/>
                <w:sz w:val="16"/>
                <w:szCs w:val="14"/>
              </w:rPr>
              <w:fldChar w:fldCharType="separate"/>
            </w:r>
            <w:r w:rsidR="00CA7A9D" w:rsidRPr="00CA7A9D">
              <w:rPr>
                <w:rFonts w:ascii="Aptos" w:hAnsi="Aptos"/>
                <w:sz w:val="16"/>
              </w:rPr>
              <w:t>[33]</w:t>
            </w:r>
            <w:r w:rsidRPr="001F38A1">
              <w:rPr>
                <w:rFonts w:cs="Times New Roman"/>
                <w:sz w:val="16"/>
                <w:szCs w:val="14"/>
              </w:rPr>
              <w:fldChar w:fldCharType="end"/>
            </w:r>
          </w:p>
        </w:tc>
      </w:tr>
    </w:tbl>
    <w:p w14:paraId="67209768" w14:textId="77777777" w:rsidR="00E170BA" w:rsidRPr="001F38A1" w:rsidRDefault="00E170BA" w:rsidP="00E170BA">
      <w:pPr>
        <w:spacing w:line="240" w:lineRule="auto"/>
        <w:ind w:firstLine="0"/>
        <w:rPr>
          <w:rFonts w:cs="Times New Roman"/>
          <w:sz w:val="16"/>
          <w:szCs w:val="14"/>
        </w:rPr>
      </w:pPr>
    </w:p>
    <w:p w14:paraId="685D4DFD" w14:textId="77777777" w:rsidR="00E170BA" w:rsidRDefault="00E170BA" w:rsidP="00E170BA">
      <w:pPr>
        <w:pStyle w:val="Heading2"/>
      </w:pPr>
      <w:bookmarkStart w:id="24" w:name="_Toc165641052"/>
      <w:r>
        <w:t>2.2 Methane Dehydroaromatization</w:t>
      </w:r>
      <w:bookmarkEnd w:id="24"/>
    </w:p>
    <w:p w14:paraId="5E85E19D" w14:textId="77777777" w:rsidR="00E170BA" w:rsidRDefault="00E170BA" w:rsidP="00E170BA">
      <w:pPr>
        <w:pStyle w:val="Heading3"/>
      </w:pPr>
      <w:bookmarkStart w:id="25" w:name="_Toc165641053"/>
      <w:r>
        <w:t>2.2.1 Benzene Production Pathways</w:t>
      </w:r>
      <w:bookmarkEnd w:id="25"/>
    </w:p>
    <w:p w14:paraId="512D23CB" w14:textId="4A0E514E" w:rsidR="00E170BA" w:rsidRDefault="00E170BA" w:rsidP="00E170BA">
      <w:r>
        <w:t xml:space="preserve">Benzene plays an important role in the global economy as it is one of the foundational components of many commonly used industrial products like plastics, synthetic fibers, </w:t>
      </w:r>
      <w:proofErr w:type="gramStart"/>
      <w:r>
        <w:t>resins</w:t>
      </w:r>
      <w:proofErr w:type="gramEnd"/>
      <w:r>
        <w:t xml:space="preserve"> and nylon. In addition, benzene plays a role in the production of many lubricants, detergents, drugs, dyes, rubbers, and pesticides </w:t>
      </w:r>
      <w:r>
        <w:fldChar w:fldCharType="begin"/>
      </w:r>
      <w:r w:rsidR="00CA7A9D">
        <w:instrText xml:space="preserve"> ADDIN ZOTERO_ITEM CSL_CITATION {"citationID":"sdMNBeB4","properties":{"formattedCitation":"[34]","plainCitation":"[34]","noteIndex":0},"citationItems":[{"id":617,"uris":["http://zotero.org/users/12063231/items/TLABMX59"],"itemData":{"id":617,"type":"webpage","abstract":"Information on Benzene. Provided by the Centers for Disease Control and Prevention (CDC).","language":"en-us","title":"CDC | Facts About Benzene","URL":"https://emergency.cdc.gov/agent/benzene/basics/facts.asp","accessed":{"date-parts":[["2023",12,9]]},"issued":{"date-parts":[["2019",5,15]]}}}],"schema":"https://github.com/citation-style-language/schema/raw/master/csl-citation.json"} </w:instrText>
      </w:r>
      <w:r>
        <w:fldChar w:fldCharType="separate"/>
      </w:r>
      <w:r w:rsidR="00CA7A9D" w:rsidRPr="00CA7A9D">
        <w:rPr>
          <w:rFonts w:ascii="Calibri" w:hAnsi="Calibri" w:cs="Calibri"/>
        </w:rPr>
        <w:t>[34]</w:t>
      </w:r>
      <w:r>
        <w:fldChar w:fldCharType="end"/>
      </w:r>
      <w:r>
        <w:t xml:space="preserve">. With a strong worldwide need for benzene, it has become one of the top 20 chemicals for production volume in the world </w:t>
      </w:r>
      <w:r>
        <w:fldChar w:fldCharType="begin"/>
      </w:r>
      <w:r w:rsidR="00CA7A9D">
        <w:instrText xml:space="preserve"> ADDIN ZOTERO_ITEM CSL_CITATION {"citationID":"cMAURnYg","properties":{"formattedCitation":"[34], [35]","plainCitation":"[34], [35]","noteIndex":0},"citationItems":[{"id":617,"uris":["http://zotero.org/users/12063231/items/TLABMX59"],"itemData":{"id":617,"type":"webpage","abstract":"Information on Benzene. Provided by the Centers for Disease Control and Prevention (CDC).","language":"en-us","title":"CDC | Facts About Benzene","URL":"https://emergency.cdc.gov/agent/benzene/basics/facts.asp","accessed":{"date-parts":[["2023",12,9]]},"issued":{"date-parts":[["2019",5,15]]}}},{"id":615,"uris":["http://zotero.org/users/12063231/items/JP76W3Y5"],"itemData":{"id":615,"type":"webpage","title":"Benzene | Public Health Statement | ATSDR","URL":"https://wwwn.cdc.gov/TSP/PHS/PHS.aspx?phsid=37&amp;toxid=14","accessed":{"date-parts":[["2023",12,8]]}}}],"schema":"https://github.com/citation-style-language/schema/raw/master/csl-citation.json"} </w:instrText>
      </w:r>
      <w:r>
        <w:fldChar w:fldCharType="separate"/>
      </w:r>
      <w:r w:rsidR="00CA7A9D" w:rsidRPr="00CA7A9D">
        <w:rPr>
          <w:rFonts w:ascii="Calibri" w:hAnsi="Calibri" w:cs="Calibri"/>
        </w:rPr>
        <w:t>[34], [35]</w:t>
      </w:r>
      <w:r>
        <w:fldChar w:fldCharType="end"/>
      </w:r>
      <w:r>
        <w:t xml:space="preserve">. </w:t>
      </w:r>
    </w:p>
    <w:p w14:paraId="4BC301D4" w14:textId="2FBE57AC" w:rsidR="00E170BA" w:rsidRDefault="00E170BA" w:rsidP="00E170BA">
      <w:r>
        <w:t xml:space="preserve">Currently, around 70% of the world’s benzene production comes from naphtha via catalytic reforming and steam cracking </w:t>
      </w:r>
      <w:r>
        <w:fldChar w:fldCharType="begin"/>
      </w:r>
      <w:r w:rsidR="00CA7A9D">
        <w:instrText xml:space="preserve"> ADDIN ZOTERO_ITEM CSL_CITATION {"citationID":"ZxwHLYuR","properties":{"formattedCitation":"[36]","plainCitation":"[36]","noteIndex":0},"citationItems":[{"id":621,"uris":["http://zotero.org/users/12063231/items/X5R6VJKV"],"itemData":{"id":621,"type":"article-journal","abstract":"A systematic global optimization-based process synthesis framework is presented to determine the most profitable processes to produce aromatics from natural gas. Several novel, commercial, and/or competing technologies are modeled within the framework, including methanol-to-aromatics, toluene alkylation with methanol, selective toluene disproportionation, and toluene disproportionation and transalkylation with heavy aromatics, among others. We propose a stand-alone chemicals facility: the main products are aromatics with allowable by-products of gasoline, liquefied petroleum gas, and electricity. Several case studies are discussed that produce varying ratios of para-, ortho-, and meta-xylene across multiple refinery capacities. The results indicate that utilizing natural gas for the production of aromatics is profitable with net present values as high as $3800 MM dollars and payback periods as low as 6 years. The required investment for these refineries represents as much as a 65% decrease compared to published estimates of similar coal-based capacity plants. © 2016 American Institute of Chemical Engineers AIChE J, 62: 1531–1556, 2016","container-title":"AIChE Journal","DOI":"10.1002/aic.15144","ISSN":"1547-5905","issue":"5","language":"en","license":"© 2016 American Institute of Chemical Engineers","note":"_eprint: https://onlinelibrary.wiley.com/doi/pdf/10.1002/aic.15144","page":"1531-1556","source":"Wiley Online Library","title":"Production of benzene, toluene, and xylenes from natural gas via methanol: Process synthesis and global optimization","title-short":"Production of benzene, toluene, and xylenes from natural gas via methanol","volume":"62","author":[{"family":"Niziolek","given":"Alexander M."},{"family":"Onel","given":"Onur"},{"family":"Floudas","given":"Christodoulos A."}],"issued":{"date-parts":[["2016"]]}}}],"schema":"https://github.com/citation-style-language/schema/raw/master/csl-citation.json"} </w:instrText>
      </w:r>
      <w:r>
        <w:fldChar w:fldCharType="separate"/>
      </w:r>
      <w:r w:rsidR="00CA7A9D" w:rsidRPr="00CA7A9D">
        <w:rPr>
          <w:rFonts w:ascii="Calibri" w:hAnsi="Calibri" w:cs="Calibri"/>
        </w:rPr>
        <w:t>[36]</w:t>
      </w:r>
      <w:r>
        <w:fldChar w:fldCharType="end"/>
      </w:r>
      <w:r>
        <w:t xml:space="preserve">. These are multi-step processes that require a </w:t>
      </w:r>
      <w:r>
        <w:lastRenderedPageBreak/>
        <w:t xml:space="preserve">variety of intermediates and output a mixture of components that include aromatics like benzene, as well as alkanes, cycloalkanes, hydrogen, and light gases </w:t>
      </w:r>
      <w:r>
        <w:fldChar w:fldCharType="begin"/>
      </w:r>
      <w:r w:rsidR="00CA7A9D">
        <w:instrText xml:space="preserve"> ADDIN ZOTERO_ITEM CSL_CITATION {"citationID":"a1id4e7m35p","properties":{"formattedCitation":"[37]","plainCitation":"[37]","noteIndex":0},"citationItems":[{"id":848,"uris":["http://zotero.org/users/12063231/items/6GAB6A5A"],"itemData":{"id":848,"type":"article-journal","abstract":"In this paper, we deal with the optimization of a cluster comprising two key processes in petroleum refinery: catalytic reforming, and light naphtha isomerization. We propose a novel hybrid methodology which combines direct and indirect approaches. In the direct approach we consider the complete kinetic model and we adopt derivative-free approaches since the analytic expression of the model is not available. In the indirect approach we propose a surrogate modelling based optimization and we apply state-of-the-art solver to retrieve the optimal operating condition and flowsheet configuration of the process. The hybrid method consists of two steps: (i) we compute different good feasible solutions by means of the indirect approach, and (ii) we apply the direct approach using the solutions of the previous step as starting points. Computational experiments for different scenarios are finally discussed.","container-title":"Computers &amp; Chemical Engineering","DOI":"10.1016/j.compchemeng.2020.107009","ISSN":"0098-1354","journalAbbreviation":"Computers &amp; Chemical Engineering","page":"107009","source":"ScienceDirect","title":"Optimization approaches to the integrated system of catalytic reforming and isomerization processes in petroleum refinery","volume":"141","author":[{"family":"Duchêne","given":"Pascal"},{"family":"Mencarelli","given":"Luca"},{"family":"Pagot","given":"Alexandre"}],"issued":{"date-parts":[["2020",10,4]]}}}],"schema":"https://github.com/citation-style-language/schema/raw/master/csl-citation.json"} </w:instrText>
      </w:r>
      <w:r>
        <w:fldChar w:fldCharType="separate"/>
      </w:r>
      <w:r w:rsidR="00CA7A9D" w:rsidRPr="00CA7A9D">
        <w:rPr>
          <w:rFonts w:ascii="Aptos" w:hAnsi="Aptos"/>
        </w:rPr>
        <w:t>[37]</w:t>
      </w:r>
      <w:r>
        <w:fldChar w:fldCharType="end"/>
      </w:r>
      <w:r>
        <w:t xml:space="preserve">. This leads to a relatively complex separation process to isolate these different chemicals. </w:t>
      </w:r>
    </w:p>
    <w:p w14:paraId="132A0F1D" w14:textId="61BCB896" w:rsidR="00E170BA" w:rsidRDefault="00E170BA" w:rsidP="00E170BA">
      <w:r>
        <w:t xml:space="preserve">MDA offers a high upside alternative to these expensive processes. The MDA process is a direct conversion from methane to benzene, aromatics, and hydrogen. This process is a more direct route, with fewer intermediates and overall has a much less  complex process than the more mature naphtha reforming </w:t>
      </w:r>
      <w:r>
        <w:fldChar w:fldCharType="begin"/>
      </w:r>
      <w:r w:rsidR="00CA7A9D">
        <w:instrText xml:space="preserve"> ADDIN ZOTERO_ITEM CSL_CITATION {"citationID":"arIRrOpM","properties":{"formattedCitation":"[38]","plainCitation":"[38]","noteIndex":0},"citationItems":[{"id":627,"uris":["http://zotero.org/users/12063231/items/FZVH2F99"],"itemData":{"id":627,"type":"article-journal","abstract":"Direct conversion of methane to benzene or other valuable chemicals is...","container-title":"Journal of Energy Chemistry","ISSN":"2095-4956","issue":"1","language":"en","page":"1","source":"www.jenergychem.com","title":"Recent progress in methane dehydroaromatization: From laboratory curiosities to promising technology","title-short":"Recent progress in methane dehydroaromatization","volume":"22","author":[{"family":"Ma","given":"Shuqi"},{"family":"Guo","given":"Xiaoguang"},{"family":"Zhao","given":"Lingxiao"},{"family":"Scott","given":"Susannah"},{"family":"Bao*","given":"Xinhe"}],"issued":{"date-parts":[["2013",1,20]]}}}],"schema":"https://github.com/citation-style-language/schema/raw/master/csl-citation.json"} </w:instrText>
      </w:r>
      <w:r>
        <w:fldChar w:fldCharType="separate"/>
      </w:r>
      <w:r w:rsidR="00CA7A9D" w:rsidRPr="00CA7A9D">
        <w:rPr>
          <w:rFonts w:ascii="Calibri" w:hAnsi="Calibri" w:cs="Calibri"/>
        </w:rPr>
        <w:t>[38]</w:t>
      </w:r>
      <w:r>
        <w:fldChar w:fldCharType="end"/>
      </w:r>
      <w:r>
        <w:t xml:space="preserve">. Therefore, it has the potential to reduce costs and increase profitability for chemical manufacturers of benzene. </w:t>
      </w:r>
    </w:p>
    <w:p w14:paraId="4F9290FE" w14:textId="77777777" w:rsidR="00E170BA" w:rsidRDefault="00E170BA" w:rsidP="00E170BA">
      <w:pPr>
        <w:keepNext/>
        <w:jc w:val="center"/>
      </w:pPr>
      <w:r>
        <w:rPr>
          <w:noProof/>
        </w:rPr>
        <w:drawing>
          <wp:inline distT="0" distB="0" distL="0" distR="0" wp14:anchorId="293539F3" wp14:editId="4C0576A0">
            <wp:extent cx="3892990" cy="2417275"/>
            <wp:effectExtent l="0" t="0" r="0" b="2540"/>
            <wp:docPr id="1555232705" name="Chart 1">
              <a:extLst xmlns:a="http://schemas.openxmlformats.org/drawingml/2006/main">
                <a:ext uri="{FF2B5EF4-FFF2-40B4-BE49-F238E27FC236}">
                  <a16:creationId xmlns:a16="http://schemas.microsoft.com/office/drawing/2014/main" id="{10222A8C-EE6F-C793-458B-8FCCDDD5C9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4D148B9" w14:textId="77777777" w:rsidR="00E170BA" w:rsidRDefault="00E170BA" w:rsidP="00E170BA">
      <w:pPr>
        <w:pStyle w:val="Caption"/>
        <w:spacing w:line="360" w:lineRule="auto"/>
      </w:pPr>
      <w:bookmarkStart w:id="26" w:name="_Ref153035221"/>
      <w:bookmarkStart w:id="27" w:name="_Toc165641130"/>
      <w:r>
        <w:t>Figure 2.</w:t>
      </w:r>
      <w:r>
        <w:fldChar w:fldCharType="begin"/>
      </w:r>
      <w:r>
        <w:instrText xml:space="preserve"> SEQ Figure \* ARABIC </w:instrText>
      </w:r>
      <w:r>
        <w:fldChar w:fldCharType="separate"/>
      </w:r>
      <w:r>
        <w:rPr>
          <w:noProof/>
        </w:rPr>
        <w:t>2</w:t>
      </w:r>
      <w:r>
        <w:rPr>
          <w:noProof/>
        </w:rPr>
        <w:fldChar w:fldCharType="end"/>
      </w:r>
      <w:bookmarkEnd w:id="26"/>
      <w:r>
        <w:t>: Published research articles related to MDA.</w:t>
      </w:r>
      <w:bookmarkEnd w:id="27"/>
    </w:p>
    <w:p w14:paraId="2BDFC2FD" w14:textId="4101673B" w:rsidR="00E170BA" w:rsidRDefault="00E170BA" w:rsidP="00E170BA">
      <w:r>
        <w:t xml:space="preserve">The potential of MDA is reflected in the research studies around it. </w:t>
      </w:r>
      <w:r>
        <w:fldChar w:fldCharType="begin"/>
      </w:r>
      <w:r>
        <w:instrText xml:space="preserve"> REF _Ref153035221 \h  \* MERGEFORMAT </w:instrText>
      </w:r>
      <w:r>
        <w:fldChar w:fldCharType="separate"/>
      </w:r>
      <w:r>
        <w:t xml:space="preserve">Figure </w:t>
      </w:r>
      <w:r>
        <w:rPr>
          <w:noProof/>
        </w:rPr>
        <w:t>2.2</w:t>
      </w:r>
      <w:r>
        <w:fldChar w:fldCharType="end"/>
      </w:r>
      <w:r>
        <w:t xml:space="preserve"> shows the rapidly growing interest in MDA research from the scientific community. The growing interest is proof of the potential economic and societal impact of the process in a variety of affected industries. This section cover</w:t>
      </w:r>
      <w:r w:rsidR="00855AFC">
        <w:t>s</w:t>
      </w:r>
      <w:r>
        <w:t xml:space="preserve"> the following objectives: I) establish a global need for benzene; II) discuss the theoretical reaction mechanisms for MDA; III) Analyze the </w:t>
      </w:r>
      <w:r>
        <w:lastRenderedPageBreak/>
        <w:t>existing popular means of MDA (fixed and fluidized bed reactors); IV) determine the potential for using electrochemical means (PCFC) of achieving MDA.</w:t>
      </w:r>
    </w:p>
    <w:p w14:paraId="42483F53" w14:textId="77777777" w:rsidR="00E170BA" w:rsidRDefault="00E170BA" w:rsidP="00E170BA">
      <w:pPr>
        <w:pStyle w:val="Heading3"/>
      </w:pPr>
      <w:bookmarkStart w:id="28" w:name="_Toc156393738"/>
      <w:bookmarkStart w:id="29" w:name="_Toc165641054"/>
      <w:r>
        <w:t xml:space="preserve">2.2.2 </w:t>
      </w:r>
      <w:bookmarkEnd w:id="28"/>
      <w:r>
        <w:t>Essentiality of Benzene Production</w:t>
      </w:r>
      <w:bookmarkEnd w:id="29"/>
      <w:r>
        <w:t xml:space="preserve"> </w:t>
      </w:r>
    </w:p>
    <w:p w14:paraId="68B21DB4" w14:textId="4DCE61F1" w:rsidR="00E170BA" w:rsidRDefault="00E170BA" w:rsidP="00E170BA">
      <w:r>
        <w:t xml:space="preserve">Benzene, toluene, and xylene (BTX) are often referred to as “value added chemicals” due to their usefulness as feedstocks for other products </w:t>
      </w:r>
      <w:r>
        <w:fldChar w:fldCharType="begin"/>
      </w:r>
      <w:r w:rsidR="00CA7A9D">
        <w:instrText xml:space="preserve"> ADDIN ZOTERO_ITEM CSL_CITATION {"citationID":"yB60Ietc","properties":{"formattedCitation":"[39]","plainCitation":"[39]","noteIndex":0},"citationItems":[{"id":630,"uris":["http://zotero.org/users/12063231/items/NLMIMLAY"],"itemData":{"id":630,"type":"article-journal","abstract":"While Mo/HZSM-5 is known as a catalyst for methane dehydro-aromatization (MDA), low activity and rapid deactivation have been considered issues to be overcome. In order to improve catalytic performance, NiO was physically mixed with Mo/HZSM-5, which significantly enhanced the yield for aromatic compounds (benzene and toluene), and improved catalytic stability. Combined XRD, CH4–TPSR, CO chemisorption, TEM-EDS, NH3–TPD, pyridine FT–IR, TPO, visible Raman, and N2 physisorption analysis confirmed that NiO promoted the dispersion of MoCx active sites and suppressed coke formation on MoCx, by converting coke precursors to carbon nanotube (CNT) on itself. As a result, after the reaction, the pore size and pore volume did not change much, which is attributed to the improved stability. This study demonstrates that physically mixed NiO can act as an excellent catalyst promotor for MDA.","container-title":"Applied Catalysis B: Environmental","DOI":"10.1016/j.apcatb.2021.120377","ISSN":"0926-3373","journalAbbreviation":"Applied Catalysis B: Environmental","page":"120377","source":"ScienceDirect","title":"Enhanced reactivity and stability in methane dehydro-aromatization over Mo/HZSM-5 physically mixed with NiO","volume":"296","author":[{"family":"Nam","given":"Kihun"},{"family":"Ryu","given":"Hae Won"},{"family":"Gim","given":"Min Yeong"},{"family":"Kim","given":"Do Heui"}],"issued":{"date-parts":[["2021",11,5]]}}}],"schema":"https://github.com/citation-style-language/schema/raw/master/csl-citation.json"} </w:instrText>
      </w:r>
      <w:r>
        <w:fldChar w:fldCharType="separate"/>
      </w:r>
      <w:r w:rsidR="00CA7A9D" w:rsidRPr="00CA7A9D">
        <w:rPr>
          <w:rFonts w:ascii="Aptos" w:hAnsi="Aptos"/>
        </w:rPr>
        <w:t>[39]</w:t>
      </w:r>
      <w:r>
        <w:fldChar w:fldCharType="end"/>
      </w:r>
      <w:r>
        <w:t xml:space="preserve">. The namesake “value added” is especially true in comparison to </w:t>
      </w:r>
      <w:proofErr w:type="gramStart"/>
      <w:r>
        <w:t>methane, since</w:t>
      </w:r>
      <w:proofErr w:type="gramEnd"/>
      <w:r>
        <w:t xml:space="preserve"> benzene is far easier to transport and also functions as a fundamental building block in the chemical industry. </w:t>
      </w:r>
    </w:p>
    <w:p w14:paraId="142A7855" w14:textId="443078D7" w:rsidR="00E170BA" w:rsidRDefault="00E170BA" w:rsidP="00E170BA">
      <w:r>
        <w:t xml:space="preserve">The global market size of benzene is expected to grow by about 4.6% annually through at least 2028 due to its prominent role in several massive industries </w:t>
      </w:r>
      <w:r>
        <w:fldChar w:fldCharType="begin"/>
      </w:r>
      <w:r w:rsidR="00CA7A9D">
        <w:instrText xml:space="preserve"> ADDIN ZOTERO_ITEM CSL_CITATION {"citationID":"jEZtHY9K","properties":{"formattedCitation":"[40]","plainCitation":"[40]","noteIndex":0},"citationItems":[{"id":628,"uris":["http://zotero.org/users/12063231/items/9EIZD49Q"],"itemData":{"id":628,"type":"webpage","abstract":"Benzene Market Benzene Market Dublin, Oct. 31, 2023 (GLOBE NEWSWIRE) -- The \"Benzene Market - Global Industry Size, Share, Trends, Opportunities and Forecast, 2018-2028\" report has been added to ResearchAndMarkets.com's offering. The global benzene market, valued at USD 50.56 MMT in 2022, is set to experience robust growth with a projected CAGR of 4.60% through 2028. Several key drivers and market trends are contributing to this anticipated growth. Key Market Drivers: Growing Demand for Benzene","container-title":"Yahoo Finance","language":"en-US","title":"Global Benzene Market Expected to See Strong Growth Fueled by Automotive, Construction, and Pharmaceutical Industries","URL":"https://finance.yahoo.com/news/global-benzene-market-expected-see-123300321.html","accessed":{"date-parts":[["2023",12,9]]},"issued":{"date-parts":[["2023",10,31]]}}}],"schema":"https://github.com/citation-style-language/schema/raw/master/csl-citation.json"} </w:instrText>
      </w:r>
      <w:r>
        <w:fldChar w:fldCharType="separate"/>
      </w:r>
      <w:r w:rsidR="00CA7A9D" w:rsidRPr="00CA7A9D">
        <w:rPr>
          <w:rFonts w:ascii="Aptos" w:hAnsi="Aptos"/>
        </w:rPr>
        <w:t>[40]</w:t>
      </w:r>
      <w:r>
        <w:fldChar w:fldCharType="end"/>
      </w:r>
      <w:r>
        <w:t xml:space="preserve">. For example, the materials derived from benzene play crucial roles in automotive fabrication and batteries for the growing electric vehicle market. In addition, many insulation materials and adhesives require benzene, making it required for the construction industry. Lastly, benzene’s unique properties are also helpful for making many kinds of pharmaceutical compounds and medicines, establishing it as a building block of the pharmaceutical industry </w:t>
      </w:r>
      <w:r>
        <w:fldChar w:fldCharType="begin"/>
      </w:r>
      <w:r w:rsidR="00CA7A9D">
        <w:instrText xml:space="preserve"> ADDIN ZOTERO_ITEM CSL_CITATION {"citationID":"vQfOhX8Z","properties":{"formattedCitation":"[40]","plainCitation":"[40]","noteIndex":0},"citationItems":[{"id":628,"uris":["http://zotero.org/users/12063231/items/9EIZD49Q"],"itemData":{"id":628,"type":"webpage","abstract":"Benzene Market Benzene Market Dublin, Oct. 31, 2023 (GLOBE NEWSWIRE) -- The \"Benzene Market - Global Industry Size, Share, Trends, Opportunities and Forecast, 2018-2028\" report has been added to ResearchAndMarkets.com's offering. The global benzene market, valued at USD 50.56 MMT in 2022, is set to experience robust growth with a projected CAGR of 4.60% through 2028. Several key drivers and market trends are contributing to this anticipated growth. Key Market Drivers: Growing Demand for Benzene","container-title":"Yahoo Finance","language":"en-US","title":"Global Benzene Market Expected to See Strong Growth Fueled by Automotive, Construction, and Pharmaceutical Industries","URL":"https://finance.yahoo.com/news/global-benzene-market-expected-see-123300321.html","accessed":{"date-parts":[["2023",12,9]]},"issued":{"date-parts":[["2023",10,31]]}}}],"schema":"https://github.com/citation-style-language/schema/raw/master/csl-citation.json"} </w:instrText>
      </w:r>
      <w:r>
        <w:fldChar w:fldCharType="separate"/>
      </w:r>
      <w:r w:rsidR="00CA7A9D" w:rsidRPr="00CA7A9D">
        <w:rPr>
          <w:rFonts w:ascii="Aptos" w:hAnsi="Aptos"/>
        </w:rPr>
        <w:t>[40]</w:t>
      </w:r>
      <w:r>
        <w:fldChar w:fldCharType="end"/>
      </w:r>
      <w:r>
        <w:t xml:space="preserve">. </w:t>
      </w:r>
    </w:p>
    <w:p w14:paraId="3C57049C" w14:textId="28508692" w:rsidR="00E170BA" w:rsidRDefault="00E170BA" w:rsidP="00E170BA">
      <w:pPr>
        <w:rPr>
          <w:rFonts w:eastAsiaTheme="minorEastAsia"/>
        </w:rPr>
      </w:pPr>
      <w:r>
        <w:t xml:space="preserve">The economic impact of MDA would benefit all these global industries, but arguably the most important benefit could lie in the fact that MDA can be a reliable consumer of methane. As crude oil continues to be depleted as well as increase in cost, there is a growing need to open a new source for benzene without oil/naphtha as the raw material </w:t>
      </w:r>
      <w:r>
        <w:fldChar w:fldCharType="begin"/>
      </w:r>
      <w:r w:rsidR="00CA7A9D">
        <w:instrText xml:space="preserve"> ADDIN ZOTERO_ITEM CSL_CITATION {"citationID":"8TtaPFdV","properties":{"formattedCitation":"[41]","plainCitation":"[41]","noteIndex":0},"citationItems":[{"id":648,"uris":["http://zotero.org/users/12063231/items/ACSTSIHW"],"itemData":{"id":648,"type":"thesis","event-place":"Liaoning, China","language":"English","number-of-pages":"204","publisher":"Otto von Guericke University","publisher-place":"Liaoning, China","title":"Methane Dehydro Aromatization: Thermodynamics, Catalysts, Kinetics, and Potential of Membrane Reactors","URL":"https://d-nb.info/1078066469/34","author":[{"family":"Gao","given":"Kaidi"}],"accessed":{"date-parts":[["2023",12,11]]},"issued":{"date-parts":[["2015",8,7]]}}}],"schema":"https://github.com/citation-style-language/schema/raw/master/csl-citation.json"} </w:instrText>
      </w:r>
      <w:r>
        <w:fldChar w:fldCharType="separate"/>
      </w:r>
      <w:r w:rsidR="00CA7A9D" w:rsidRPr="00CA7A9D">
        <w:rPr>
          <w:rFonts w:ascii="Aptos" w:hAnsi="Aptos"/>
        </w:rPr>
        <w:t>[41]</w:t>
      </w:r>
      <w:r>
        <w:fldChar w:fldCharType="end"/>
      </w:r>
      <w:r>
        <w:t xml:space="preserve">. Methane fits this need very well. </w:t>
      </w:r>
      <w:r>
        <w:rPr>
          <w:kern w:val="0"/>
          <w14:ligatures w14:val="none"/>
        </w:rPr>
        <w:t xml:space="preserve">In addition, methane can be produced through biological processes using renewable sources such as biomass or organic waste in a process called </w:t>
      </w:r>
      <w:proofErr w:type="spellStart"/>
      <w:r>
        <w:rPr>
          <w:kern w:val="0"/>
          <w14:ligatures w14:val="none"/>
        </w:rPr>
        <w:t>biomethanation</w:t>
      </w:r>
      <w:proofErr w:type="spellEnd"/>
      <w:r>
        <w:rPr>
          <w:kern w:val="0"/>
          <w14:ligatures w14:val="none"/>
        </w:rPr>
        <w:t xml:space="preserve"> or anaerobic digestion. In this case, methane is considered renewable </w:t>
      </w:r>
      <w:r>
        <w:rPr>
          <w:kern w:val="0"/>
          <w14:ligatures w14:val="none"/>
        </w:rPr>
        <w:lastRenderedPageBreak/>
        <w:t>because the feedstock (biomass or organic waste) can be continuously replenished through natural processes such as plant growth or waste generation.</w:t>
      </w:r>
      <w:r>
        <w:t xml:space="preserve"> </w:t>
      </w:r>
    </w:p>
    <w:p w14:paraId="7158A332" w14:textId="13552BEC" w:rsidR="00E170BA" w:rsidRDefault="00E170BA" w:rsidP="00E170BA">
      <w:r>
        <w:t xml:space="preserve">However, even with the potential benefits, benzene and aromatic production come with a few notable societal drawbacks. For example, where once benzene was used as an important additive in gasoline production due to its high octane number, this practice has since become much more moderated due to its carcinogenic nature. Benzene is potentially harmful enough that the Center for Disease Control and Prevention (CDC) goes as far as recommending that people should not live near gasoline fueling stations and not even let their children play around them </w:t>
      </w:r>
      <w:r>
        <w:fldChar w:fldCharType="begin"/>
      </w:r>
      <w:r w:rsidR="00CA7A9D">
        <w:instrText xml:space="preserve"> ADDIN ZOTERO_ITEM CSL_CITATION {"citationID":"gzCriahH","properties":{"formattedCitation":"[35]","plainCitation":"[35]","noteIndex":0},"citationItems":[{"id":615,"uris":["http://zotero.org/users/12063231/items/JP76W3Y5"],"itemData":{"id":615,"type":"webpage","title":"Benzene | Public Health Statement | ATSDR","URL":"https://wwwn.cdc.gov/TSP/PHS/PHS.aspx?phsid=37&amp;toxid=14","accessed":{"date-parts":[["2023",12,8]]}}}],"schema":"https://github.com/citation-style-language/schema/raw/master/csl-citation.json"} </w:instrText>
      </w:r>
      <w:r>
        <w:fldChar w:fldCharType="separate"/>
      </w:r>
      <w:r w:rsidR="00CA7A9D" w:rsidRPr="00CA7A9D">
        <w:rPr>
          <w:rFonts w:ascii="Calibri" w:hAnsi="Calibri" w:cs="Calibri"/>
        </w:rPr>
        <w:t>[35]</w:t>
      </w:r>
      <w:r>
        <w:fldChar w:fldCharType="end"/>
      </w:r>
      <w:r>
        <w:t xml:space="preserve">. </w:t>
      </w:r>
      <w:proofErr w:type="gramStart"/>
      <w:r>
        <w:t>In light of</w:t>
      </w:r>
      <w:proofErr w:type="gramEnd"/>
      <w:r>
        <w:t xml:space="preserve"> this drawback, it is important that great care is taken to mitigate direct human exposure to benzene. </w:t>
      </w:r>
    </w:p>
    <w:p w14:paraId="70799CCA" w14:textId="77777777" w:rsidR="00E170BA" w:rsidRPr="000E489C" w:rsidRDefault="00E170BA" w:rsidP="00E170BA">
      <w:r>
        <w:t>The MDA process is not yet widely practiced in industrial settings due to its immaturity compared to existing benzene production methods. In other words, there are certain aspects of the process that must be improved before the full potential of MDA can be implemented and realized. To do that, a thorough understanding of the chemistry and thermodynamics of the reaction is required.</w:t>
      </w:r>
    </w:p>
    <w:p w14:paraId="0480D351" w14:textId="77777777" w:rsidR="00E170BA" w:rsidRDefault="00E170BA" w:rsidP="00E170BA">
      <w:pPr>
        <w:pStyle w:val="Heading3"/>
      </w:pPr>
      <w:bookmarkStart w:id="30" w:name="_Toc156393739"/>
      <w:bookmarkStart w:id="31" w:name="_Toc165641055"/>
      <w:r>
        <w:t xml:space="preserve">2.2.3 Chemistry </w:t>
      </w:r>
      <w:bookmarkEnd w:id="30"/>
      <w:r>
        <w:t>of MDA</w:t>
      </w:r>
      <w:bookmarkEnd w:id="31"/>
    </w:p>
    <w:p w14:paraId="5D378D7C" w14:textId="77777777" w:rsidR="00E170BA" w:rsidRDefault="00E170BA" w:rsidP="00E170BA">
      <w:r>
        <w:t>MDA is defined by the transformation of methane into benzene and hydrogen as shown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
        <w:gridCol w:w="7749"/>
        <w:gridCol w:w="682"/>
      </w:tblGrid>
      <w:tr w:rsidR="00E170BA" w14:paraId="4959060A" w14:textId="77777777" w:rsidTr="002E7584">
        <w:tc>
          <w:tcPr>
            <w:tcW w:w="936" w:type="dxa"/>
            <w:vAlign w:val="center"/>
          </w:tcPr>
          <w:p w14:paraId="373BBDB1" w14:textId="77777777" w:rsidR="00E170BA" w:rsidRDefault="00E170BA" w:rsidP="002E7584">
            <w:pPr>
              <w:spacing w:before="120" w:after="120" w:line="240" w:lineRule="auto"/>
              <w:ind w:firstLine="0"/>
              <w:jc w:val="center"/>
            </w:pPr>
          </w:p>
        </w:tc>
        <w:tc>
          <w:tcPr>
            <w:tcW w:w="7806" w:type="dxa"/>
            <w:vAlign w:val="center"/>
          </w:tcPr>
          <w:p w14:paraId="09E8FB82" w14:textId="77777777" w:rsidR="00E170BA" w:rsidRDefault="00E170BA" w:rsidP="002E7584">
            <w:pPr>
              <w:spacing w:before="120" w:after="120" w:line="240" w:lineRule="auto"/>
              <w:jc w:val="center"/>
            </w:pPr>
            <m:oMath>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6</m:t>
                  </m:r>
                </m:sub>
              </m:sSub>
              <m:sSub>
                <m:sSubPr>
                  <m:ctrlPr>
                    <w:rPr>
                      <w:rFonts w:ascii="Cambria Math" w:hAnsi="Cambria Math"/>
                      <w:i/>
                    </w:rPr>
                  </m:ctrlPr>
                </m:sSubPr>
                <m:e>
                  <m:r>
                    <w:rPr>
                      <w:rFonts w:ascii="Cambria Math" w:hAnsi="Cambria Math"/>
                    </w:rPr>
                    <m:t>H</m:t>
                  </m:r>
                </m:e>
                <m:sub>
                  <m:r>
                    <w:rPr>
                      <w:rFonts w:ascii="Cambria Math" w:hAnsi="Cambria Math"/>
                    </w:rPr>
                    <m:t>6</m:t>
                  </m:r>
                </m:sub>
              </m:sSub>
              <m:r>
                <w:rPr>
                  <w:rFonts w:ascii="Cambria Math" w:hAnsi="Cambria Math"/>
                </w:rPr>
                <m:t>+9</m:t>
              </m:r>
              <m:sSub>
                <m:sSubPr>
                  <m:ctrlPr>
                    <w:rPr>
                      <w:rFonts w:ascii="Cambria Math" w:hAnsi="Cambria Math"/>
                      <w:i/>
                    </w:rPr>
                  </m:ctrlPr>
                </m:sSubPr>
                <m:e>
                  <m:r>
                    <w:rPr>
                      <w:rFonts w:ascii="Cambria Math" w:hAnsi="Cambria Math"/>
                    </w:rPr>
                    <m:t>H</m:t>
                  </m:r>
                </m:e>
                <m:sub>
                  <m:r>
                    <w:rPr>
                      <w:rFonts w:ascii="Cambria Math" w:hAnsi="Cambria Math"/>
                    </w:rPr>
                    <m:t>2</m:t>
                  </m:r>
                </m:sub>
              </m:sSub>
            </m:oMath>
            <w:r>
              <w:rPr>
                <w:rFonts w:eastAsiaTheme="minorEastAsia"/>
              </w:rPr>
              <w:t xml:space="preserve">              (Non-oxidative)</w:t>
            </w:r>
          </w:p>
        </w:tc>
        <w:tc>
          <w:tcPr>
            <w:tcW w:w="618" w:type="dxa"/>
            <w:vAlign w:val="center"/>
          </w:tcPr>
          <w:p w14:paraId="4A055349" w14:textId="77777777" w:rsidR="00E170BA" w:rsidRDefault="00E170BA" w:rsidP="002E7584">
            <w:pPr>
              <w:spacing w:before="120" w:after="120" w:line="240" w:lineRule="auto"/>
              <w:ind w:firstLine="0"/>
              <w:jc w:val="center"/>
            </w:pPr>
            <w:r>
              <w:t>(2.3)</w:t>
            </w:r>
          </w:p>
        </w:tc>
      </w:tr>
      <w:tr w:rsidR="00E170BA" w14:paraId="69F87085" w14:textId="77777777" w:rsidTr="002E7584">
        <w:tc>
          <w:tcPr>
            <w:tcW w:w="936" w:type="dxa"/>
            <w:vAlign w:val="center"/>
          </w:tcPr>
          <w:p w14:paraId="77498466" w14:textId="77777777" w:rsidR="00E170BA" w:rsidRDefault="00E170BA" w:rsidP="002E7584">
            <w:pPr>
              <w:spacing w:before="120" w:after="120" w:line="240" w:lineRule="auto"/>
              <w:ind w:firstLine="0"/>
              <w:jc w:val="center"/>
            </w:pPr>
          </w:p>
        </w:tc>
        <w:tc>
          <w:tcPr>
            <w:tcW w:w="7806" w:type="dxa"/>
            <w:vAlign w:val="center"/>
          </w:tcPr>
          <w:p w14:paraId="5A6923EE" w14:textId="77777777" w:rsidR="00E170BA" w:rsidRPr="00AF1ADF" w:rsidRDefault="00E170BA" w:rsidP="002E7584">
            <w:pPr>
              <w:spacing w:before="120" w:after="120" w:line="240" w:lineRule="auto"/>
              <w:jc w:val="center"/>
              <w:rPr>
                <w:rFonts w:eastAsiaTheme="minorEastAsia"/>
              </w:rPr>
            </w:pPr>
            <m:oMath>
              <m:r>
                <w:rPr>
                  <w:rFonts w:ascii="Cambria Math" w:hAnsi="Cambria Math"/>
                </w:rPr>
                <m:t>6C</m:t>
              </m:r>
              <m:sSub>
                <m:sSubPr>
                  <m:ctrlPr>
                    <w:rPr>
                      <w:rFonts w:ascii="Cambria Math" w:hAnsi="Cambria Math"/>
                      <w:i/>
                    </w:rPr>
                  </m:ctrlPr>
                </m:sSubPr>
                <m:e>
                  <m:r>
                    <w:rPr>
                      <w:rFonts w:ascii="Cambria Math" w:hAnsi="Cambria Math"/>
                    </w:rPr>
                    <m:t>H</m:t>
                  </m:r>
                </m:e>
                <m:sub>
                  <m:r>
                    <w:rPr>
                      <w:rFonts w:ascii="Cambria Math" w:hAnsi="Cambria Math"/>
                    </w:rPr>
                    <m:t>4</m:t>
                  </m:r>
                </m:sub>
              </m:sSub>
              <m:r>
                <w:rPr>
                  <w:rFonts w:ascii="Cambria Math" w:hAnsi="Cambria Math"/>
                </w:rPr>
                <m:t>+4.5</m:t>
              </m:r>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6</m:t>
                  </m:r>
                </m:sub>
              </m:sSub>
              <m:sSub>
                <m:sSubPr>
                  <m:ctrlPr>
                    <w:rPr>
                      <w:rFonts w:ascii="Cambria Math" w:hAnsi="Cambria Math"/>
                      <w:i/>
                    </w:rPr>
                  </m:ctrlPr>
                </m:sSubPr>
                <m:e>
                  <m:r>
                    <w:rPr>
                      <w:rFonts w:ascii="Cambria Math" w:hAnsi="Cambria Math"/>
                    </w:rPr>
                    <m:t>H</m:t>
                  </m:r>
                </m:e>
                <m:sub>
                  <m:r>
                    <w:rPr>
                      <w:rFonts w:ascii="Cambria Math" w:hAnsi="Cambria Math"/>
                    </w:rPr>
                    <m:t>6</m:t>
                  </m:r>
                </m:sub>
              </m:sSub>
              <m:r>
                <w:rPr>
                  <w:rFonts w:ascii="Cambria Math" w:hAnsi="Cambria Math"/>
                </w:rPr>
                <m:t>+9</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eastAsiaTheme="minorEastAsia" w:hAnsi="Cambria Math"/>
                </w:rPr>
                <m:t>O</m:t>
              </m:r>
            </m:oMath>
            <w:r>
              <w:rPr>
                <w:rFonts w:eastAsiaTheme="minorEastAsia"/>
              </w:rPr>
              <w:t xml:space="preserve"> </w:t>
            </w:r>
            <w:r>
              <w:rPr>
                <w:rFonts w:eastAsiaTheme="minorEastAsia"/>
              </w:rPr>
              <w:tab/>
              <w:t>(Oxidative)</w:t>
            </w:r>
          </w:p>
        </w:tc>
        <w:tc>
          <w:tcPr>
            <w:tcW w:w="618" w:type="dxa"/>
            <w:vAlign w:val="center"/>
          </w:tcPr>
          <w:p w14:paraId="0E944A70" w14:textId="77777777" w:rsidR="00E170BA" w:rsidRDefault="00E170BA" w:rsidP="002E7584">
            <w:pPr>
              <w:spacing w:before="120" w:after="120" w:line="240" w:lineRule="auto"/>
              <w:ind w:firstLine="0"/>
              <w:jc w:val="center"/>
            </w:pPr>
            <w:r>
              <w:t>(2.4)</w:t>
            </w:r>
          </w:p>
        </w:tc>
      </w:tr>
    </w:tbl>
    <w:p w14:paraId="7B01833E" w14:textId="77777777" w:rsidR="00E170BA" w:rsidRDefault="00E170BA" w:rsidP="00E170BA">
      <w:pPr>
        <w:rPr>
          <w:rFonts w:eastAsiaTheme="minorEastAsia"/>
        </w:rPr>
      </w:pPr>
    </w:p>
    <w:p w14:paraId="0414D511" w14:textId="5A76013B" w:rsidR="00E170BA" w:rsidRPr="00C35E73" w:rsidRDefault="00E170BA" w:rsidP="00E170BA">
      <w:pPr>
        <w:rPr>
          <w:rFonts w:eastAsiaTheme="minorEastAsia"/>
        </w:rPr>
      </w:pPr>
      <w:r>
        <w:rPr>
          <w:rFonts w:eastAsiaTheme="minorEastAsia"/>
        </w:rPr>
        <w:lastRenderedPageBreak/>
        <w:t>This is a strongly endothermic reaction and therefore typically requires high temperatures to see significant results. It is generally accepted that MDA occurs under two different conditions: oxidative and non-oxidative. While still endothermic, MDA is more thermodynamically favorable in oxidative conditions. Although, Han et al. discovered in 1992 that the benzene selectivity over zeolite catalysts was only ~3% in oxidative conditions due to an overabundance of CO and CO</w:t>
      </w:r>
      <w:r>
        <w:rPr>
          <w:rFonts w:eastAsiaTheme="minorEastAsia"/>
        </w:rPr>
        <w:softHyphen/>
      </w:r>
      <w:r>
        <w:rPr>
          <w:rFonts w:eastAsiaTheme="minorEastAsia"/>
          <w:vertAlign w:val="subscript"/>
        </w:rPr>
        <w:t>2</w:t>
      </w:r>
      <w:r>
        <w:rPr>
          <w:rFonts w:eastAsiaTheme="minorEastAsia"/>
        </w:rPr>
        <w:t xml:space="preserve">, which tracks with the oxidative production of syngas </w:t>
      </w:r>
      <w:r>
        <w:rPr>
          <w:rFonts w:eastAsiaTheme="minorEastAsia"/>
        </w:rPr>
        <w:fldChar w:fldCharType="begin"/>
      </w:r>
      <w:r w:rsidR="00CA7A9D">
        <w:rPr>
          <w:rFonts w:eastAsiaTheme="minorEastAsia"/>
        </w:rPr>
        <w:instrText xml:space="preserve"> ADDIN ZOTERO_ITEM CSL_CITATION {"citationID":"Wkyirg0W","properties":{"formattedCitation":"[42]","plainCitation":"[42]","noteIndex":0},"citationItems":[{"id":649,"uris":["http://zotero.org/users/12063231/items/TKPC25DD"],"itemData":{"id":649,"type":"article-journal","abstract":"The direct partial oxidation (DPO) of CH4 with O2 in the presence of a C3 additive over HZSM-5 zeolite catalyst at 960 psig produced C5+ liquid hydrocarbons at the expense of the initially formed CH30H. Previous experiments with pure CH4 and Oz feed and with a sand-packed reactor conclusively showed the need for both the C3 additive and the zeolite in the system to produce C5+ liquids. Evidence of CH4 incorporation into the liquid products was given by selectivity calculations which indicated the C3 alone could not account for the CS hydrocarbons. CH4 incorporation has been conclusively confirmed by mass spectral analyses of tetramethylbenzene produced in a run with 13CH4 under identical conditions which show significant 13C enrichment in the C9H11+ and C6H5+ fragments. While CH4 undergoes DPO to CH30H in the system, two possible reaction mechanisms can explain the role of C3; one involves initiation of methanol conversion to gasoline (MTG) by alkenes and the second involves C3 aromatization followed by aromatics alkylation with CH30H. Studies on this system with HZSM-5 catalysts having varying Al contents indicate a sensitivity to zeolite acidity except at high Al concentrations.","container-title":"Journal of Catalysis","DOI":"10.1016/0021-9517(92)90087-X","ISSN":"0021-9517","issue":"2","journalAbbreviation":"Journal of Catalysis","page":"578-583","source":"ScienceDirect","title":"The direct partial oxidation of methane to liquid hydrocarbons over HZSM-5 zeolite catalyst","volume":"136","author":[{"family":"Han","given":"S."},{"family":"Martenak","given":"D. J."},{"family":"Palermo","given":"R. E."},{"family":"Pearson","given":"J. A."},{"family":"Walsh","given":"D. E."}],"issued":{"date-parts":[["1992",8,1]]}}}],"schema":"https://github.com/citation-style-language/schema/raw/master/csl-citation.json"} </w:instrText>
      </w:r>
      <w:r>
        <w:rPr>
          <w:rFonts w:eastAsiaTheme="minorEastAsia"/>
        </w:rPr>
        <w:fldChar w:fldCharType="separate"/>
      </w:r>
      <w:r w:rsidR="00CA7A9D" w:rsidRPr="00CA7A9D">
        <w:rPr>
          <w:rFonts w:ascii="Aptos" w:hAnsi="Aptos"/>
        </w:rPr>
        <w:t>[42]</w:t>
      </w:r>
      <w:r>
        <w:rPr>
          <w:rFonts w:eastAsiaTheme="minorEastAsia"/>
        </w:rPr>
        <w:fldChar w:fldCharType="end"/>
      </w:r>
      <w:r>
        <w:rPr>
          <w:rFonts w:eastAsiaTheme="minorEastAsia"/>
        </w:rPr>
        <w:t xml:space="preserve">. In 1993, Wang et al. experimented with non-oxidative MDA and reported that while it still may not be very thermodynamically favorable (meaning low conversion rates), there </w:t>
      </w:r>
      <w:r w:rsidR="00EB6FFF">
        <w:rPr>
          <w:rFonts w:eastAsiaTheme="minorEastAsia"/>
        </w:rPr>
        <w:t>are</w:t>
      </w:r>
      <w:r>
        <w:rPr>
          <w:rFonts w:eastAsiaTheme="minorEastAsia"/>
        </w:rPr>
        <w:t xml:space="preserve"> very low levels of byproducts </w:t>
      </w:r>
      <w:r>
        <w:rPr>
          <w:rFonts w:eastAsiaTheme="minorEastAsia"/>
        </w:rPr>
        <w:fldChar w:fldCharType="begin"/>
      </w:r>
      <w:r w:rsidR="00CA7A9D">
        <w:rPr>
          <w:rFonts w:eastAsiaTheme="minorEastAsia"/>
        </w:rPr>
        <w:instrText xml:space="preserve"> ADDIN ZOTERO_ITEM CSL_CITATION {"citationID":"MGKDc7YV","properties":{"formattedCitation":"[43]","plainCitation":"[43]","noteIndex":0},"citationItems":[{"id":608,"uris":["http://zotero.org/users/12063231/items/MLACFGR2"],"itemData":{"id":608,"type":"article-journal","abstract":"The dehydrogenation and aromatization of methane on modified ZSM-5 zeolite catalysts has been studied under non-oxidizing conditions with a fixed bed continuous-flow reactor and with a temperature programmed reactor. The results show that benzene is the only hydrocarbon product of the catalytic conversion of methane at high temperature (973 K). The catalytic activity of ZSM-5 is greatly improved by incorporating a metal cation (Mo or Zn). H2 and ethene have been directly detected in the products with a mass spectrometer during TPAR. A carbenium ion mechanism for the activation of methane is suggested.","container-title":"Catalysis Letters","DOI":"10.1007/BF00767368","ISSN":"1572-879X","issue":"1","journalAbbreviation":"Catal Lett","language":"en","page":"35-41","source":"Springer Link","title":"Dehydrogenation and aromatization of methane under non-oxidizing conditions","volume":"21","author":[{"family":"Wang","given":"Linsheng"},{"family":"Tao","given":"Longxiang"},{"family":"Xie","given":"Maosong"},{"family":"Xu","given":"Guifen"},{"family":"Huang","given":"Jiasheng"},{"family":"Xu","given":"Yide"}],"issued":{"date-parts":[["1993",3,1]]}}}],"schema":"https://github.com/citation-style-language/schema/raw/master/csl-citation.json"} </w:instrText>
      </w:r>
      <w:r>
        <w:rPr>
          <w:rFonts w:eastAsiaTheme="minorEastAsia"/>
        </w:rPr>
        <w:fldChar w:fldCharType="separate"/>
      </w:r>
      <w:r w:rsidR="00CA7A9D" w:rsidRPr="00CA7A9D">
        <w:rPr>
          <w:rFonts w:ascii="Aptos" w:hAnsi="Aptos"/>
        </w:rPr>
        <w:t>[43]</w:t>
      </w:r>
      <w:r>
        <w:rPr>
          <w:rFonts w:eastAsiaTheme="minorEastAsia"/>
        </w:rPr>
        <w:fldChar w:fldCharType="end"/>
      </w:r>
      <w:r>
        <w:rPr>
          <w:rFonts w:eastAsiaTheme="minorEastAsia"/>
        </w:rPr>
        <w:t>. This was the beginning of a great spark of research looking to improve non-oxidative MDA.</w:t>
      </w:r>
    </w:p>
    <w:p w14:paraId="2E3EA440" w14:textId="311E7CF3" w:rsidR="00E170BA" w:rsidRDefault="00E170BA" w:rsidP="00E170BA">
      <w:pPr>
        <w:rPr>
          <w:rFonts w:eastAsiaTheme="minorEastAsia"/>
        </w:rPr>
      </w:pPr>
      <w:r>
        <w:rPr>
          <w:rFonts w:eastAsiaTheme="minorEastAsia"/>
        </w:rPr>
        <w:t xml:space="preserve"> Over the last 30 years, the most commonly practiced reaction conditions include a temperature generally around 700 </w:t>
      </w:r>
      <m:oMath>
        <m:r>
          <w:rPr>
            <w:rFonts w:ascii="Cambria Math" w:eastAsiaTheme="minorEastAsia" w:hAnsi="Cambria Math"/>
          </w:rPr>
          <m:t>°</m:t>
        </m:r>
      </m:oMath>
      <w:r>
        <w:rPr>
          <w:rFonts w:eastAsiaTheme="minorEastAsia"/>
        </w:rPr>
        <w:t>C (973</w:t>
      </w:r>
      <m:oMath>
        <m:r>
          <w:rPr>
            <w:rFonts w:ascii="Cambria Math" w:eastAsiaTheme="minorEastAsia" w:hAnsi="Cambria Math"/>
          </w:rPr>
          <m:t>°</m:t>
        </m:r>
      </m:oMath>
      <w:r>
        <w:rPr>
          <w:rFonts w:eastAsiaTheme="minorEastAsia"/>
        </w:rPr>
        <w:t xml:space="preserve">K) and a pressure of 1 bar </w:t>
      </w:r>
      <w:r>
        <w:rPr>
          <w:rFonts w:eastAsiaTheme="minorEastAsia"/>
        </w:rPr>
        <w:fldChar w:fldCharType="begin"/>
      </w:r>
      <w:r w:rsidR="00CA7A9D">
        <w:rPr>
          <w:rFonts w:eastAsiaTheme="minorEastAsia"/>
        </w:rPr>
        <w:instrText xml:space="preserve"> ADDIN ZOTERO_ITEM CSL_CITATION {"citationID":"a21jo88ptcb","properties":{"formattedCitation":"[38], [43], [44]","plainCitation":"[38], [43], [44]","noteIndex":0},"citationItems":[{"id":627,"uris":["http://zotero.org/users/12063231/items/FZVH2F99"],"itemData":{"id":627,"type":"article-journal","abstract":"Direct conversion of methane to benzene or other valuable chemicals is...","container-title":"Journal of Energy Chemistry","ISSN":"2095-4956","issue":"1","language":"en","page":"1","source":"www.jenergychem.com","title":"Recent progress in methane dehydroaromatization: From laboratory curiosities to promising technology","title-short":"Recent progress in methane dehydroaromatization","volume":"22","author":[{"family":"Ma","given":"Shuqi"},{"family":"Guo","given":"Xiaoguang"},{"family":"Zhao","given":"Lingxiao"},{"family":"Scott","given":"Susannah"},{"family":"Bao*","given":"Xinhe"}],"issued":{"date-parts":[["2013",1,20]]}}},{"id":608,"uris":["http://zotero.org/users/12063231/items/MLACFGR2"],"itemData":{"id":608,"type":"article-journal","abstract":"The dehydrogenation and aromatization of methane on modified ZSM-5 zeolite catalysts has been studied under non-oxidizing conditions with a fixed bed continuous-flow reactor and with a temperature programmed reactor. The results show that benzene is the only hydrocarbon product of the catalytic conversion of methane at high temperature (973 K). The catalytic activity of ZSM-5 is greatly improved by incorporating a metal cation (Mo or Zn). H2 and ethene have been directly detected in the products with a mass spectrometer during TPAR. A carbenium ion mechanism for the activation of methane is suggested.","container-title":"Catalysis Letters","DOI":"10.1007/BF00767368","ISSN":"1572-879X","issue":"1","journalAbbreviation":"Catal Lett","language":"en","page":"35-41","source":"Springer Link","title":"Dehydrogenation and aromatization of methane under non-oxidizing conditions","volume":"21","author":[{"family":"Wang","given":"Linsheng"},{"family":"Tao","given":"Longxiang"},{"family":"Xie","given":"Maosong"},{"family":"Xu","given":"Guifen"},{"family":"Huang","given":"Jiasheng"},{"family":"Xu","given":"Yide"}],"issued":{"date-parts":[["1993",3,1]]}}},{"id":638,"uris":["http://zotero.org/users/12063231/items/FUNE49BF"],"itemData":{"id":638,"type":"article-journal","abstract":"Non-oxidative dehydroaromatization is arguably the most promising process for the direct upgrading of cheap and abundant methane to liquid hydrocarbons. This reaction has not been commercialized yet because of the suboptimal activity and swift deactivation of benchmark Mo-zeolite catalysts. This progress report represents an elaboration on the recent developments in understanding of zeolite-based catalytic materials for high-temperature non-oxidative dehydroaromatization of methane. It is specifically focused on recent studies, relevant to the materials chemistry and elucidating i) the structure of active species in working catalysts; ii) the complex molecular pathways underlying the mechanism of selective conversion of methane to benzene; iii) structure, evolution and role of coke species; and iv) process intensification strategies to improve the deactivation resistance and overall performance of the catalysts. Finally, unsolved challenges in this field of research are outlined and an outlook is provided on promising directions toward improving the activity, stability, and selectivity of methane dehydroaromatization catalysts.","container-title":"Advanced Materials","DOI":"10.1002/adma.202002565","ISSN":"1521-4095","issue":"44","language":"en","license":"© 2020 The Authors. Published by WILEY-VCH Verlag GmbH &amp; Co. KGaA, Weinheim","note":"_eprint: https://onlinelibrary.wiley.com/doi/pdf/10.1002/adma.202002565","page":"2002565","source":"Wiley Online Library","title":"Reactivity, Selectivity, and Stability of Zeolite-Based Catalysts for Methane Dehydroaromatization","volume":"32","author":[{"family":"Kosinov","given":"Nikolay"},{"family":"Hensen","given":"Emiel J. M."}],"issued":{"date-parts":[["2020"]]}}}],"schema":"https://github.com/citation-style-language/schema/raw/master/csl-citation.json"} </w:instrText>
      </w:r>
      <w:r>
        <w:rPr>
          <w:rFonts w:eastAsiaTheme="minorEastAsia"/>
        </w:rPr>
        <w:fldChar w:fldCharType="separate"/>
      </w:r>
      <w:r w:rsidR="00CA7A9D" w:rsidRPr="00CA7A9D">
        <w:rPr>
          <w:rFonts w:ascii="Aptos" w:hAnsi="Aptos"/>
        </w:rPr>
        <w:t>[38], [43], [44]</w:t>
      </w:r>
      <w:r>
        <w:rPr>
          <w:rFonts w:eastAsiaTheme="minorEastAsia"/>
        </w:rPr>
        <w:fldChar w:fldCharType="end"/>
      </w:r>
      <w:r>
        <w:rPr>
          <w:rFonts w:eastAsiaTheme="minorEastAsia"/>
        </w:rPr>
        <w:t xml:space="preserve">. While 1 bar has been the most studied condition, it is worth noting that even at the early stages of MDA research, it was identified that an increased overall and partial pressure of methane correlated with an increased yield of benzene over otherwise identical reaction conditions </w:t>
      </w:r>
      <w:r>
        <w:rPr>
          <w:rFonts w:eastAsiaTheme="minorEastAsia"/>
        </w:rPr>
        <w:fldChar w:fldCharType="begin"/>
      </w:r>
      <w:r w:rsidR="00CA7A9D">
        <w:rPr>
          <w:rFonts w:eastAsiaTheme="minorEastAsia"/>
        </w:rPr>
        <w:instrText xml:space="preserve"> ADDIN ZOTERO_ITEM CSL_CITATION {"citationID":"nBkMLvEj","properties":{"formattedCitation":"[43], [45]","plainCitation":"[43], [45]","noteIndex":0},"citationItems":[{"id":608,"uris":["http://zotero.org/users/12063231/items/MLACFGR2"],"itemData":{"id":608,"type":"article-journal","abstract":"The dehydrogenation and aromatization of methane on modified ZSM-5 zeolite catalysts has been studied under non-oxidizing conditions with a fixed bed continuous-flow reactor and with a temperature programmed reactor. The results show that benzene is the only hydrocarbon product of the catalytic conversion of methane at high temperature (973 K). The catalytic activity of ZSM-5 is greatly improved by incorporating a metal cation (Mo or Zn). H2 and ethene have been directly detected in the products with a mass spectrometer during TPAR. A carbenium ion mechanism for the activation of methane is suggested.","container-title":"Catalysis Letters","DOI":"10.1007/BF00767368","ISSN":"1572-879X","issue":"1","journalAbbreviation":"Catal Lett","language":"en","page":"35-41","source":"Springer Link","title":"Dehydrogenation and aromatization of methane under non-oxidizing conditions","volume":"21","author":[{"family":"Wang","given":"Linsheng"},{"family":"Tao","given":"Longxiang"},{"family":"Xie","given":"Maosong"},{"family":"Xu","given":"Guifen"},{"family":"Huang","given":"Jiasheng"},{"family":"Xu","given":"Yide"}],"issued":{"date-parts":[["1993",3,1]]}}},{"id":654,"uris":["http://zotero.org/users/12063231/items/CWDE9EET"],"itemData":{"id":654,"type":"article-journal","abstract":"Non-oxidative methane dehydro-aromatization (MDA) over transitional metal-doped zeolites (i.e. ZSM-5) has a potential to be an alternative for methane transformation processes to higher hydrocarbons. Despite of systematic studies of the effects of the catalyst composition, preparation procedure, pretreatment, and the reaction conditions systematically followed since the pioneering works of the Chinese group in 1993, the suppression of fast deactivation of catalyst by coke deposition was still not solved successfully. In the present work the long-term MDA experiments at 973K and elevated pressures up to 600kPa were carried out with metal-doped Mo/ZSM-5 catalysts. Several Mo-based catalysts doped with various amount of Co, Mn, and Ce were prepared and tested in the MDA reaction. Experimental results are presented in terms of profiles of methane conversion as well as ethylene, benzene, and toluene concentrations as a function of time on stream, accompanied by the TGA analysis of the coke residue accumulated on the spent catalysts. The amount and nature of coke deposits which were influenced by introduction of different metals were also investigated. The Co content of 0.8wt% in Co-Mo/ZSM-5 catalyst was evaluated as optimal for total benzene production. Prolonged experiments showed the evident positive effect of higher reaction pressure on catalyst stability for all tested catalysts. Moreover, the Co–Mo/ZSM-5 catalyst showed better resistance to the deactivation by coke formation in comparison to Mo/ZSM-5 and M–Mo/ZSM-5 (where M=Mn, Ce) catalysts. In addition, the Ce-modified catalyst showed comparable higher production of toluene at elevated pressures.","collection-title":"CHISA CATALYSIS Selected proceedings, the CHISA congress, Prague, August 23-27, 2014","container-title":"Catalysis Today","DOI":"10.1016/j.cattod.2015.02.035","ISSN":"0920-5861","journalAbbreviation":"Catalysis Today","page":"269-275","source":"ScienceDirect","title":"Effect of addition of a second metal in Mo/ZSM-5 catalyst for methane aromatization reaction under elevated pressures","volume":"256","author":[{"family":"Fila","given":"Vlastimil"},{"family":"Bernauer","given":"Milan"},{"family":"Bernauer","given":"Bohumil"},{"family":"Sobalik","given":"Zdenek"}],"issued":{"date-parts":[["2015",11,1]]}}}],"schema":"https://github.com/citation-style-language/schema/raw/master/csl-citation.json"} </w:instrText>
      </w:r>
      <w:r>
        <w:rPr>
          <w:rFonts w:eastAsiaTheme="minorEastAsia"/>
        </w:rPr>
        <w:fldChar w:fldCharType="separate"/>
      </w:r>
      <w:r w:rsidR="00CA7A9D" w:rsidRPr="00CA7A9D">
        <w:rPr>
          <w:rFonts w:ascii="Aptos" w:hAnsi="Aptos"/>
        </w:rPr>
        <w:t>[43], [45]</w:t>
      </w:r>
      <w:r>
        <w:rPr>
          <w:rFonts w:eastAsiaTheme="minorEastAsia"/>
        </w:rPr>
        <w:fldChar w:fldCharType="end"/>
      </w:r>
      <w:r>
        <w:rPr>
          <w:rFonts w:eastAsiaTheme="minorEastAsia"/>
        </w:rPr>
        <w:t xml:space="preserve">. The maximum conversion and selectivity of benzene and aromatics has improved with catalyst development, with the current conversion rates around 12-18% and selectivity reaching up to 90% in fixed and fluid bed reactors </w:t>
      </w:r>
      <w:r>
        <w:rPr>
          <w:rFonts w:eastAsiaTheme="minorEastAsia"/>
        </w:rPr>
        <w:fldChar w:fldCharType="begin"/>
      </w:r>
      <w:r w:rsidR="00CA7A9D">
        <w:rPr>
          <w:rFonts w:eastAsiaTheme="minorEastAsia"/>
        </w:rPr>
        <w:instrText xml:space="preserve"> ADDIN ZOTERO_ITEM CSL_CITATION {"citationID":"a2g2tkumqet","properties":{"formattedCitation":"[41], [44], [46], [47], [48]","plainCitation":"[41], [44], [46], [47], [48]","noteIndex":0},"citationItems":[{"id":23,"uris":["http://zotero.org/users/12063231/items/G7L7NYZP"],"itemData":{"id":23,"type":"paper-conference","abstract":"Benzene is the most basic aromatic compound, which possesses diverse applications in the chemical industry. Benzene is mainly used as an intermediate chemical for styrene in the manufacturing of plastic materials. The benzene derivatives such as styrene, cumene, cyclohexane and nitrobenzene are the four most significant products, which are highly dependent on the benzene demand. However, there is a huge gap between the supply and demand of benzene, and fluctuation of the market price of benzene is also noticeable in recent years. Primarily, benzene is produced as a by-product especially from steam crackers, production of p-xylene and also in oil refineries. This caused the demand of benzene to follow strictly on gasoline, ethylene and also p-xylene in particular. Hence, in this review, three important benzene process pathways are studied and compared based on its economic, safety and environmental aspects in order to allow researchers to understand and able to compare different route of benzene production in terms of sustainability aspects for an on-purpose build of a benzene production plant, which is more economically viable. Three identified process are benzene from ethane (ETB), methane dehydroaromatization: Non-oxidative process (NO-MDA) and natural gas via Methanol synthesis (MTB). NO-MDA process was found to be the most sustainable process among the above. The processes are based on the decision matrix method.","source":"Semantic Scholar","title":"Review on Production of Benzene from Petroleum Associated Gas by Dehydroaromatization, Partial Oxidation on Methane and Methanol-to-Aromatics Processes","URL":"https://www.semanticscholar.org/paper/REVIEW-ON-PRODUCTION-OF-BENZENE-FROM-PETROLEUM-GAS-Nithyanandam-Mun/4fd0aff1b350c48b541f0c50b507f6c4965c278c","author":[{"family":"Nithyanandam","given":"R."},{"family":"Mun","given":"Yew Kar"},{"family":"Fong","given":"Tang Shin"},{"family":"Siew","given":"T. C."},{"family":"Yee","given":"Ong Sin"},{"family":"Ismail","given":"N."}],"accessed":{"date-parts":[["2023",10,18]]},"issued":{"date-parts":[["2019"]]}},"label":"page"},{"id":645,"uris":["http://zotero.org/users/12063231/items/4D8AAC9F"],"itemData":{"id":645,"type":"article-journal","abstract":"Development of highly effective catalysts for one-stage conversion of methane with high selectivity to valuable products and energy efficiency will provide an efficient way to utilize natural gas and oil-associated gases and to protect environment. In recent years, there have been many efforts on direct catalytic transformations of methane into higher hydrocarbons by feeding additives together with methane under non-oxidative conditions. This paper reviewed the advances in recent research on non-oxidative aromatization of methane in the presence of propane over different modified HZSM-5 catalysts. The thermodynamic consideration, the isotope verification and the mechanism of the activation of methane in the presence of propane are discussed in the paper in detail.","container-title":"Journal of Natural Gas Chemistry","DOI":"10.1016/S1003-9953(08)60127-9","ISSN":"1003-9953","issue":"3","journalAbbreviation":"Journal of Natural Gas Chemistry","page":"260-272","source":"ScienceDirect","title":"Energy-Efficient coaromatization of methane and propane","volume":"18","author":[{"family":"Guo","given":"Jianjun"},{"family":"Lou","given":"Hui"},{"family":"Zheng","given":"Xiaoming"}],"issued":{"date-parts":[["2009",9,1]]}}},{"id":648,"uris":["http://zotero.org/users/12063231/items/ACSTSIHW"],"itemData":{"id":648,"type":"thesis","event-place":"Liaoning, China","language":"English","number-of-pages":"204","publisher":"Otto von Guericke University","publisher-place":"Liaoning, China","title":"Methane Dehydro Aromatization: Thermodynamics, Catalysts, Kinetics, and Potential of Membrane Reactors","URL":"https://d-nb.info/1078066469/34","author":[{"family":"Gao","given":"Kaidi"}],"accessed":{"date-parts":[["2023",12,11]]},"issued":{"date-parts":[["2015",8,7]]}}},{"id":192,"uris":["http://zotero.org/users/12063231/items/9XGB4DRB"],"itemData":{"id":192,"type":"article-journal","abstract":"The efficient use of natural gas will require catalysts that can activate the first C–H bond of methane while suppressing complete dehydrogenation and avoiding overoxidation. We report that single iron sites embedded in a silica matrix enable direct, nonoxidative conversion of methane, exclusively to ethylene and aromatics. The reaction is initiated by catalytic generation of methyl radicals, followed by a series of gas-phase reactions. The absence of adjacent iron sites prevents catalytic C-C coupling, further oligomerization, and hence, coke deposition. At 1363 kelvin, methane conversion reached a maximum at 48.1% and ethylene selectivity peaked at 48.4%, whereas the total hydrocarbon selectivity exceeded 99%, representing an atom-economical transformation process of methane. The lattice-confined single iron sites delivered stable performance, with no deactivation observed during a 60-hour test.","container-title":"Science","DOI":"10.1126/science.1253150","issue":"6184","note":"publisher: American Association for the Advancement of Science","page":"616-619","source":"science.org (Atypon)","title":"Direct, Nonoxidative Conversion of Methane to Ethylene, Aromatics, and Hydrogen","volume":"344","author":[{"family":"Guo","given":"Xiaoguang"},{"family":"Fang","given":"Guangzong"},{"family":"Li","given":"Gang"},{"family":"Ma","given":"Hao"},{"family":"Fan","given":"Hongjun"},{"family":"Yu","given":"Liang"},{"family":"Ma","given":"Chao"},{"family":"Wu","given":"Xing"},{"family":"Deng","given":"Dehui"},{"family":"Wei","given":"Mingming"},{"family":"Tan","given":"Dali"},{"family":"Si","given":"Rui"},{"family":"Zhang","given":"Shuo"},{"family":"Li","given":"Jianqi"},{"family":"Sun","given":"Litao"},{"family":"Tang","given":"Zichao"},{"family":"Pan","given":"Xiulian"},{"family":"Bao","given":"Xinhe"}],"issued":{"date-parts":[["2014",5,9]]}}},{"id":638,"uris":["http://zotero.org/users/12063231/items/FUNE49BF"],"itemData":{"id":638,"type":"article-journal","abstract":"Non-oxidative dehydroaromatization is arguably the most promising process for the direct upgrading of cheap and abundant methane to liquid hydrocarbons. This reaction has not been commercialized yet because of the suboptimal activity and swift deactivation of benchmark Mo-zeolite catalysts. This progress report represents an elaboration on the recent developments in understanding of zeolite-based catalytic materials for high-temperature non-oxidative dehydroaromatization of methane. It is specifically focused on recent studies, relevant to the materials chemistry and elucidating i) the structure of active species in working catalysts; ii) the complex molecular pathways underlying the mechanism of selective conversion of methane to benzene; iii) structure, evolution and role of coke species; and iv) process intensification strategies to improve the deactivation resistance and overall performance of the catalysts. Finally, unsolved challenges in this field of research are outlined and an outlook is provided on promising directions toward improving the activity, stability, and selectivity of methane dehydroaromatization catalysts.","container-title":"Advanced Materials","DOI":"10.1002/adma.202002565","ISSN":"1521-4095","issue":"44","language":"en","license":"© 2020 The Authors. Published by WILEY-VCH Verlag GmbH &amp; Co. KGaA, Weinheim","note":"_eprint: https://onlinelibrary.wiley.com/doi/pdf/10.1002/adma.202002565","page":"2002565","source":"Wiley Online Library","title":"Reactivity, Selectivity, and Stability of Zeolite-Based Catalysts for Methane Dehydroaromatization","volume":"32","author":[{"family":"Kosinov","given":"Nikolay"},{"family":"Hensen","given":"Emiel J. M."}],"issued":{"date-parts":[["2020"]]}}}],"schema":"https://github.com/citation-style-language/schema/raw/master/csl-citation.json"} </w:instrText>
      </w:r>
      <w:r>
        <w:rPr>
          <w:rFonts w:eastAsiaTheme="minorEastAsia"/>
        </w:rPr>
        <w:fldChar w:fldCharType="separate"/>
      </w:r>
      <w:r w:rsidR="00CA7A9D" w:rsidRPr="00CA7A9D">
        <w:rPr>
          <w:rFonts w:ascii="Aptos" w:hAnsi="Aptos"/>
        </w:rPr>
        <w:t>[41], [44], [46], [47], [48]</w:t>
      </w:r>
      <w:r>
        <w:rPr>
          <w:rFonts w:eastAsiaTheme="minorEastAsia"/>
        </w:rPr>
        <w:fldChar w:fldCharType="end"/>
      </w:r>
      <w:r>
        <w:rPr>
          <w:rFonts w:eastAsiaTheme="minorEastAsia"/>
        </w:rPr>
        <w:t xml:space="preserve">. </w:t>
      </w:r>
    </w:p>
    <w:p w14:paraId="342FF222" w14:textId="77777777" w:rsidR="00E170BA" w:rsidRDefault="00E170BA" w:rsidP="00E170BA">
      <w:pPr>
        <w:pStyle w:val="Heading3"/>
      </w:pPr>
      <w:bookmarkStart w:id="32" w:name="_Toc156393740"/>
      <w:bookmarkStart w:id="33" w:name="_Toc165641056"/>
      <w:r>
        <w:t>2.2.4 Reaction Mechanisms</w:t>
      </w:r>
      <w:bookmarkEnd w:id="32"/>
      <w:bookmarkEnd w:id="33"/>
    </w:p>
    <w:p w14:paraId="2E68D5C0" w14:textId="2655D915" w:rsidR="00E170BA" w:rsidRDefault="00E170BA" w:rsidP="00E170BA">
      <w:r>
        <w:t xml:space="preserve">Various researchers have had differing opinions on the exact reaction steps, </w:t>
      </w:r>
      <w:proofErr w:type="gramStart"/>
      <w:r>
        <w:t>mechanisms</w:t>
      </w:r>
      <w:proofErr w:type="gramEnd"/>
      <w:r>
        <w:t xml:space="preserve"> and kinetics of MDA, but there have been several consistent findings </w:t>
      </w:r>
      <w:r>
        <w:lastRenderedPageBreak/>
        <w:t xml:space="preserve">throughout the available data. A few of these can be consolidated into the following points </w:t>
      </w:r>
      <w:r>
        <w:fldChar w:fldCharType="begin"/>
      </w:r>
      <w:r w:rsidR="00CA7A9D">
        <w:instrText xml:space="preserve"> ADDIN ZOTERO_ITEM CSL_CITATION {"citationID":"ahbf4k4r3p","properties":{"formattedCitation":"[38], [41], [42], [43], [44], [46], [47], [48], [49], [50]","plainCitation":"[38], [41], [42], [43], [44], [46], [47], [48], [49], [50]","noteIndex":0},"citationItems":[{"id":627,"uris":["http://zotero.org/users/12063231/items/FZVH2F99"],"itemData":{"id":627,"type":"article-journal","abstract":"Direct conversion of methane to benzene or other valuable chemicals is...","container-title":"Journal of Energy Chemistry","ISSN":"2095-4956","issue":"1","language":"en","page":"1","source":"www.jenergychem.com","title":"Recent progress in methane dehydroaromatization: From laboratory curiosities to promising technology","title-short":"Recent progress in methane dehydroaromatization","volume":"22","author":[{"family":"Ma","given":"Shuqi"},{"family":"Guo","given":"Xiaoguang"},{"family":"Zhao","given":"Lingxiao"},{"family":"Scott","given":"Susannah"},{"family":"Bao*","given":"Xinhe"}],"issued":{"date-parts":[["2013",1,20]]}}},{"id":648,"uris":["http://zotero.org/users/12063231/items/ACSTSIHW"],"itemData":{"id":648,"type":"thesis","event-place":"Liaoning, China","language":"English","number-of-pages":"204","publisher":"Otto von Guericke University","publisher-place":"Liaoning, China","title":"Methane Dehydro Aromatization: Thermodynamics, Catalysts, Kinetics, and Potential of Membrane Reactors","URL":"https://d-nb.info/1078066469/34","author":[{"family":"Gao","given":"Kaidi"}],"accessed":{"date-parts":[["2023",12,11]]},"issued":{"date-parts":[["2015",8,7]]}}},{"id":649,"uris":["http://zotero.org/users/12063231/items/TKPC25DD"],"itemData":{"id":649,"type":"article-journal","abstract":"The direct partial oxidation (DPO) of CH4 with O2 in the presence of a C3 additive over HZSM-5 zeolite catalyst at 960 psig produced C5+ liquid hydrocarbons at the expense of the initially formed CH30H. Previous experiments with pure CH4 and Oz feed and with a sand-packed reactor conclusively showed the need for both the C3 additive and the zeolite in the system to produce C5+ liquids. Evidence of CH4 incorporation into the liquid products was given by selectivity calculations which indicated the C3 alone could not account for the CS hydrocarbons. CH4 incorporation has been conclusively confirmed by mass spectral analyses of tetramethylbenzene produced in a run with 13CH4 under identical conditions which show significant 13C enrichment in the C9H11+ and C6H5+ fragments. While CH4 undergoes DPO to CH30H in the system, two possible reaction mechanisms can explain the role of C3; one involves initiation of methanol conversion to gasoline (MTG) by alkenes and the second involves C3 aromatization followed by aromatics alkylation with CH30H. Studies on this system with HZSM-5 catalysts having varying Al contents indicate a sensitivity to zeolite acidity except at high Al concentrations.","container-title":"Journal of Catalysis","DOI":"10.1016/0021-9517(92)90087-X","ISSN":"0021-9517","issue":"2","journalAbbreviation":"Journal of Catalysis","page":"578-583","source":"ScienceDirect","title":"The direct partial oxidation of methane to liquid hydrocarbons over HZSM-5 zeolite catalyst","volume":"136","author":[{"family":"Han","given":"S."},{"family":"Martenak","given":"D. J."},{"family":"Palermo","given":"R. E."},{"family":"Pearson","given":"J. A."},{"family":"Walsh","given":"D. E."}],"issued":{"date-parts":[["1992",8,1]]}}},{"id":608,"uris":["http://zotero.org/users/12063231/items/MLACFGR2"],"itemData":{"id":608,"type":"article-journal","abstract":"The dehydrogenation and aromatization of methane on modified ZSM-5 zeolite catalysts has been studied under non-oxidizing conditions with a fixed bed continuous-flow reactor and with a temperature programmed reactor. The results show that benzene is the only hydrocarbon product of the catalytic conversion of methane at high temperature (973 K). The catalytic activity of ZSM-5 is greatly improved by incorporating a metal cation (Mo or Zn). H2 and ethene have been directly detected in the products with a mass spectrometer during TPAR. A carbenium ion mechanism for the activation of methane is suggested.","container-title":"Catalysis Letters","DOI":"10.1007/BF00767368","ISSN":"1572-879X","issue":"1","journalAbbreviation":"Catal Lett","language":"en","page":"35-41","source":"Springer Link","title":"Dehydrogenation and aromatization of methane under non-oxidizing conditions","volume":"21","author":[{"family":"Wang","given":"Linsheng"},{"family":"Tao","given":"Longxiang"},{"family":"Xie","given":"Maosong"},{"family":"Xu","given":"Guifen"},{"family":"Huang","given":"Jiasheng"},{"family":"Xu","given":"Yide"}],"issued":{"date-parts":[["1993",3,1]]}}},{"id":23,"uris":["http://zotero.org/users/12063231/items/G7L7NYZP"],"itemData":{"id":23,"type":"paper-conference","abstract":"Benzene is the most basic aromatic compound, which possesses diverse applications in the chemical industry. Benzene is mainly used as an intermediate chemical for styrene in the manufacturing of plastic materials. The benzene derivatives such as styrene, cumene, cyclohexane and nitrobenzene are the four most significant products, which are highly dependent on the benzene demand. However, there is a huge gap between the supply and demand of benzene, and fluctuation of the market price of benzene is also noticeable in recent years. Primarily, benzene is produced as a by-product especially from steam crackers, production of p-xylene and also in oil refineries. This caused the demand of benzene to follow strictly on gasoline, ethylene and also p-xylene in particular. Hence, in this review, three important benzene process pathways are studied and compared based on its economic, safety and environmental aspects in order to allow researchers to understand and able to compare different route of benzene production in terms of sustainability aspects for an on-purpose build of a benzene production plant, which is more economically viable. Three identified process are benzene from ethane (ETB), methane dehydroaromatization: Non-oxidative process (NO-MDA) and natural gas via Methanol synthesis (MTB). NO-MDA process was found to be the most sustainable process among the above. The processes are based on the decision matrix method.","source":"Semantic Scholar","title":"Review on Production of Benzene from Petroleum Associated Gas by Dehydroaromatization, Partial Oxidation on Methane and Methanol-to-Aromatics Processes","URL":"https://www.semanticscholar.org/paper/REVIEW-ON-PRODUCTION-OF-BENZENE-FROM-PETROLEUM-GAS-Nithyanandam-Mun/4fd0aff1b350c48b541f0c50b507f6c4965c278c","author":[{"family":"Nithyanandam","given":"R."},{"family":"Mun","given":"Yew Kar"},{"family":"Fong","given":"Tang Shin"},{"family":"Siew","given":"T. C."},{"family":"Yee","given":"Ong Sin"},{"family":"Ismail","given":"N."}],"accessed":{"date-parts":[["2023",10,18]]},"issued":{"date-parts":[["2019"]]}}},{"id":645,"uris":["http://zotero.org/users/12063231/items/4D8AAC9F"],"itemData":{"id":645,"type":"article-journal","abstract":"Development of highly effective catalysts for one-stage conversion of methane with high selectivity to valuable products and energy efficiency will provide an efficient way to utilize natural gas and oil-associated gases and to protect environment. In recent years, there have been many efforts on direct catalytic transformations of methane into higher hydrocarbons by feeding additives together with methane under non-oxidative conditions. This paper reviewed the advances in recent research on non-oxidative aromatization of methane in the presence of propane over different modified HZSM-5 catalysts. The thermodynamic consideration, the isotope verification and the mechanism of the activation of methane in the presence of propane are discussed in the paper in detail.","container-title":"Journal of Natural Gas Chemistry","DOI":"10.1016/S1003-9953(08)60127-9","ISSN":"1003-9953","issue":"3","journalAbbreviation":"Journal of Natural Gas Chemistry","page":"260-272","source":"ScienceDirect","title":"Energy-Efficient coaromatization of methane and propane","volume":"18","author":[{"family":"Guo","given":"Jianjun"},{"family":"Lou","given":"Hui"},{"family":"Zheng","given":"Xiaoming"}],"issued":{"date-parts":[["2009",9,1]]}}},{"id":192,"uris":["http://zotero.org/users/12063231/items/9XGB4DRB"],"itemData":{"id":192,"type":"article-journal","abstract":"The efficient use of natural gas will require catalysts that can activate the first C–H bond of methane while suppressing complete dehydrogenation and avoiding overoxidation. We report that single iron sites embedded in a silica matrix enable direct, nonoxidative conversion of methane, exclusively to ethylene and aromatics. The reaction is initiated by catalytic generation of methyl radicals, followed by a series of gas-phase reactions. The absence of adjacent iron sites prevents catalytic C-C coupling, further oligomerization, and hence, coke deposition. At 1363 kelvin, methane conversion reached a maximum at 48.1% and ethylene selectivity peaked at 48.4%, whereas the total hydrocarbon selectivity exceeded 99%, representing an atom-economical transformation process of methane. The lattice-confined single iron sites delivered stable performance, with no deactivation observed during a 60-hour test.","container-title":"Science","DOI":"10.1126/science.1253150","issue":"6184","note":"publisher: American Association for the Advancement of Science","page":"616-619","source":"science.org (Atypon)","title":"Direct, Nonoxidative Conversion of Methane to Ethylene, Aromatics, and Hydrogen","volume":"344","author":[{"family":"Guo","given":"Xiaoguang"},{"family":"Fang","given":"Guangzong"},{"family":"Li","given":"Gang"},{"family":"Ma","given":"Hao"},{"family":"Fan","given":"Hongjun"},{"family":"Yu","given":"Liang"},{"family":"Ma","given":"Chao"},{"family":"Wu","given":"Xing"},{"family":"Deng","given":"Dehui"},{"family":"Wei","given":"Mingming"},{"family":"Tan","given":"Dali"},{"family":"Si","given":"Rui"},{"family":"Zhang","given":"Shuo"},{"family":"Li","given":"Jianqi"},{"family":"Sun","given":"Litao"},{"family":"Tang","given":"Zichao"},{"family":"Pan","given":"Xiulian"},{"family":"Bao","given":"Xinhe"}],"issued":{"date-parts":[["2014",5,9]]}}},{"id":623,"uris":["http://zotero.org/users/12063231/items/ZRVDAVCY"],"itemData":{"id":623,"type":"chapter","abstract":"This chapter explores the methane dehydroaromatization and oxidative coupling of methane reactions, the two direct methods of activating methane. The most promising catalysts for achieving the highest methane conversions and desired selectivities are discussed, with an emphasis on catalytic active sites and elucidated mechanisms by researchers over the last three decades. For the methane dehydroaromatization reaction, the role of Mo and acid sites on the most promising Mo/HZSM-5 catalyst are discussed in detail, whereas the Na2WO4-Mn/SiO2 catalyst is discussed in detail for the oxidative coupling of methane reaction. This chapter also grants the reader an insight into the various characterization techniques employed in this field when researchers attempt to understand the complexities of these reactions and the specific roles that some active sites may play. While commercialization of these technologies remains out of reach, the efforts highlighted in this chapter shed some light on the progress that has been made and exemplify the feasibility of direct methane utilization.","container-title":"Methane Activation and Utilization in the Petrochemical and Biofuel Industries","event-place":"Cham","ISBN":"978-3-030-88424-6","language":"en","note":"DOI: 10.1007/978-3-030-88424-6_3","page":"43-69","publisher":"Springer International Publishing","publisher-place":"Cham","source":"Springer Link","title":"Direct Systems: Methane Dehydroaromatization (MDA) and the Oxidative Coupling of Methane (OCM)","title-short":"Direct Systems","URL":"https://doi.org/10.1007/978-3-030-88424-6_3","author":[{"family":"Song","given":"Hua"},{"family":"Jarvis","given":"Jack"},{"family":"Meng","given":"Shijun"},{"family":"Xu","given":"Hao"},{"family":"Li","given":"Zhaofei"},{"family":"Li","given":"Wenping"}],"editor":[{"family":"Song","given":"Hua"},{"family":"Jarvis","given":"Jack"},{"family":"Meng","given":"Shijun"},{"family":"Xu","given":"Hao"},{"family":"Li","given":"Zhaofei"},{"family":"Li","given":"Wenping"}],"accessed":{"date-parts":[["2023",12,9]]},"issued":{"date-parts":[["2022"]]}}},{"id":624,"uris":["http://zotero.org/users/12063231/items/YQYI8YM2"],"itemData":{"id":624,"type":"article-journal","abstract":"Methane dehydroaromatization is a promising reaction for the direct conversion of methane to liquid hydrocarbons. The active sites and the mechanism of this reaction remain controversial. This work is focused on the operando X-ray absorption near edge structure spectroscopy analysis of conventional Mo/ZSM-5 catalysts during their whole lifetime. Complemented by other characterization techniques, we derived spectroscopic descriptors of molybdenum precursor decomposition and its exchange with zeolite Brønsted acid sites. We found that the reduction of Mo-species proceeds in two steps and the active sites are of similar nature, regardless of the Mo content. Furthermore, the ZSM-5 unit cell contracts at the beginning of the reaction, which coincides with benzene formation and it is likely related to the formation of hydrocarbon pool intermediates. Finally, although reductive regeneration of used catalysts via methanation is less effective as compared to combustion of coke, it does not affect the structure of the catalysts.","container-title":"Chemistry – A European Journal","DOI":"10.1002/chem.202103894","ISSN":"1521-3765","issue":"5","language":"en","license":"© 2021 The Authors. Chemistry - A European Journal published by Wiley-VCH GmbH","note":"_eprint: https://onlinelibrary.wiley.com/doi/pdf/10.1002/chem.202103894","page":"e202103894","source":"Wiley Online Library","title":"Understanding the Preparation and Reactivity of Mo/ZSM-5 Methane Dehydroaromatization Catalysts","volume":"28","author":[{"family":"Liu","given":"Yujie"},{"family":"Zhang","given":"Hao"},{"family":"Wijpkema","given":"Alexandra S. G."},{"family":"Coumans","given":"Ferdy J. A. G."},{"family":"Meng","given":"Lingqian"},{"family":"Uslamin","given":"Evgeny A."},{"family":"Longo","given":"Alessandro"},{"family":"Hensen","given":"Emiel J. M."},{"family":"Kosinov","given":"Nikolay"}],"issued":{"date-parts":[["2022"]]}}},{"id":638,"uris":["http://zotero.org/users/12063231/items/FUNE49BF"],"itemData":{"id":638,"type":"article-journal","abstract":"Non-oxidative dehydroaromatization is arguably the most promising process for the direct upgrading of cheap and abundant methane to liquid hydrocarbons. This reaction has not been commercialized yet because of the suboptimal activity and swift deactivation of benchmark Mo-zeolite catalysts. This progress report represents an elaboration on the recent developments in understanding of zeolite-based catalytic materials for high-temperature non-oxidative dehydroaromatization of methane. It is specifically focused on recent studies, relevant to the materials chemistry and elucidating i) the structure of active species in working catalysts; ii) the complex molecular pathways underlying the mechanism of selective conversion of methane to benzene; iii) structure, evolution and role of coke species; and iv) process intensification strategies to improve the deactivation resistance and overall performance of the catalysts. Finally, unsolved challenges in this field of research are outlined and an outlook is provided on promising directions toward improving the activity, stability, and selectivity of methane dehydroaromatization catalysts.","container-title":"Advanced Materials","DOI":"10.1002/adma.202002565","ISSN":"1521-4095","issue":"44","language":"en","license":"© 2020 The Authors. Published by WILEY-VCH Verlag GmbH &amp; Co. KGaA, Weinheim","note":"_eprint: https://onlinelibrary.wiley.com/doi/pdf/10.1002/adma.202002565","page":"2002565","source":"Wiley Online Library","title":"Reactivity, Selectivity, and Stability of Zeolite-Based Catalysts for Methane Dehydroaromatization","volume":"32","author":[{"family":"Kosinov","given":"Nikolay"},{"family":"Hensen","given":"Emiel J. M."}],"issued":{"date-parts":[["2020"]]}}}],"schema":"https://github.com/citation-style-language/schema/raw/master/csl-citation.json"} </w:instrText>
      </w:r>
      <w:r>
        <w:fldChar w:fldCharType="separate"/>
      </w:r>
      <w:r w:rsidR="00CA7A9D" w:rsidRPr="00CA7A9D">
        <w:rPr>
          <w:rFonts w:ascii="Aptos" w:hAnsi="Aptos"/>
        </w:rPr>
        <w:t>[38], [41], [42], [43], [44], [46], [47], [48], [49], [50]</w:t>
      </w:r>
      <w:r>
        <w:fldChar w:fldCharType="end"/>
      </w:r>
      <w:r>
        <w:t>:</w:t>
      </w:r>
    </w:p>
    <w:p w14:paraId="06DCE099" w14:textId="77777777" w:rsidR="00E170BA" w:rsidRDefault="00E170BA" w:rsidP="00E170BA">
      <w:pPr>
        <w:pStyle w:val="ListParagraph"/>
        <w:numPr>
          <w:ilvl w:val="0"/>
          <w:numId w:val="4"/>
        </w:numPr>
        <w:spacing w:after="160" w:line="360" w:lineRule="auto"/>
      </w:pPr>
      <w:r>
        <w:t>Mo/ZSM-5 (or Mo/HZSM5) works as a bi-functional catalyst, i.e. there are two active reaction sites.</w:t>
      </w:r>
    </w:p>
    <w:p w14:paraId="62A109BF" w14:textId="77777777" w:rsidR="00E170BA" w:rsidRDefault="00E170BA" w:rsidP="00E170BA">
      <w:pPr>
        <w:pStyle w:val="ListParagraph"/>
        <w:numPr>
          <w:ilvl w:val="0"/>
          <w:numId w:val="4"/>
        </w:numPr>
        <w:spacing w:after="160" w:line="360" w:lineRule="auto"/>
      </w:pPr>
      <w:r>
        <w:t xml:space="preserve">At the beginning of the reaction, there is an induction period wherein </w:t>
      </w:r>
      <w:proofErr w:type="spellStart"/>
      <w:r>
        <w:t>MoO</w:t>
      </w:r>
      <w:r>
        <w:softHyphen/>
      </w:r>
      <w:r>
        <w:rPr>
          <w:vertAlign w:val="subscript"/>
        </w:rPr>
        <w:t>x</w:t>
      </w:r>
      <w:proofErr w:type="spellEnd"/>
      <w:r>
        <w:t xml:space="preserve"> species are reduced to Mo</w:t>
      </w:r>
      <w:r>
        <w:softHyphen/>
      </w:r>
      <w:r>
        <w:rPr>
          <w:vertAlign w:val="subscript"/>
        </w:rPr>
        <w:t>2</w:t>
      </w:r>
      <w:r>
        <w:t xml:space="preserve">C or </w:t>
      </w:r>
      <w:proofErr w:type="spellStart"/>
      <w:r>
        <w:t>MoO</w:t>
      </w:r>
      <w:r>
        <w:rPr>
          <w:vertAlign w:val="subscript"/>
        </w:rPr>
        <w:t>x</w:t>
      </w:r>
      <w:r>
        <w:t>C</w:t>
      </w:r>
      <w:r>
        <w:rPr>
          <w:vertAlign w:val="subscript"/>
        </w:rPr>
        <w:t>y</w:t>
      </w:r>
      <w:proofErr w:type="spellEnd"/>
      <w:r>
        <w:t xml:space="preserve"> by methane. </w:t>
      </w:r>
    </w:p>
    <w:p w14:paraId="56FFDF1E" w14:textId="77777777" w:rsidR="00E170BA" w:rsidRDefault="00E170BA" w:rsidP="00E170BA">
      <w:pPr>
        <w:pStyle w:val="ListParagraph"/>
        <w:numPr>
          <w:ilvl w:val="0"/>
          <w:numId w:val="4"/>
        </w:numPr>
        <w:spacing w:after="160" w:line="360" w:lineRule="auto"/>
      </w:pPr>
      <w:r>
        <w:t>Coke formation occurs quickly on the catalyst leading to catalyst deactivation, especially at higher temperatures.</w:t>
      </w:r>
    </w:p>
    <w:p w14:paraId="311F6FF8" w14:textId="05261ED4" w:rsidR="00E170BA" w:rsidRDefault="00E170BA" w:rsidP="00E170BA">
      <w:r>
        <w:t xml:space="preserve">Attempts to define a reaction rate and kinetics for MDA are merely theoretical up to this point, with various researchers coming to differing conclusions. This is primarily because the identity, standard Gibbs energy, and surface coverages of the intermediate species are not able to be determined experimentally since the reaction steps are not distinguishable in steady state </w:t>
      </w:r>
      <w:r>
        <w:fldChar w:fldCharType="begin"/>
      </w:r>
      <w:r w:rsidR="00CA7A9D">
        <w:instrText xml:space="preserve"> ADDIN ZOTERO_ITEM CSL_CITATION {"citationID":"zQQ96nLt","properties":{"formattedCitation":"[51]","plainCitation":"[51]","noteIndex":0},"citationItems":[{"id":658,"uris":["http://zotero.org/users/12063231/items/ULPEJA2R"],"itemData":{"id":658,"type":"article-journal","abstract":"Acetylene is identified as a key intermediate in methane dehydroaromatization (DHA) reactions present in concentrations O(1) Pascal. The rank of acetylene and other C2 hydrocarbon intermediates is determined by conversion-selectivity profiles collected from 0.01% to 8% methane conversion varied by extent of “non-selective” deactivation of Mo/H-ZSM-5 catalysts. Ethane is shown to be the sole primary product of methane pyrolysis and is sequentially dehydrogenated to ethylene and acetylene – which aromatizes to benzene with rates similar to direct acetylene aromatization measured in the absence of methane. The influence of CH cleavage and CC coupling events to control the rate and reversibility of DHA is assessed by the degree of reversibility control, introduced here for the first time, and the degree of rate control. The approach to equilibrium of the methane to benzene synthesis reaction is length averaged and affinity averaged by the degree of reversibility control of each intervening elementary step to rigorously calculate forward rates of benzene synthesis by use of De Donder relations. Forward rates are found to be invariant along the catalyst bed once the DHA network reaches a pseudo-steady state and methane, ethane, and ethylene form an equilibrated pool.","container-title":"Journal of Catalysis","DOI":"10.1016/j.jcat.2019.11.004","ISSN":"0021-9517","journalAbbreviation":"Journal of Catalysis","page":"261-270","source":"ScienceDirect","title":"Influence of ethylene and acetylene on the rate and reversibility of methane dehydroaromatization on Mo/H-ZSM-5 catalysts","volume":"381","author":[{"family":"Razdan","given":"Neil K."},{"family":"Kumar","given":"Anurag"},{"family":"Foley","given":"Brandon L."},{"family":"Bhan","given":"Aditya"}],"issued":{"date-parts":[["2020",1,1]]}}}],"schema":"https://github.com/citation-style-language/schema/raw/master/csl-citation.json"} </w:instrText>
      </w:r>
      <w:r>
        <w:fldChar w:fldCharType="separate"/>
      </w:r>
      <w:r w:rsidR="00CA7A9D" w:rsidRPr="00CA7A9D">
        <w:rPr>
          <w:rFonts w:ascii="Aptos" w:hAnsi="Aptos"/>
        </w:rPr>
        <w:t>[51]</w:t>
      </w:r>
      <w:r>
        <w:fldChar w:fldCharType="end"/>
      </w:r>
      <w:r>
        <w:t xml:space="preserve">. Instead, pulsed reaction techniques </w:t>
      </w:r>
      <w:r w:rsidR="006B3467">
        <w:t>are</w:t>
      </w:r>
      <w:r>
        <w:t xml:space="preserve"> combined with quasi-in-situ spectroscopic characterization to definitively outline 3 primary reaction stages </w:t>
      </w:r>
      <w:r>
        <w:fldChar w:fldCharType="begin"/>
      </w:r>
      <w:r w:rsidR="00CA7A9D">
        <w:instrText xml:space="preserve"> ADDIN ZOTERO_ITEM CSL_CITATION {"citationID":"XzPXg9bi","properties":{"formattedCitation":"[52], [53], [54]","plainCitation":"[52], [53], [54]","noteIndex":0},"citationItems":[{"id":670,"uris":["http://zotero.org/users/12063231/items/9EU8XXYV"],"itemData":{"id":670,"type":"article-journal","abstract":"Surface carbon (coke, carbonaceous deposits) is an integral aspect of methane dehydroaromatization catalyzed by Mo/zeolites. We investigated the evolution of surface carbon species from the beginning of the induction period until the complete catalyst deactivation by the pulse reaction technique, TGA, 13C NMR, TEM, and XPS. Isotope labeling was performed to confirm the catalytic role of confined carbon species during MDA. It was found that “hard” and “soft” coke distinction is mainly related to the location of coke species inside the pores and on the external surface, respectively. In addition, MoO3 species act as an active oxidation catalyst, reducing the combustion temperature of a certain fraction of coke. Furthermore, after dissolving the zeolite framework by HF, we found that coke formed during the MDA reaction inside the zeolite pores is essentially a zeolite-templated carbon material. The possibility of preparing zeolite-templated carbons from the most available hydrocarbon feedstock is important for the development of these interesting materials.","container-title":"ACS Catalysis","DOI":"10.1021/acscatal.8b02491","issue":"9","journalAbbreviation":"ACS Catal.","note":"publisher: American Chemical Society","page":"8459-8467","source":"ACS Publications","title":"Structure and Evolution of Confined Carbon Species during Methane Dehydroaromatization over Mo/ZSM-5","volume":"8","author":[{"family":"Kosinov","given":"Nikolay"},{"family":"Uslamin","given":"Evgeny A."},{"family":"Coumans","given":"Ferdy J. A. G."},{"family":"Wijpkema","given":"Alexandra S. G."},{"family":"Rohling","given":"Roderigh Y."},{"family":"Hensen","given":"Emiel J. M."}],"issued":{"date-parts":[["2018",9,7]]}}},{"id":667,"uris":["http://zotero.org/users/12063231/items/ISX52IFF"],"itemData":{"id":667,"type":"article-journal","abstract":"Non-oxidative dehydroaromatization of methane (MDA) is a promising catalytic process for direct valorization of natural gas to liquid hydrocarbons. The application of this reaction in practical technology is hindered by a lack of understanding about the mechanism and nature of the active sites in benchmark zeolite-based Mo/ZSM-5 catalysts, which precludes the solution of problems such as rapid catalyst deactivation. By applying spectroscopy and microscopy, it is shown that the active centers in Mo/ZSM-5 are partially reduced single-atom Mo sites stabilized by the zeolite framework. By combining a pulse reaction technique with isotope labeling of methane, MDA is shown to be governed by a hydrocarbon pool mechanism in which benzene is derived from secondary reactions of confined polyaromatic carbon species with the initial products of methane activation.","container-title":"Angewandte Chemie International Edition","DOI":"10.1002/anie.201711098","ISSN":"1521-3773","issue":"4","language":"en","license":"© 2018 The Authors. Published by Wiley-VCH Verlag GmbH &amp; Co. KGaA.","note":"_eprint: https://onlinelibrary.wiley.com/doi/pdf/10.1002/anie.201711098","page":"1016-1020","source":"Wiley Online Library","title":"Confined Carbon Mediating Dehydroaromatization of Methane over Mo/ZSM-5","volume":"57","author":[{"family":"Kosinov","given":"Nikolay"},{"family":"Wijpkema","given":"Alexandra S. G."},{"family":"Uslamin","given":"Evgeny"},{"family":"Rohling","given":"Roderigh"},{"family":"Coumans","given":"Ferdy J. A. G."},{"family":"Mezari","given":"Brahim"},{"family":"Parastaev","given":"Alexander"},{"family":"Poryvaev","given":"Artem S."},{"family":"Fedin","given":"Matvey V."},{"family":"Pidko","given":"Evgeny A."},{"family":"Hensen","given":"Emiel J. M."}],"issued":{"date-parts":[["2018"]]}}},{"id":603,"uris":["http://zotero.org/users/12063231/items/U3JFYFA9"],"itemData":{"id":603,"type":"article-journal","abstract":"The investigations on transformation of methane to benzene and naphthalene have been carried out in aim to verify and supplement earlier reported data and on this basis to estimate real industrial perspectives of the CH4 aromatization concept, the main challenges and barriers. Methane aromatization (direct and via oxidative coupling) has been studied over Mo/HZSM-5 catalyst used both for direct methane dehydroaromatization and for aromatization of methane oxidative coupling (OCM) products. The effects of Mo content in the catalyst, temperature, space velocity, the presence of CO2, CO, H2O, C2H4, C2H6 and their mixtures in the feed have been studied. The effectiveness of the catalyst regeneration in the air was also examined. All results were confronted with the literature data and analyzed from technological point of view. It was confirmed that direct CH4 aromatization process was characterized by a low CH4 single-pass conversion, low single-pass yields of the main products (benzene, hydrogen and naphthalene) and a low catalyst stability (rapid catalyst deactivation). Various possible technological schemes were analyzed. It was concluded that real industrial chances of direct methane aromatization or aromatization via OCM would depend largely on the advancement in the cost-effective separation techniques. The methane aromatization concept was also confronted with other methane conversion processes.","container-title":"Fuel Processing Technology","DOI":"10.1016/j.fuproc.2005.12.001","ISSN":"0378-3820","issue":"6","journalAbbreviation":"Fuel Processing Technology","page":"511-521","source":"ScienceDirect","title":"Some technological aspects of methane aromatization (direct and via oxidative coupling)","volume":"87","author":[{"family":"Skutil","given":"Krzysztof"},{"family":"Taniewski","given":"Marian"}],"issued":{"date-parts":[["2006",6,1]]}}}],"schema":"https://github.com/citation-style-language/schema/raw/master/csl-citation.json"} </w:instrText>
      </w:r>
      <w:r>
        <w:fldChar w:fldCharType="separate"/>
      </w:r>
      <w:r w:rsidR="00CA7A9D" w:rsidRPr="00CA7A9D">
        <w:rPr>
          <w:rFonts w:ascii="Aptos" w:hAnsi="Aptos"/>
        </w:rPr>
        <w:t>[52], [53], [54]</w:t>
      </w:r>
      <w:r>
        <w:fldChar w:fldCharType="end"/>
      </w:r>
      <w:r>
        <w:t>.</w:t>
      </w:r>
    </w:p>
    <w:p w14:paraId="1E17506B" w14:textId="77777777" w:rsidR="00E170BA" w:rsidRDefault="00E170BA" w:rsidP="00E170BA">
      <w:pPr>
        <w:pStyle w:val="ListParagraph"/>
        <w:numPr>
          <w:ilvl w:val="0"/>
          <w:numId w:val="6"/>
        </w:numPr>
        <w:spacing w:after="160" w:line="360" w:lineRule="auto"/>
      </w:pPr>
      <w:r>
        <w:t xml:space="preserve">Activation: This stage involves the autocatalytic reduction of </w:t>
      </w:r>
      <w:proofErr w:type="gramStart"/>
      <w:r>
        <w:t>Mo(</w:t>
      </w:r>
      <w:proofErr w:type="gramEnd"/>
      <w:r>
        <w:t>VI) with carbon monoxide (CO) as the primary carbon-containing product.</w:t>
      </w:r>
    </w:p>
    <w:p w14:paraId="7F74CBBE" w14:textId="77777777" w:rsidR="00E170BA" w:rsidRDefault="00E170BA" w:rsidP="00E170BA">
      <w:pPr>
        <w:pStyle w:val="ListParagraph"/>
        <w:numPr>
          <w:ilvl w:val="0"/>
          <w:numId w:val="6"/>
        </w:numPr>
        <w:spacing w:after="160" w:line="360" w:lineRule="auto"/>
      </w:pPr>
      <w:r>
        <w:t>Induction: This stage is characterized by the formation of surface carbon species.</w:t>
      </w:r>
    </w:p>
    <w:p w14:paraId="3EB9450A" w14:textId="77777777" w:rsidR="00E170BA" w:rsidRDefault="00E170BA" w:rsidP="00E170BA">
      <w:pPr>
        <w:pStyle w:val="ListParagraph"/>
        <w:numPr>
          <w:ilvl w:val="0"/>
          <w:numId w:val="6"/>
        </w:numPr>
        <w:spacing w:after="160" w:line="360" w:lineRule="auto"/>
      </w:pPr>
      <w:r>
        <w:t xml:space="preserve">Autocatalytic Formation of Benzene: This final stage is where the formation of benzene occurs. </w:t>
      </w:r>
    </w:p>
    <w:p w14:paraId="649A64C6" w14:textId="7306E256" w:rsidR="00E170BA" w:rsidRDefault="00E170BA" w:rsidP="00E170BA">
      <w:r>
        <w:t xml:space="preserve">Once again, the details of how these various stages happen are still unconfirmed, with varying theories being applied and models attempted. However, all the significant theories involve some mixture or isolation of acetylene, ethane, and ethylene as </w:t>
      </w:r>
      <w:r>
        <w:lastRenderedPageBreak/>
        <w:t xml:space="preserve">intermediates in the reaction. These theories can be divided into two primary categories as shown in </w:t>
      </w:r>
      <w:r>
        <w:fldChar w:fldCharType="begin"/>
      </w:r>
      <w:r>
        <w:instrText xml:space="preserve"> REF _Ref153224982 \h  \* MERGEFORMAT </w:instrText>
      </w:r>
      <w:r>
        <w:fldChar w:fldCharType="separate"/>
      </w:r>
      <w:r>
        <w:t xml:space="preserve">Figure </w:t>
      </w:r>
      <w:r>
        <w:rPr>
          <w:noProof/>
        </w:rPr>
        <w:t>2.3</w:t>
      </w:r>
      <w:r>
        <w:fldChar w:fldCharType="end"/>
      </w:r>
      <w:r>
        <w:t xml:space="preserve"> below </w:t>
      </w:r>
      <w:r>
        <w:fldChar w:fldCharType="begin"/>
      </w:r>
      <w:r w:rsidR="00CA7A9D">
        <w:instrText xml:space="preserve"> ADDIN ZOTERO_ITEM CSL_CITATION {"citationID":"a6gpm24mpd","properties":{"formattedCitation":"[44]","plainCitation":"[44]","noteIndex":0},"citationItems":[{"id":638,"uris":["http://zotero.org/users/12063231/items/FUNE49BF"],"itemData":{"id":638,"type":"article-journal","abstract":"Non-oxidative dehydroaromatization is arguably the most promising process for the direct upgrading of cheap and abundant methane to liquid hydrocarbons. This reaction has not been commercialized yet because of the suboptimal activity and swift deactivation of benchmark Mo-zeolite catalysts. This progress report represents an elaboration on the recent developments in understanding of zeolite-based catalytic materials for high-temperature non-oxidative dehydroaromatization of methane. It is specifically focused on recent studies, relevant to the materials chemistry and elucidating i) the structure of active species in working catalysts; ii) the complex molecular pathways underlying the mechanism of selective conversion of methane to benzene; iii) structure, evolution and role of coke species; and iv) process intensification strategies to improve the deactivation resistance and overall performance of the catalysts. Finally, unsolved challenges in this field of research are outlined and an outlook is provided on promising directions toward improving the activity, stability, and selectivity of methane dehydroaromatization catalysts.","container-title":"Advanced Materials","DOI":"10.1002/adma.202002565","ISSN":"1521-4095","issue":"44","language":"en","license":"© 2020 The Authors. Published by WILEY-VCH Verlag GmbH &amp; Co. KGaA, Weinheim","note":"_eprint: https://onlinelibrary.wiley.com/doi/pdf/10.1002/adma.202002565","page":"2002565","source":"Wiley Online Library","title":"Reactivity, Selectivity, and Stability of Zeolite-Based Catalysts for Methane Dehydroaromatization","volume":"32","author":[{"family":"Kosinov","given":"Nikolay"},{"family":"Hensen","given":"Emiel J. M."}],"issued":{"date-parts":[["2020"]]}}}],"schema":"https://github.com/citation-style-language/schema/raw/master/csl-citation.json"} </w:instrText>
      </w:r>
      <w:r>
        <w:fldChar w:fldCharType="separate"/>
      </w:r>
      <w:r w:rsidR="00CA7A9D" w:rsidRPr="00CA7A9D">
        <w:rPr>
          <w:rFonts w:ascii="Aptos" w:hAnsi="Aptos"/>
        </w:rPr>
        <w:t>[44]</w:t>
      </w:r>
      <w:r>
        <w:fldChar w:fldCharType="end"/>
      </w:r>
      <w:r>
        <w:t xml:space="preserve">. </w:t>
      </w:r>
    </w:p>
    <w:p w14:paraId="1218FF76" w14:textId="77777777" w:rsidR="00E170BA" w:rsidRPr="00A5515B" w:rsidRDefault="00E170BA" w:rsidP="00E170BA">
      <w:pPr>
        <w:rPr>
          <w:b/>
          <w:bCs/>
        </w:rPr>
      </w:pPr>
    </w:p>
    <w:p w14:paraId="640D0B2F" w14:textId="77777777" w:rsidR="00E170BA" w:rsidRDefault="00E170BA" w:rsidP="00E170BA">
      <w:pPr>
        <w:keepNext/>
        <w:jc w:val="center"/>
      </w:pPr>
      <w:r>
        <w:rPr>
          <w:noProof/>
        </w:rPr>
        <w:drawing>
          <wp:inline distT="0" distB="0" distL="0" distR="0" wp14:anchorId="78B72806" wp14:editId="25876F95">
            <wp:extent cx="5296205" cy="2128520"/>
            <wp:effectExtent l="0" t="0" r="0" b="5080"/>
            <wp:docPr id="280201720" name="Picture 28020172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201720" name="Picture 280201720" descr="A screenshot of a cell phone&#10;&#10;Description automatically generated"/>
                    <pic:cNvPicPr/>
                  </pic:nvPicPr>
                  <pic:blipFill rotWithShape="1">
                    <a:blip r:embed="rId15" cstate="print">
                      <a:extLst>
                        <a:ext uri="{28A0092B-C50C-407E-A947-70E740481C1C}">
                          <a14:useLocalDpi xmlns:a14="http://schemas.microsoft.com/office/drawing/2010/main" val="0"/>
                        </a:ext>
                      </a:extLst>
                    </a:blip>
                    <a:srcRect l="1423" t="9981" r="-1423" b="61565"/>
                    <a:stretch/>
                  </pic:blipFill>
                  <pic:spPr bwMode="auto">
                    <a:xfrm>
                      <a:off x="0" y="0"/>
                      <a:ext cx="5296205" cy="2128520"/>
                    </a:xfrm>
                    <a:prstGeom prst="rect">
                      <a:avLst/>
                    </a:prstGeom>
                    <a:ln>
                      <a:noFill/>
                    </a:ln>
                    <a:extLst>
                      <a:ext uri="{53640926-AAD7-44D8-BBD7-CCE9431645EC}">
                        <a14:shadowObscured xmlns:a14="http://schemas.microsoft.com/office/drawing/2010/main"/>
                      </a:ext>
                    </a:extLst>
                  </pic:spPr>
                </pic:pic>
              </a:graphicData>
            </a:graphic>
          </wp:inline>
        </w:drawing>
      </w:r>
    </w:p>
    <w:p w14:paraId="6373088D" w14:textId="77777777" w:rsidR="00E170BA" w:rsidRDefault="00E170BA" w:rsidP="00E170BA">
      <w:pPr>
        <w:pStyle w:val="Caption"/>
        <w:spacing w:line="360" w:lineRule="auto"/>
      </w:pPr>
      <w:bookmarkStart w:id="34" w:name="_Ref153224982"/>
      <w:bookmarkStart w:id="35" w:name="_Ref153225051"/>
      <w:bookmarkStart w:id="36" w:name="_Toc165641131"/>
      <w:r>
        <w:t>Figure 2.</w:t>
      </w:r>
      <w:r>
        <w:fldChar w:fldCharType="begin"/>
      </w:r>
      <w:r>
        <w:instrText xml:space="preserve"> SEQ Figure \* ARABIC </w:instrText>
      </w:r>
      <w:r>
        <w:fldChar w:fldCharType="separate"/>
      </w:r>
      <w:r>
        <w:rPr>
          <w:noProof/>
        </w:rPr>
        <w:t>3</w:t>
      </w:r>
      <w:r>
        <w:rPr>
          <w:noProof/>
        </w:rPr>
        <w:fldChar w:fldCharType="end"/>
      </w:r>
      <w:bookmarkEnd w:id="34"/>
      <w:r>
        <w:t>: Proposed MDA reaction pathways</w:t>
      </w:r>
      <w:bookmarkEnd w:id="35"/>
      <w:bookmarkEnd w:id="36"/>
      <w:r>
        <w:t xml:space="preserve"> </w:t>
      </w:r>
    </w:p>
    <w:p w14:paraId="4F1BFA70" w14:textId="1E9E4774" w:rsidR="00E170BA" w:rsidRDefault="00E170BA" w:rsidP="00E170BA">
      <w:r>
        <w:t xml:space="preserve">The Bifunctional mechanism is the most thoroughly covered topic and represents the leading theories for MDA reaction mechanisms. The hydrocarbon pool mechanism has been proposed only recently and the intermediates are largely unknown </w:t>
      </w:r>
      <w:r>
        <w:fldChar w:fldCharType="begin"/>
      </w:r>
      <w:r w:rsidR="00CA7A9D">
        <w:instrText xml:space="preserve"> ADDIN ZOTERO_ITEM CSL_CITATION {"citationID":"a2csn927eg2","properties":{"formattedCitation":"[44], [52]","plainCitation":"[44], [52]","noteIndex":0},"citationItems":[{"id":638,"uris":["http://zotero.org/users/12063231/items/FUNE49BF"],"itemData":{"id":638,"type":"article-journal","abstract":"Non-oxidative dehydroaromatization is arguably the most promising process for the direct upgrading of cheap and abundant methane to liquid hydrocarbons. This reaction has not been commercialized yet because of the suboptimal activity and swift deactivation of benchmark Mo-zeolite catalysts. This progress report represents an elaboration on the recent developments in understanding of zeolite-based catalytic materials for high-temperature non-oxidative dehydroaromatization of methane. It is specifically focused on recent studies, relevant to the materials chemistry and elucidating i) the structure of active species in working catalysts; ii) the complex molecular pathways underlying the mechanism of selective conversion of methane to benzene; iii) structure, evolution and role of coke species; and iv) process intensification strategies to improve the deactivation resistance and overall performance of the catalysts. Finally, unsolved challenges in this field of research are outlined and an outlook is provided on promising directions toward improving the activity, stability, and selectivity of methane dehydroaromatization catalysts.","container-title":"Advanced Materials","DOI":"10.1002/adma.202002565","ISSN":"1521-4095","issue":"44","language":"en","license":"© 2020 The Authors. Published by WILEY-VCH Verlag GmbH &amp; Co. KGaA, Weinheim","note":"_eprint: https://onlinelibrary.wiley.com/doi/pdf/10.1002/adma.202002565","page":"2002565","source":"Wiley Online Library","title":"Reactivity, Selectivity, and Stability of Zeolite-Based Catalysts for Methane Dehydroaromatization","volume":"32","author":[{"family":"Kosinov","given":"Nikolay"},{"family":"Hensen","given":"Emiel J. M."}],"issued":{"date-parts":[["2020"]]}}},{"id":670,"uris":["http://zotero.org/users/12063231/items/9EU8XXYV"],"itemData":{"id":670,"type":"article-journal","abstract":"Surface carbon (coke, carbonaceous deposits) is an integral aspect of methane dehydroaromatization catalyzed by Mo/zeolites. We investigated the evolution of surface carbon species from the beginning of the induction period until the complete catalyst deactivation by the pulse reaction technique, TGA, 13C NMR, TEM, and XPS. Isotope labeling was performed to confirm the catalytic role of confined carbon species during MDA. It was found that “hard” and “soft” coke distinction is mainly related to the location of coke species inside the pores and on the external surface, respectively. In addition, MoO3 species act as an active oxidation catalyst, reducing the combustion temperature of a certain fraction of coke. Furthermore, after dissolving the zeolite framework by HF, we found that coke formed during the MDA reaction inside the zeolite pores is essentially a zeolite-templated carbon material. The possibility of preparing zeolite-templated carbons from the most available hydrocarbon feedstock is important for the development of these interesting materials.","container-title":"ACS Catalysis","DOI":"10.1021/acscatal.8b02491","issue":"9","journalAbbreviation":"ACS Catal.","note":"publisher: American Chemical Society","page":"8459-8467","source":"ACS Publications","title":"Structure and Evolution of Confined Carbon Species during Methane Dehydroaromatization over Mo/ZSM-5","volume":"8","author":[{"family":"Kosinov","given":"Nikolay"},{"family":"Uslamin","given":"Evgeny A."},{"family":"Coumans","given":"Ferdy J. A. G."},{"family":"Wijpkema","given":"Alexandra S. G."},{"family":"Rohling","given":"Roderigh Y."},{"family":"Hensen","given":"Emiel J. M."}],"issued":{"date-parts":[["2018",9,7]]}}}],"schema":"https://github.com/citation-style-language/schema/raw/master/csl-citation.json"} </w:instrText>
      </w:r>
      <w:r>
        <w:fldChar w:fldCharType="separate"/>
      </w:r>
      <w:r w:rsidR="00CA7A9D" w:rsidRPr="00CA7A9D">
        <w:rPr>
          <w:rFonts w:ascii="Aptos" w:hAnsi="Aptos"/>
        </w:rPr>
        <w:t>[44], [52]</w:t>
      </w:r>
      <w:r>
        <w:fldChar w:fldCharType="end"/>
      </w:r>
      <w:r>
        <w:t xml:space="preserve">. </w:t>
      </w:r>
      <w:proofErr w:type="spellStart"/>
      <w:r>
        <w:t>Kosinov</w:t>
      </w:r>
      <w:proofErr w:type="spellEnd"/>
      <w:r>
        <w:t xml:space="preserve"> et al. states that both these fundamental mechanisms could potentially even be co-existing in the MDA reaction </w:t>
      </w:r>
      <w:r>
        <w:fldChar w:fldCharType="begin"/>
      </w:r>
      <w:r w:rsidR="00CA7A9D">
        <w:instrText xml:space="preserve"> ADDIN ZOTERO_ITEM CSL_CITATION {"citationID":"pAqeV2Rx","properties":{"formattedCitation":"[55]","plainCitation":"[55]","noteIndex":0},"citationItems":[{"id":"kTw8HzET/1sH236OR","uris":["http://zotero.org/users/12063231/items/P97SRFID"],"itemData":{"id":600,"type":"article-journal","abstract":"Non-oxidative dehydroaromatization is arguably the most promising process for the direct upgrading of cheap and abundant methane to liquid hydrocarbons. This reaction has not been commercialized yet because of the suboptimal activity and swift deactivation of benchmark Mo-zeolite catalysts. This progress report represents an elaboration on the recent developments in understanding of zeolite-based catalytic materials for high-temperature non-oxidative dehydroaromatization of methane. It is specifically focused on recent studies, relevant to the materials chemistry and elucidating i) the structure of active species in working catalysts; ii) the complex molecular pathways underlying the mechanism of selective conversion of methane to benzene; iii) structure, evolution and role of coke species; and iv) process intensification strategies to improve the deactivation resistance and overall performance of the catalysts. Finally, unsolved challenges in this field of research are outlined and an outlook is provided on promising directions toward improving the activity, stability, and selectivity of methane dehydroaromatization catalysts.","container-title":"Advanced Materials","DOI":"10.1002/adma.202002565","ISSN":"1521-4095","issue":"44","language":"en","license":"© 2020 The Authors. Published by WILEY-VCH Verlag GmbH &amp; Co. KGaA, Weinheim","note":"_eprint: https://onlinelibrary.wiley.com/doi/pdf/10.1002/adma.202002565","page":"2002565","source":"Wiley Online Library","title":"Reactivity, Selectivity, and Stability of Zeolite-Based Catalysts for Methane Dehydroaromatization","volume":"32","author":[{"family":"Kosinov","given":"Nikolay"},{"family":"Hensen","given":"Emiel J. M."}],"issued":{"date-parts":[["2020"]]}}}],"schema":"https://github.com/citation-style-language/schema/raw/master/csl-citation.json"} </w:instrText>
      </w:r>
      <w:r>
        <w:fldChar w:fldCharType="separate"/>
      </w:r>
      <w:r w:rsidR="00CA7A9D" w:rsidRPr="00CA7A9D">
        <w:rPr>
          <w:rFonts w:ascii="Aptos" w:hAnsi="Aptos"/>
        </w:rPr>
        <w:t>[55]</w:t>
      </w:r>
      <w:r>
        <w:fldChar w:fldCharType="end"/>
      </w:r>
      <w:r>
        <w:t>. While neither theory can be wholly ruled out, an overwhelming amount of literature agrees that there is likely to be some form of C</w:t>
      </w:r>
      <w:r>
        <w:rPr>
          <w:vertAlign w:val="subscript"/>
        </w:rPr>
        <w:t>2</w:t>
      </w:r>
      <w:r>
        <w:t xml:space="preserve"> molecules as intermediates as shown in the bi-functional mechanism </w:t>
      </w:r>
      <w:r>
        <w:fldChar w:fldCharType="begin"/>
      </w:r>
      <w:r w:rsidR="00CA7A9D">
        <w:instrText xml:space="preserve"> ADDIN ZOTERO_ITEM CSL_CITATION {"citationID":"ag3lka10ua","properties":{"formattedCitation":"[38], [41], [42], [44], [45], [47], [49], [50], [51], [52], [53], [56], [57], [58], [59], [60], [61], [62]","plainCitation":"[38], [41], [42], [44], [45], [47], [49], [50], [51], [52], [53], [56], [57], [58], [59], [60], [61], [62]","noteIndex":0},"citationItems":[{"id":661,"uris":["http://zotero.org/users/12063231/items/DDAJIYGP"],"itemData":{"id":661,"type":"article-journal","abstract":"The structures of Mo/HZSM-5 catalysts with various molybdenum loadings were studied by means of XRD, IR, UV diffuse reflectance spectroscopy, TPR, and ammonia adsorption and desorption measurements. Both the BET surface areas and the acidities of catalysts decrease with an increase in molybdenum loading in the catalyst. The threshold of a monolayer dispersion of molybdenum is about 5 g of molybdenum per 100 g of HZSM-5 zeolite. Methane conversion under nonoxidizing conditions over Mo/HZSM-5 catalyst was tested. It was found that the catalyst with a molybdenum loading of 2-3 wt% exhibits optimum activity for the dehydro-oligomerization of methane to aromatics. Modifications of the 2% Mo/HZSM-5 catalyst with lithium or phosphorus cause a decrease in the acidity of the catalyst as well as in the catalyst activity. Addition of lithium shifts the selectivity toward ethylene at the expense of the yield of benzene. It is also demonstrated that the molybdenum oxide species are partially reduced by methane during the reaction. The removable lattice oxygen of molybdenum oxide oxidized adsorbed CHx species to CO, which results in a side reaction to the catalytic oligomerization of methane to aromatics. The diminution of acidity of the catalyst and the blockage of the channels of HZSM-5 zeolite due to deposited carbon may be the main reasons for the deactivation of the catalyst. The methane oligomerization reaction is proposed to be catalyzed by molybdenum species located in the zeolite channels together with the Brønsted acid sites of HZSM-5 zeolite. A synergistic effect between these two kinds of centers plays an important role in the catalysis of the title reaction. Ethylene is identified to be a primary product while benzene is a final product in the dehydro-oligomerization reaction of methane.","container-title":"Journal of Catalysis","DOI":"10.1006/jcat.1995.1279","ISSN":"0021-9517","issue":"1","journalAbbreviation":"Journal of Catalysis","page":"190-200","source":"ScienceDirect","title":"Dehydro-oligomerization of Methane to Ethylene and Aromatics over Molybdenum/HZSM-5 Catalyst","volume":"157","author":[{"family":"Chen","given":"L. Y."},{"family":"Lin","given":"L. W."},{"family":"Xu","given":"Z. S."},{"family":"Li","given":"X. S."},{"family":"Zhang","given":"T."}],"issued":{"date-parts":[["1995",11,1]]}}},{"id":147,"uris":["http://zotero.org/users/12063231/items/ZZVBUZBY"],"itemData":{"id":147,"type":"article-journal","abstract":"Natural gas is widely abundant and relatively inexpensive. As such, large quantities are flared every year. This presents an opportunity to use natural gas as a chemical feedstock. Non-oxidative dehydroaromatization of methane, the major component of natural gas is proposed as an option to monetize natural gas. This study evaluates the economics of the methane to benzene process. A catalytic membrane reactor model written in MATLAB has been directly implemented in an Aspen Plus V9 process model using CAPE-OPEN interoperability. Minimum utility requirements and heat exchanger designs were identified in Aspen Energy Analyzer, and process economics for a variety of feed and product prices were assessed using Aspen Process Economic Analyzer. The results indicate that the venture is profitable (profitability index of 1.17, IRR of 35.5%, NRR of 18.2%). The capital cost was found to be $35,500 per daily standard barrel of benzene. Additionally, the process remains economically attractive so long as either the price of benzene remains above $470/ton, or the price of hydrogen remains above $0.8/kg.","container-title":"Fuel Processing Technology","DOI":"10.1016/j.fuproc.2018.05.038","ISSN":"0378-3820","journalAbbreviation":"Fuel Processing Technology","language":"en","page":"55-61","source":"ScienceDirect","title":"Techno-economic evaluation of a process for direct conversion of methane to aromatics","volume":"183","author":[{"family":"Corredor","given":"E. Camilo"},{"family":"Chitta","given":"Pallavi"},{"family":"Deo","given":"Milind D."}],"issued":{"date-parts":[["2019",1,1]]}}},{"id":681,"uris":["http://zotero.org/users/12063231/items/7RRWDKWU"],"itemData":{"id":681,"type":"article-journal","abstract":"In the direct nonoxidative conversion of methane gas to liquid chemicals, it has been shown that continuous removal of produced hydrogen is a way to overcome the thermodynamic limit of low equilibrium methane conversion. A plug-flow, isothermal membrane reactor model was developed for the conversion of methane gas to aromatics over Mo/H-ZSM5 and integrated in an Aspen Plus process model using COCO (CAPE-OPEN to CAPE-OPEN) Simulator. Parameters such as reaction rate constants and equilibrium coefficients required by the model were obtained using experimental data. The reactor employs a simplified reaction network whose product distributions agree well with other models and published results. Damkohler number of 0.5 and a dimensionless hydrogen removal parameter δ of 10 were found to be the optimum parameters for benzene selectivity. The reactor model being embedded in the process allows for more detailed exploration of the impact of reactor parameters on the process as a whole. Methane conversion remains at 10.9% and 20% for each case with or without recycle. Benzene molar flow increases by 72% for the single pass configuration when Da=0.5 and δ=10 are used; however, naphthalene molar flow increases by 215%.","container-title":"Fuel","DOI":"10.1016/j.fuel.2016.03.073","ISSN":"0016-2361","journalAbbreviation":"Fuel","page":"202-209","source":"ScienceDirect","title":"Membrane reactor system model for gas conversion to benzene","volume":"179","author":[{"family":"Corredor","given":"E. Camilo"},{"family":"Chitta","given":"Pallavi"},{"family":"Deo","given":"Milind"}],"issued":{"date-parts":[["2016",9,1]]}}},{"id":654,"uris":["http://zotero.org/users/12063231/items/CWDE9EET"],"itemData":{"id":654,"type":"article-journal","abstract":"Non-oxidative methane dehydro-aromatization (MDA) over transitional metal-doped zeolites (i.e. ZSM-5) has a potential to be an alternative for methane transformation processes to higher hydrocarbons. Despite of systematic studies of the effects of the catalyst composition, preparation procedure, pretreatment, and the reaction conditions systematically followed since the pioneering works of the Chinese group in 1993, the suppression of fast deactivation of catalyst by coke deposition was still not solved successfully. In the present work the long-term MDA experiments at 973K and elevated pressures up to 600kPa were carried out with metal-doped Mo/ZSM-5 catalysts. Several Mo-based catalysts doped with various amount of Co, Mn, and Ce were prepared and tested in the MDA reaction. Experimental results are presented in terms of profiles of methane conversion as well as ethylene, benzene, and toluene concentrations as a function of time on stream, accompanied by the TGA analysis of the coke residue accumulated on the spent catalysts. The amount and nature of coke deposits which were influenced by introduction of different metals were also investigated. The Co content of 0.8wt% in Co-Mo/ZSM-5 catalyst was evaluated as optimal for total benzene production. Prolonged experiments showed the evident positive effect of higher reaction pressure on catalyst stability for all tested catalysts. Moreover, the Co–Mo/ZSM-5 catalyst showed better resistance to the deactivation by coke formation in comparison to Mo/ZSM-5 and M–Mo/ZSM-5 (where M=Mn, Ce) catalysts. In addition, the Ce-modified catalyst showed comparable higher production of toluene at elevated pressures.","collection-title":"CHISA CATALYSIS Selected proceedings, the CHISA congress, Prague, August 23-27, 2014","container-title":"Catalysis Today","DOI":"10.1016/j.cattod.2015.02.035","ISSN":"0920-5861","journalAbbreviation":"Catalysis Today","page":"269-275","source":"ScienceDirect","title":"Effect of addition of a second metal in Mo/ZSM-5 catalyst for methane aromatization reaction under elevated pressures","volume":"256","author":[{"family":"Fila","given":"Vlastimil"},{"family":"Bernauer","given":"Milan"},{"family":"Bernauer","given":"Bohumil"},{"family":"Sobalik","given":"Zdenek"}],"issued":{"date-parts":[["2015",11,1]]}}},{"id":648,"uris":["http://zotero.org/users/12063231/items/ACSTSIHW"],"itemData":{"id":648,"type":"thesis","event-place":"Liaoning, China","language":"English","number-of-pages":"204","publisher":"Otto von Guericke University","publisher-place":"Liaoning, China","title":"Methane Dehydro Aromatization: Thermodynamics, Catalysts, Kinetics, and Potential of Membrane Reactors","URL":"https://d-nb.info/1078066469/34","author":[{"family":"Gao","given":"Kaidi"}],"accessed":{"date-parts":[["2023",12,11]]},"issued":{"date-parts":[["2015",8,7]]}}},{"id":645,"uris":["http://zotero.org/users/12063231/items/4D8AAC9F"],"itemData":{"id":645,"type":"article-journal","abstract":"Development of highly effective catalysts for one-stage conversion of methane with high selectivity to valuable products and energy efficiency will provide an efficient way to utilize natural gas and oil-associated gases and to protect environment. In recent years, there have been many efforts on direct catalytic transformations of methane into higher hydrocarbons by feeding additives together with methane under non-oxidative conditions. This paper reviewed the advances in recent research on non-oxidative aromatization of methane in the presence of propane over different modified HZSM-5 catalysts. The thermodynamic consideration, the isotope verification and the mechanism of the activation of methane in the presence of propane are discussed in the paper in detail.","container-title":"Journal of Natural Gas Chemistry","DOI":"10.1016/S1003-9953(08)60127-9","ISSN":"1003-9953","issue":"3","journalAbbreviation":"Journal of Natural Gas Chemistry","page":"260-272","source":"ScienceDirect","title":"Energy-Efficient coaromatization of methane and propane","volume":"18","author":[{"family":"Guo","given":"Jianjun"},{"family":"Lou","given":"Hui"},{"family":"Zheng","given":"Xiaoming"}],"issued":{"date-parts":[["2009",9,1]]}}},{"id":649,"uris":["http://zotero.org/users/12063231/items/TKPC25DD"],"itemData":{"id":649,"type":"article-journal","abstract":"The direct partial oxidation (DPO) of CH4 with O2 in the presence of a C3 additive over HZSM-5 zeolite catalyst at 960 psig produced C5+ liquid hydrocarbons at the expense of the initially formed CH30H. Previous experiments with pure CH4 and Oz feed and with a sand-packed reactor conclusively showed the need for both the C3 additive and the zeolite in the system to produce C5+ liquids. Evidence of CH4 incorporation into the liquid products was given by selectivity calculations which indicated the C3 alone could not account for the CS hydrocarbons. CH4 incorporation has been conclusively confirmed by mass spectral analyses of tetramethylbenzene produced in a run with 13CH4 under identical conditions which show significant 13C enrichment in the C9H11+ and C6H5+ fragments. While CH4 undergoes DPO to CH30H in the system, two possible reaction mechanisms can explain the role of C3; one involves initiation of methanol conversion to gasoline (MTG) by alkenes and the second involves C3 aromatization followed by aromatics alkylation with CH30H. Studies on this system with HZSM-5 catalysts having varying Al contents indicate a sensitivity to zeolite acidity except at high Al concentrations.","container-title":"Journal of Catalysis","DOI":"10.1016/0021-9517(92)90087-X","ISSN":"0021-9517","issue":"2","journalAbbreviation":"Journal of Catalysis","page":"578-583","source":"ScienceDirect","title":"The direct partial oxidation of methane to liquid hydrocarbons over HZSM-5 zeolite catalyst","volume":"136","author":[{"family":"Han","given":"S."},{"family":"Martenak","given":"D. J."},{"family":"Palermo","given":"R. E."},{"family":"Pearson","given":"J. A."},{"family":"Walsh","given":"D. E."}],"issued":{"date-parts":[["1992",8,1]]}}},{"id":667,"uris":["http://zotero.org/users/12063231/items/ISX52IFF"],"itemData":{"id":667,"type":"article-journal","abstract":"Non-oxidative dehydroaromatization of methane (MDA) is a promising catalytic process for direct valorization of natural gas to liquid hydrocarbons. The application of this reaction in practical technology is hindered by a lack of understanding about the mechanism and nature of the active sites in benchmark zeolite-based Mo/ZSM-5 catalysts, which precludes the solution of problems such as rapid catalyst deactivation. By applying spectroscopy and microscopy, it is shown that the active centers in Mo/ZSM-5 are partially reduced single-atom Mo sites stabilized by the zeolite framework. By combining a pulse reaction technique with isotope labeling of methane, MDA is shown to be governed by a hydrocarbon pool mechanism in which benzene is derived from secondary reactions of confined polyaromatic carbon species with the initial products of methane activation.","container-title":"Angewandte Chemie International Edition","DOI":"10.1002/anie.201711098","ISSN":"1521-3773","issue":"4","language":"en","license":"© 2018 The Authors. Published by Wiley-VCH Verlag GmbH &amp; Co. KGaA.","note":"_eprint: https://onlinelibrary.wiley.com/doi/pdf/10.1002/anie.201711098","page":"1016-1020","source":"Wiley Online Library","title":"Confined Carbon Mediating Dehydroaromatization of Methane over Mo/ZSM-5","volume":"57","author":[{"family":"Kosinov","given":"Nikolay"},{"family":"Wijpkema","given":"Alexandra S. G."},{"family":"Uslamin","given":"Evgeny"},{"family":"Rohling","given":"Roderigh"},{"family":"Coumans","given":"Ferdy J. A. G."},{"family":"Mezari","given":"Brahim"},{"family":"Parastaev","given":"Alexander"},{"family":"Poryvaev","given":"Artem S."},{"family":"Fedin","given":"Matvey V."},{"family":"Pidko","given":"Evgeny A."},{"family":"Hensen","given":"Emiel J. M."}],"issued":{"date-parts":[["2018"]]}}},{"id":670,"uris":["http://zotero.org/users/12063231/items/9EU8XXYV"],"itemData":{"id":670,"type":"article-journal","abstract":"Surface carbon (coke, carbonaceous deposits) is an integral aspect of methane dehydroaromatization catalyzed by Mo/zeolites. We investigated the evolution of surface carbon species from the beginning of the induction period until the complete catalyst deactivation by the pulse reaction technique, TGA, 13C NMR, TEM, and XPS. Isotope labeling was performed to confirm the catalytic role of confined carbon species during MDA. It was found that “hard” and “soft” coke distinction is mainly related to the location of coke species inside the pores and on the external surface, respectively. In addition, MoO3 species act as an active oxidation catalyst, reducing the combustion temperature of a certain fraction of coke. Furthermore, after dissolving the zeolite framework by HF, we found that coke formed during the MDA reaction inside the zeolite pores is essentially a zeolite-templated carbon material. The possibility of preparing zeolite-templated carbons from the most available hydrocarbon feedstock is important for the development of these interesting materials.","container-title":"ACS Catalysis","DOI":"10.1021/acscatal.8b02491","issue":"9","journalAbbreviation":"ACS Catal.","note":"publisher: American Chemical Society","page":"8459-8467","source":"ACS Publications","title":"Structure and Evolution of Confined Carbon Species during Methane Dehydroaromatization over Mo/ZSM-5","volume":"8","author":[{"family":"Kosinov","given":"Nikolay"},{"family":"Uslamin","given":"Evgeny A."},{"family":"Coumans","given":"Ferdy J. A. G."},{"family":"Wijpkema","given":"Alexandra S. G."},{"family":"Rohling","given":"Roderigh Y."},{"family":"Hensen","given":"Emiel J. M."}],"issued":{"date-parts":[["2018",9,7]]}}},{"id":638,"uris":["http://zotero.org/users/12063231/items/FUNE49BF"],"itemData":{"id":638,"type":"article-journal","abstract":"Non-oxidative dehydroaromatization is arguably the most promising process for the direct upgrading of cheap and abundant methane to liquid hydrocarbons. This reaction has not been commercialized yet because of the suboptimal activity and swift deactivation of benchmark Mo-zeolite catalysts. This progress report represents an elaboration on the recent developments in understanding of zeolite-based catalytic materials for high-temperature non-oxidative dehydroaromatization of methane. It is specifically focused on recent studies, relevant to the materials chemistry and elucidating i) the structure of active species in working catalysts; ii) the complex molecular pathways underlying the mechanism of selective conversion of methane to benzene; iii) structure, evolution and role of coke species; and iv) process intensification strategies to improve the deactivation resistance and overall performance of the catalysts. Finally, unsolved challenges in this field of research are outlined and an outlook is provided on promising directions toward improving the activity, stability, and selectivity of methane dehydroaromatization catalysts.","container-title":"Advanced Materials","DOI":"10.1002/adma.202002565","ISSN":"1521-4095","issue":"44","language":"en","license":"© 2020 The Authors. Published by WILEY-VCH Verlag GmbH &amp; Co. KGaA, Weinheim","note":"_eprint: https://onlinelibrary.wiley.com/doi/pdf/10.1002/adma.202002565","page":"2002565","source":"Wiley Online Library","title":"Reactivity, Selectivity, and Stability of Zeolite-Based Catalysts for Methane Dehydroaromatization","volume":"32","author":[{"family":"Kosinov","given":"Nikolay"},{"family":"Hensen","given":"Emiel J. M."}],"issued":{"date-parts":[["2020"]]}}},{"id":624,"uris":["http://zotero.org/users/12063231/items/YQYI8YM2"],"itemData":{"id":624,"type":"article-journal","abstract":"Methane dehydroaromatization is a promising reaction for the direct conversion of methane to liquid hydrocarbons. The active sites and the mechanism of this reaction remain controversial. This work is focused on the operando X-ray absorption near edge structure spectroscopy analysis of conventional Mo/ZSM-5 catalysts during their whole lifetime. Complemented by other characterization techniques, we derived spectroscopic descriptors of molybdenum precursor decomposition and its exchange with zeolite Brønsted acid sites. We found that the reduction of Mo-species proceeds in two steps and the active sites are of similar nature, regardless of the Mo content. Furthermore, the ZSM-5 unit cell contracts at the beginning of the reaction, which coincides with benzene formation and it is likely related to the formation of hydrocarbon pool intermediates. Finally, although reductive regeneration of used catalysts via methanation is less effective as compared to combustion of coke, it does not affect the structure of the catalysts.","container-title":"Chemistry – A European Journal","DOI":"10.1002/chem.202103894","ISSN":"1521-3765","issue":"5","language":"en","license":"© 2021 The Authors. Chemistry - A European Journal published by Wiley-VCH GmbH","note":"_eprint: https://onlinelibrary.wiley.com/doi/pdf/10.1002/chem.202103894","page":"e202103894","source":"Wiley Online Library","title":"Understanding the Preparation and Reactivity of Mo/ZSM-5 Methane Dehydroaromatization Catalysts","volume":"28","author":[{"family":"Liu","given":"Yujie"},{"family":"Zhang","given":"Hao"},{"family":"Wijpkema","given":"Alexandra S. G."},{"family":"Coumans","given":"Ferdy J. A. G."},{"family":"Meng","given":"Lingqian"},{"family":"Uslamin","given":"Evgeny A."},{"family":"Longo","given":"Alessandro"},{"family":"Hensen","given":"Emiel J. M."},{"family":"Kosinov","given":"Nikolay"}],"issued":{"date-parts":[["2022"]]}},"label":"page"},{"id":677,"uris":["http://zotero.org/users/12063231/items/HSKF286L"],"itemData":{"id":677,"type":"article-journal","abstract":"Detailed kinetic-transport models were used to explore thermodynamic and kinetic barriers in the non-oxidative conversion of CH4 via homogeneous and homogeneous–heterogeneous pathways and the effects of continuous hydrogen removal and of catalytic sites on attainable yields of useful C2–C10 products. The homogeneous kinetic model combines separately developed models for low-conversion pyrolysis and for chain growth to form large aromatics and carbon. The H2 formed in the reaction decreases CH4 pyrolysis rates and equilibrium conversions and it favors the formation of lighter products. The removal of H2 along tubular reactors with permeable walls increases reaction rates and equilibrium CH4 conversions. C2–C10 yields reach values greater than 90% at intermediate values of dimensionless transport rates (δ=1–10), defined as the ratio hydrogen transport and methane conversion rates. Homogeneous reactions require impractical residence times, even with H2 removal, because of slow initiation and chain transfer rates. The introduction of heterogeneous chain initiation pathways using surface sites that form methyl radicals eliminates the induction period without influencing the homogeneous product distribution. Methane conversion, however, occurs predominately in the chain transfer regime, within which individual transfer steps and the formation of C2 intermediates become limited by thermodynamic constraints. Catalytic sites alone cannot overcome these constraints. Catalytic membrane reactors with continuous H2 removal remove these thermodynamic obstacles and decrease the required residence time. Reaction rates become limited by homogeneous reactions of C2 products to form C6+ aromatics. Higher δ values lead to subsequent conversion of the desired C2–C10 products to larger polynuclear aromatics. We conclude that catalytic methane pyrolysis at the low temperatures required for restricted chain growth and the elimination of thermodynamics constraints via continuous hydrogen removal provide a practical path for the direct conversion of methane to higher hydrocarbons. The rigorous design criteria developed are being implemented using shape-selective bifunctional pyrolysis catalysts and perovskite membrane films in a parallel experimental effort.","container-title":"Chemical Engineering Science","DOI":"10.1016/S0009-2509(00)00465-6","ISSN":"0009-2509","issue":"5","journalAbbreviation":"Chemical Engineering Science","page":"1869-1881","source":"ScienceDirect","title":"Reaction-transport simulations of non-oxidative methane conversion with continuous hydrogen removal — homogeneous–heterogeneous reaction pathways","volume":"56","author":[{"family":"Li","given":"Lin"},{"family":"W. Borry","given":"Richard"},{"family":"Iglesia","given":"Enrique"}],"issued":{"date-parts":[["2001",3,1]]}}},{"id":627,"uris":["http://zotero.org/users/12063231/items/FZVH2F99"],"itemData":{"id":627,"type":"article-journal","abstract":"Direct conversion of methane to benzene or other valuable chemicals is...","container-title":"Journal of Energy Chemistry","ISSN":"2095-4956","issue":"1","language":"en","page":"1","source":"www.jenergychem.com","title":"Recent progress in methane dehydroaromatization: From laboratory curiosities to promising technology","title-short":"Recent progress in methane dehydroaromatization","volume":"22","author":[{"family":"Ma","given":"Shuqi"},{"family":"Guo","given":"Xiaoguang"},{"family":"Zhao","given":"Lingxiao"},{"family":"Scott","given":"Susannah"},{"family":"Bao*","given":"Xinhe"}],"issued":{"date-parts":[["2013",1,20]]}}},{"id":658,"uris":["http://zotero.org/users/12063231/items/ULPEJA2R"],"itemData":{"id":658,"type":"article-journal","abstract":"Acetylene is identified as a key intermediate in methane dehydroaromatization (DHA) reactions present in concentrations O(1) Pascal. The rank of acetylene and other C2 hydrocarbon intermediates is determined by conversion-selectivity profiles collected from 0.01% to 8% methane conversion varied by extent of “non-selective” deactivation of Mo/H-ZSM-5 catalysts. Ethane is shown to be the sole primary product of methane pyrolysis and is sequentially dehydrogenated to ethylene and acetylene – which aromatizes to benzene with rates similar to direct acetylene aromatization measured in the absence of methane. The influence of CH cleavage and CC coupling events to control the rate and reversibility of DHA is assessed by the degree of reversibility control, introduced here for the first time, and the degree of rate control. The approach to equilibrium of the methane to benzene synthesis reaction is length averaged and affinity averaged by the degree of reversibility control of each intervening elementary step to rigorously calculate forward rates of benzene synthesis by use of De Donder relations. Forward rates are found to be invariant along the catalyst bed once the DHA network reaches a pseudo-steady state and methane, ethane, and ethylene form an equilibrated pool.","container-title":"Journal of Catalysis","DOI":"10.1016/j.jcat.2019.11.004","ISSN":"0021-9517","journalAbbreviation":"Journal of Catalysis","page":"261-270","source":"ScienceDirect","title":"Influence of ethylene and acetylene on the rate and reversibility of methane dehydroaromatization on Mo/H-ZSM-5 catalysts","volume":"381","author":[{"family":"Razdan","given":"Neil K."},{"family":"Kumar","given":"Anurag"},{"family":"Foley","given":"Brandon L."},{"family":"Bhan","given":"Aditya"}],"issued":{"date-parts":[["2020",1,1]]}}},{"id":623,"uris":["http://zotero.org/users/12063231/items/ZRVDAVCY"],"itemData":{"id":623,"type":"chapter","abstract":"This chapter explores the methane dehydroaromatization and oxidative coupling of methane reactions, the two direct methods of activating methane. The most promising catalysts for achieving the highest methane conversions and desired selectivities are discussed, with an emphasis on catalytic active sites and elucidated mechanisms by researchers over the last three decades. For the methane dehydroaromatization reaction, the role of Mo and acid sites on the most promising Mo/HZSM-5 catalyst are discussed in detail, whereas the Na2WO4-Mn/SiO2 catalyst is discussed in detail for the oxidative coupling of methane reaction. This chapter also grants the reader an insight into the various characterization techniques employed in this field when researchers attempt to understand the complexities of these reactions and the specific roles that some active sites may play. While commercialization of these technologies remains out of reach, the efforts highlighted in this chapter shed some light on the progress that has been made and exemplify the feasibility of direct methane utilization.","container-title":"Methane Activation and Utilization in the Petrochemical and Biofuel Industries","event-place":"Cham","ISBN":"978-3-030-88424-6","language":"en","note":"DOI: 10.1007/978-3-030-88424-6_3","page":"43-69","publisher":"Springer International Publishing","publisher-place":"Cham","source":"Springer Link","title":"Direct Systems: Methane Dehydroaromatization (MDA) and the Oxidative Coupling of Methane (OCM)","title-short":"Direct Systems","URL":"https://doi.org/10.1007/978-3-030-88424-6_3","author":[{"family":"Song","given":"Hua"},{"family":"Jarvis","given":"Jack"},{"family":"Meng","given":"Shijun"},{"family":"Xu","given":"Hao"},{"family":"Li","given":"Zhaofei"},{"family":"Li","given":"Wenping"}],"editor":[{"family":"Song","given":"Hua"},{"family":"Jarvis","given":"Jack"},{"family":"Meng","given":"Shijun"},{"family":"Xu","given":"Hao"},{"family":"Li","given":"Zhaofei"},{"family":"Li","given":"Wenping"}],"accessed":{"date-parts":[["2023",12,9]]},"issued":{"date-parts":[["2022"]]}}},{"id":656,"uris":["http://zotero.org/users/12063231/items/6JCKENYQ"],"itemData":{"id":656,"type":"article-journal","abstract":"Methane dehydroaromatization (MDA) over Mo/HZSM-5 has been hypothesized in literature to proceed via a two-step mechanism: methane is first converted to ethylene on the molybdenum (Mo) functionality and then ethylene is oligomerized, cyclized and dehydrogenated on the Brønsted acid sites (BAS) of the HZSM-5 support. This hypothesis is tested by studying the conversion of ethylene at the same conditions as used for MDA, namely 700 °C, atmospheric pressure, and by co-feeding experiments with H2 and CH4. Our results suggest that ethylene is not the main intermediate for MDA, because the aromatic selectivities obtained from methane conversion are higher than selectivities measured during ethylene conversion. Furthermore, carbonaceous deposits formed during MDA have a lower density, are more hydrogenated and more active than the ones formed during ethylene aromatization (EDA). Similarly as for MDA, an activation period in which Mo carburizes to its active phase and an induction period, in which aromatics formation rates increase to their maximum are observed for ethylene conversion. The induction period, which was explained by the buildup of a hydrocarbon pool (HCP) is much faster with methane than with ethylene. This period, is attributed to a slow buildup of hydrocarbons, strongly adsorbed on Mo sites, because it is only observed with catalysts containing Mo. Hydrogen co-feeding with ethylene leads to the formation of more reactive coke species and a significantly prolonged lifetime of the catalyst, but not to a faster buildup of the HCP.","container-title":"ChemCatChem","DOI":"10.1002/cctc.201901655","ISSN":"1867-3899","issue":"2","language":"en","license":"©2019 The Authors. Published by Wiley-VCH Verlag GmbH &amp; Co. KGaA.","note":"_eprint: https://onlinelibrary.wiley.com/doi/pdf/10.1002/cctc.201901655","page":"544-549","source":"Wiley Online Library","title":"Aromatization of Ethylene – Main Intermediate for MDA?","volume":"12","author":[{"family":"Vollmer","given":"Ina"},{"family":"Abou-Hamad","given":"Edy"},{"family":"Gascon","given":"Jorge"},{"family":"Kapteijn","given":"Freek"}],"issued":{"date-parts":[["2020"]]}}},{"id":679,"uris":["http://zotero.org/users/12063231/items/WKKF65LF"],"itemData":{"id":679,"type":"article-journal","abstract":"An alternative to flaring of surplus natural gas is methane dehydroaromatization (MDA) to benzene (C6H6) over a bifunctional molybdenum/zeolite catalyst. Byproducts include H2, C2H4, and naphthalene (C10H8). While an MDA detailed elementary reaction mechanism is now available, a simpler global kinetic model is more useful for engineering and screening calculations. A literature three-step reaction model exists but with rate constants only at 950</w:instrText>
      </w:r>
      <w:r w:rsidR="00CA7A9D">
        <w:rPr>
          <w:rFonts w:ascii="Arial" w:hAnsi="Arial" w:cs="Arial"/>
        </w:rPr>
        <w:instrText> </w:instrText>
      </w:r>
      <w:r w:rsidR="00CA7A9D">
        <w:instrText>K. In the current work, Arrhenius parameters for the three global reactions have been determined over 948</w:instrText>
      </w:r>
      <w:r w:rsidR="00CA7A9D">
        <w:rPr>
          <w:rFonts w:ascii="Aptos" w:hAnsi="Aptos" w:cs="Aptos"/>
        </w:rPr>
        <w:instrText>–</w:instrText>
      </w:r>
      <w:r w:rsidR="00CA7A9D">
        <w:instrText>1023</w:instrText>
      </w:r>
      <w:r w:rsidR="00CA7A9D">
        <w:rPr>
          <w:rFonts w:ascii="Arial" w:hAnsi="Arial" w:cs="Arial"/>
        </w:rPr>
        <w:instrText> </w:instrText>
      </w:r>
      <w:r w:rsidR="00CA7A9D">
        <w:instrText>K based on a regression of major gas species concentration data generated from Chemkin</w:instrText>
      </w:r>
      <w:r w:rsidR="00CA7A9D">
        <w:rPr>
          <w:rFonts w:ascii="Aptos" w:hAnsi="Aptos" w:cs="Aptos"/>
        </w:rPr>
        <w:instrText>®</w:instrText>
      </w:r>
      <w:r w:rsidR="00CA7A9D">
        <w:instrText xml:space="preserve"> simulations of a packed bed reactor running the detailed MDA mechanism. In addition, the three-step model is used to illustrate the need to remove H2, perhaps through a membranous reactor wall, in order to overcome strong equilibrium CH4 conversion limitations. Such H2 removal, though, improves C10H8 selectivity at the expense of C6H6.","container-title":"Chemical Engineering Science","DOI":"10.1016/j.ces.2017.11.001","ISSN":"0009-2509","journalAbbreviation":"Chemical Engineering Science","page":"132-138","source":"ScienceDirect","title":"Extension to multiple temperatures of a three-reaction global kinetic model for methane dehydroaromatization","volume":"177","author":[{"family":"Zhu","given":"Y."},{"family":"Al-ebbinni","given":"N."},{"family":"Henney","given":"R."},{"family":"Yi","given":"C."},{"family":"Barat","given":"R."}],"issued":{"date-parts":[["2018",2,23]]}}},{"id":153,"uris":["http://zotero.org/users/12063231/items/SKIS8G5U"],"itemData":{"id":153,"type":"article-journal","abstract":"An elementary steps-based kinetic model was developed for the ‘steady-state’ reaction kinetics of methane aromatisation over HMCM-22 and HZSM-5 supported Mo. The model adequately describes the experimentally observed trends over a wide range of operating conditions, i.e., temperatures from 873 to 973K, space times between 32 and 161kgcatsmol−1 and methane inlet molar fractions from 0.2 to 0.98 at atmospheric pressure. A benzene selectivity of 80mol% can be achieved at 6% of methane conversion over Mo/HMCM-22 at 973K. The reaction proceeds via similar pathways over Mo/HMCM-22 and Mo/HZSM-5: methane is first dimerised into ethene on Mo sites followed by ethene oligomerisation and cyclisation into benzene on the acid sites. Confinement effects induced by the larger pore mouth and near circular channel structure of ZSM-5 enhance the Mo dispersion, leading to a higher methane dimerisation rate coefficient over Mo/HZSM-5. Similar protonation enthalpies on MCM-22 and ZSM-5, i.e., -56kJmol−1 for hexene, indicate that both zeolites have acid sites with a comparable strength. Nevertheless, confinement effects result in a more pronounced reactant stabilisation by chemisorption on Mo/HZSM-5 compared to Mo/HMCM-22.","collection-title":"Porous Materials for Future Energy Supply and a Clean Environment - Dedicated to Prof. Dr.-Ing. Jens Weitkamp on the occasion of his 70th Birthday","container-title":"Microporous and Mesoporous Materials","DOI":"10.1016/j.micromeso.2012.07.002","ISSN":"1387-1811","journalAbbreviation":"Microporous and Mesoporous Materials","language":"en","page":"302-312","source":"ScienceDirect","title":"Methane aromatisation based upon elementary steps: Kinetic and catalyst descriptors","title-short":"Methane aromatisation based upon elementary steps","volume":"164","author":[{"family":"Wong","given":"Kae S."},{"family":"Thybaut","given":"Joris W."},{"family":"Tangstad","given":"Elisabeth"},{"family":"Stöcker","given":"Michael W."},{"family":"Marin","given":"Guy B."}],"issued":{"date-parts":[["2012",12,1]]}}}],"schema":"https://github.com/citation-style-language/schema/raw/master/csl-citation.json"} </w:instrText>
      </w:r>
      <w:r>
        <w:fldChar w:fldCharType="separate"/>
      </w:r>
      <w:r w:rsidR="00CA7A9D" w:rsidRPr="00CA7A9D">
        <w:rPr>
          <w:rFonts w:ascii="Aptos" w:hAnsi="Aptos"/>
        </w:rPr>
        <w:t>[38], [41], [42], [44], [45], [47], [49], [50], [51], [52], [53], [56], [57], [58], [59], [60], [61], [62]</w:t>
      </w:r>
      <w:r>
        <w:fldChar w:fldCharType="end"/>
      </w:r>
      <w:r>
        <w:t xml:space="preserve">. Since </w:t>
      </w:r>
      <w:proofErr w:type="gramStart"/>
      <w:r>
        <w:t>the majority of</w:t>
      </w:r>
      <w:proofErr w:type="gramEnd"/>
      <w:r>
        <w:t xml:space="preserve"> the research, available data and theoretical models to date discuss and utilize the bifunctional mechanism, that </w:t>
      </w:r>
      <w:r w:rsidR="00E9792B">
        <w:t>is</w:t>
      </w:r>
      <w:r>
        <w:t xml:space="preserve"> the mechanism used for this study.</w:t>
      </w:r>
    </w:p>
    <w:p w14:paraId="7F638622" w14:textId="77777777" w:rsidR="00E170BA" w:rsidRDefault="00E170BA" w:rsidP="00E170BA">
      <w:pPr>
        <w:pStyle w:val="Heading3"/>
      </w:pPr>
      <w:bookmarkStart w:id="37" w:name="_Toc165641057"/>
      <w:r>
        <w:lastRenderedPageBreak/>
        <w:t>2.2.5 Bifunctional Mechanism</w:t>
      </w:r>
      <w:bookmarkEnd w:id="37"/>
    </w:p>
    <w:p w14:paraId="281DB253" w14:textId="0FF85577" w:rsidR="00E170BA" w:rsidRDefault="00E170BA" w:rsidP="00E170BA">
      <w:r>
        <w:t xml:space="preserve">For the bifunctional mechanism, Razdan et al. </w:t>
      </w:r>
      <w:r>
        <w:fldChar w:fldCharType="begin"/>
      </w:r>
      <w:r w:rsidR="00CA7A9D">
        <w:instrText xml:space="preserve"> ADDIN ZOTERO_ITEM CSL_CITATION {"citationID":"4VjhO1me","properties":{"formattedCitation":"[51]","plainCitation":"[51]","noteIndex":0},"citationItems":[{"id":658,"uris":["http://zotero.org/users/12063231/items/ULPEJA2R"],"itemData":{"id":658,"type":"article-journal","abstract":"Acetylene is identified as a key intermediate in methane dehydroaromatization (DHA) reactions present in concentrations O(1) Pascal. The rank of acetylene and other C2 hydrocarbon intermediates is determined by conversion-selectivity profiles collected from 0.01% to 8% methane conversion varied by extent of “non-selective” deactivation of Mo/H-ZSM-5 catalysts. Ethane is shown to be the sole primary product of methane pyrolysis and is sequentially dehydrogenated to ethylene and acetylene – which aromatizes to benzene with rates similar to direct acetylene aromatization measured in the absence of methane. The influence of CH cleavage and CC coupling events to control the rate and reversibility of DHA is assessed by the degree of reversibility control, introduced here for the first time, and the degree of rate control. The approach to equilibrium of the methane to benzene synthesis reaction is length averaged and affinity averaged by the degree of reversibility control of each intervening elementary step to rigorously calculate forward rates of benzene synthesis by use of De Donder relations. Forward rates are found to be invariant along the catalyst bed once the DHA network reaches a pseudo-steady state and methane, ethane, and ethylene form an equilibrated pool.","container-title":"Journal of Catalysis","DOI":"10.1016/j.jcat.2019.11.004","ISSN":"0021-9517","journalAbbreviation":"Journal of Catalysis","page":"261-270","source":"ScienceDirect","title":"Influence of ethylene and acetylene on the rate and reversibility of methane dehydroaromatization on Mo/H-ZSM-5 catalysts","volume":"381","author":[{"family":"Razdan","given":"Neil K."},{"family":"Kumar","given":"Anurag"},{"family":"Foley","given":"Brandon L."},{"family":"Bhan","given":"Aditya"}],"issued":{"date-parts":[["2020",1,1]]}}}],"schema":"https://github.com/citation-style-language/schema/raw/master/csl-citation.json"} </w:instrText>
      </w:r>
      <w:r>
        <w:fldChar w:fldCharType="separate"/>
      </w:r>
      <w:r w:rsidR="00CA7A9D" w:rsidRPr="00CA7A9D">
        <w:rPr>
          <w:rFonts w:ascii="Aptos" w:hAnsi="Aptos"/>
        </w:rPr>
        <w:t>[51]</w:t>
      </w:r>
      <w:r>
        <w:fldChar w:fldCharType="end"/>
      </w:r>
      <w:r>
        <w:t xml:space="preserve"> suggested the following scheme since he hypothesized that, of the C</w:t>
      </w:r>
      <w:r>
        <w:rPr>
          <w:vertAlign w:val="subscript"/>
        </w:rPr>
        <w:t>2</w:t>
      </w:r>
      <w:r>
        <w:t xml:space="preserve"> intermediates, acetylene is easily the most readily aromatized into benzene. </w:t>
      </w:r>
    </w:p>
    <w:p w14:paraId="164EEA41" w14:textId="77777777" w:rsidR="00E170BA" w:rsidRDefault="00924E48" w:rsidP="00E170BA">
      <m:oMathPara>
        <m:oMath>
          <m:box>
            <m:boxPr>
              <m:opEmu m:val="1"/>
              <m:ctrlPr>
                <w:rPr>
                  <w:rFonts w:ascii="Cambria Math" w:hAnsi="Cambria Math"/>
                  <w:i/>
                </w:rPr>
              </m:ctrlPr>
            </m:boxPr>
            <m:e>
              <m:r>
                <w:rPr>
                  <w:rFonts w:ascii="Cambria Math" w:hAnsi="Cambria Math"/>
                </w:rPr>
                <m:t>6</m:t>
              </m:r>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rPr>
                    <m:t>4</m:t>
                  </m:r>
                </m:sub>
              </m:sSub>
              <m:groupChr>
                <m:groupChrPr>
                  <m:chr m:val="→"/>
                  <m:pos m:val="top"/>
                  <m:ctrlPr>
                    <w:rPr>
                      <w:rFonts w:ascii="Cambria Math" w:hAnsi="Cambria Math"/>
                      <w:i/>
                    </w:rPr>
                  </m:ctrlPr>
                </m:groupChrPr>
                <m:e>
                  <m:r>
                    <w:rPr>
                      <w:rFonts w:ascii="Cambria Math" w:hAnsi="Cambria Math"/>
                    </w:rPr>
                    <m:t>+3</m:t>
                  </m:r>
                  <m:sSub>
                    <m:sSubPr>
                      <m:ctrlPr>
                        <w:rPr>
                          <w:rFonts w:ascii="Cambria Math" w:hAnsi="Cambria Math"/>
                          <w:i/>
                        </w:rPr>
                      </m:ctrlPr>
                    </m:sSubPr>
                    <m:e>
                      <m:r>
                        <w:rPr>
                          <w:rFonts w:ascii="Cambria Math" w:hAnsi="Cambria Math"/>
                        </w:rPr>
                        <m:t>H</m:t>
                      </m:r>
                    </m:e>
                    <m:sub>
                      <m:r>
                        <w:rPr>
                          <w:rFonts w:ascii="Cambria Math" w:hAnsi="Cambria Math"/>
                        </w:rPr>
                        <m:t>2</m:t>
                      </m:r>
                    </m:sub>
                  </m:sSub>
                </m:e>
              </m:groupChr>
              <m:r>
                <w:rPr>
                  <w:rFonts w:ascii="Cambria Math" w:hAnsi="Cambria Math"/>
                </w:rPr>
                <m:t>3</m:t>
              </m:r>
              <m:sSub>
                <m:sSubPr>
                  <m:ctrlPr>
                    <w:rPr>
                      <w:rFonts w:ascii="Cambria Math" w:hAnsi="Cambria Math"/>
                      <w:i/>
                    </w:rPr>
                  </m:ctrlPr>
                </m:sSubPr>
                <m:e>
                  <m:r>
                    <w:rPr>
                      <w:rFonts w:ascii="Cambria Math" w:hAnsi="Cambria Math"/>
                    </w:rPr>
                    <m:t>C</m:t>
                  </m:r>
                </m:e>
                <m:sub>
                  <m:r>
                    <w:rPr>
                      <w:rFonts w:ascii="Cambria Math" w:hAnsi="Cambria Math"/>
                    </w:rPr>
                    <m:t>2</m:t>
                  </m:r>
                </m:sub>
              </m:sSub>
              <m:sSub>
                <m:sSubPr>
                  <m:ctrlPr>
                    <w:rPr>
                      <w:rFonts w:ascii="Cambria Math" w:hAnsi="Cambria Math"/>
                      <w:i/>
                    </w:rPr>
                  </m:ctrlPr>
                </m:sSubPr>
                <m:e>
                  <m:r>
                    <w:rPr>
                      <w:rFonts w:ascii="Cambria Math" w:hAnsi="Cambria Math"/>
                    </w:rPr>
                    <m:t>H</m:t>
                  </m:r>
                </m:e>
                <m:sub>
                  <m:r>
                    <w:rPr>
                      <w:rFonts w:ascii="Cambria Math" w:hAnsi="Cambria Math"/>
                    </w:rPr>
                    <m:t>6</m:t>
                  </m:r>
                </m:sub>
              </m:sSub>
              <m:groupChr>
                <m:groupChrPr>
                  <m:chr m:val="→"/>
                  <m:pos m:val="top"/>
                  <m:ctrlPr>
                    <w:rPr>
                      <w:rFonts w:ascii="Cambria Math" w:hAnsi="Cambria Math"/>
                      <w:i/>
                    </w:rPr>
                  </m:ctrlPr>
                </m:groupChrPr>
                <m:e>
                  <m:r>
                    <w:rPr>
                      <w:rFonts w:ascii="Cambria Math" w:hAnsi="Cambria Math"/>
                    </w:rPr>
                    <m:t>+3</m:t>
                  </m:r>
                  <m:sSub>
                    <m:sSubPr>
                      <m:ctrlPr>
                        <w:rPr>
                          <w:rFonts w:ascii="Cambria Math" w:hAnsi="Cambria Math"/>
                          <w:i/>
                        </w:rPr>
                      </m:ctrlPr>
                    </m:sSubPr>
                    <m:e>
                      <m:r>
                        <w:rPr>
                          <w:rFonts w:ascii="Cambria Math" w:hAnsi="Cambria Math"/>
                        </w:rPr>
                        <m:t>H</m:t>
                      </m:r>
                    </m:e>
                    <m:sub>
                      <m:r>
                        <w:rPr>
                          <w:rFonts w:ascii="Cambria Math" w:hAnsi="Cambria Math"/>
                        </w:rPr>
                        <m:t>2</m:t>
                      </m:r>
                    </m:sub>
                  </m:sSub>
                </m:e>
              </m:groupChr>
              <m:r>
                <w:rPr>
                  <w:rFonts w:ascii="Cambria Math" w:hAnsi="Cambria Math"/>
                </w:rPr>
                <m:t>3</m:t>
              </m:r>
              <m:sSub>
                <m:sSubPr>
                  <m:ctrlPr>
                    <w:rPr>
                      <w:rFonts w:ascii="Cambria Math" w:hAnsi="Cambria Math"/>
                      <w:i/>
                    </w:rPr>
                  </m:ctrlPr>
                </m:sSubPr>
                <m:e>
                  <m:r>
                    <w:rPr>
                      <w:rFonts w:ascii="Cambria Math" w:hAnsi="Cambria Math"/>
                    </w:rPr>
                    <m:t>C</m:t>
                  </m:r>
                </m:e>
                <m:sub>
                  <m:r>
                    <w:rPr>
                      <w:rFonts w:ascii="Cambria Math" w:hAnsi="Cambria Math"/>
                    </w:rPr>
                    <m:t>2</m:t>
                  </m:r>
                </m:sub>
              </m:sSub>
              <m:sSub>
                <m:sSubPr>
                  <m:ctrlPr>
                    <w:rPr>
                      <w:rFonts w:ascii="Cambria Math" w:hAnsi="Cambria Math"/>
                      <w:i/>
                    </w:rPr>
                  </m:ctrlPr>
                </m:sSubPr>
                <m:e>
                  <m:r>
                    <w:rPr>
                      <w:rFonts w:ascii="Cambria Math" w:hAnsi="Cambria Math"/>
                    </w:rPr>
                    <m:t>H</m:t>
                  </m:r>
                </m:e>
                <m:sub>
                  <m:r>
                    <w:rPr>
                      <w:rFonts w:ascii="Cambria Math" w:hAnsi="Cambria Math"/>
                    </w:rPr>
                    <m:t>4</m:t>
                  </m:r>
                </m:sub>
              </m:sSub>
            </m:e>
          </m:box>
          <m:groupChr>
            <m:groupChrPr>
              <m:chr m:val="→"/>
              <m:pos m:val="top"/>
              <m:ctrlPr>
                <w:rPr>
                  <w:rFonts w:ascii="Cambria Math" w:hAnsi="Cambria Math"/>
                  <w:i/>
                </w:rPr>
              </m:ctrlPr>
            </m:groupChrPr>
            <m:e>
              <m:r>
                <w:rPr>
                  <w:rFonts w:ascii="Cambria Math" w:hAnsi="Cambria Math"/>
                </w:rPr>
                <m:t>+3</m:t>
              </m:r>
              <m:sSub>
                <m:sSubPr>
                  <m:ctrlPr>
                    <w:rPr>
                      <w:rFonts w:ascii="Cambria Math" w:hAnsi="Cambria Math"/>
                      <w:i/>
                    </w:rPr>
                  </m:ctrlPr>
                </m:sSubPr>
                <m:e>
                  <m:r>
                    <w:rPr>
                      <w:rFonts w:ascii="Cambria Math" w:hAnsi="Cambria Math"/>
                    </w:rPr>
                    <m:t>H</m:t>
                  </m:r>
                </m:e>
                <m:sub>
                  <m:r>
                    <w:rPr>
                      <w:rFonts w:ascii="Cambria Math" w:hAnsi="Cambria Math"/>
                    </w:rPr>
                    <m:t>2</m:t>
                  </m:r>
                </m:sub>
              </m:sSub>
            </m:e>
          </m:groupChr>
          <m:r>
            <w:rPr>
              <w:rFonts w:ascii="Cambria Math" w:hAnsi="Cambria Math"/>
            </w:rPr>
            <m:t>3</m:t>
          </m:r>
          <m:sSub>
            <m:sSubPr>
              <m:ctrlPr>
                <w:rPr>
                  <w:rFonts w:ascii="Cambria Math" w:hAnsi="Cambria Math"/>
                  <w:i/>
                </w:rPr>
              </m:ctrlPr>
            </m:sSubPr>
            <m:e>
              <m:r>
                <w:rPr>
                  <w:rFonts w:ascii="Cambria Math" w:hAnsi="Cambria Math"/>
                </w:rPr>
                <m:t>C</m:t>
              </m:r>
            </m:e>
            <m:sub>
              <m:r>
                <w:rPr>
                  <w:rFonts w:ascii="Cambria Math" w:hAnsi="Cambria Math"/>
                </w:rPr>
                <m:t>2</m:t>
              </m:r>
            </m:sub>
          </m:sSub>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6</m:t>
              </m:r>
            </m:sub>
          </m:sSub>
          <m:sSub>
            <m:sSubPr>
              <m:ctrlPr>
                <w:rPr>
                  <w:rFonts w:ascii="Cambria Math" w:hAnsi="Cambria Math"/>
                  <w:i/>
                </w:rPr>
              </m:ctrlPr>
            </m:sSubPr>
            <m:e>
              <m:r>
                <w:rPr>
                  <w:rFonts w:ascii="Cambria Math" w:hAnsi="Cambria Math"/>
                </w:rPr>
                <m:t>H</m:t>
              </m:r>
            </m:e>
            <m:sub>
              <m:r>
                <w:rPr>
                  <w:rFonts w:ascii="Cambria Math" w:hAnsi="Cambria Math"/>
                </w:rPr>
                <m:t>6</m:t>
              </m:r>
            </m:sub>
          </m:sSub>
        </m:oMath>
      </m:oMathPara>
    </w:p>
    <w:p w14:paraId="6C7D79C1" w14:textId="0D048E83" w:rsidR="00E170BA" w:rsidRDefault="00E170BA" w:rsidP="00E170BA">
      <w:r>
        <w:t xml:space="preserve">In Razdan’s scheme, ethylene dehydrogenation to acetylene is proposed to take place at Mo sites, while acetylene aromatization may be catalyzed by either Mo or Bronsted acid sites </w:t>
      </w:r>
      <w:r>
        <w:fldChar w:fldCharType="begin"/>
      </w:r>
      <w:r w:rsidR="00CA7A9D">
        <w:instrText xml:space="preserve"> ADDIN ZOTERO_ITEM CSL_CITATION {"citationID":"12oeVVy6","properties":{"formattedCitation":"[51]","plainCitation":"[51]","noteIndex":0},"citationItems":[{"id":658,"uris":["http://zotero.org/users/12063231/items/ULPEJA2R"],"itemData":{"id":658,"type":"article-journal","abstract":"Acetylene is identified as a key intermediate in methane dehydroaromatization (DHA) reactions present in concentrations O(1) Pascal. The rank of acetylene and other C2 hydrocarbon intermediates is determined by conversion-selectivity profiles collected from 0.01% to 8% methane conversion varied by extent of “non-selective” deactivation of Mo/H-ZSM-5 catalysts. Ethane is shown to be the sole primary product of methane pyrolysis and is sequentially dehydrogenated to ethylene and acetylene – which aromatizes to benzene with rates similar to direct acetylene aromatization measured in the absence of methane. The influence of CH cleavage and CC coupling events to control the rate and reversibility of DHA is assessed by the degree of reversibility control, introduced here for the first time, and the degree of rate control. The approach to equilibrium of the methane to benzene synthesis reaction is length averaged and affinity averaged by the degree of reversibility control of each intervening elementary step to rigorously calculate forward rates of benzene synthesis by use of De Donder relations. Forward rates are found to be invariant along the catalyst bed once the DHA network reaches a pseudo-steady state and methane, ethane, and ethylene form an equilibrated pool.","container-title":"Journal of Catalysis","DOI":"10.1016/j.jcat.2019.11.004","ISSN":"0021-9517","journalAbbreviation":"Journal of Catalysis","page":"261-270","source":"ScienceDirect","title":"Influence of ethylene and acetylene on the rate and reversibility of methane dehydroaromatization on Mo/H-ZSM-5 catalysts","volume":"381","author":[{"family":"Razdan","given":"Neil K."},{"family":"Kumar","given":"Anurag"},{"family":"Foley","given":"Brandon L."},{"family":"Bhan","given":"Aditya"}],"issued":{"date-parts":[["2020",1,1]]}}}],"schema":"https://github.com/citation-style-language/schema/raw/master/csl-citation.json"} </w:instrText>
      </w:r>
      <w:r>
        <w:fldChar w:fldCharType="separate"/>
      </w:r>
      <w:r w:rsidR="00CA7A9D" w:rsidRPr="00CA7A9D">
        <w:rPr>
          <w:rFonts w:ascii="Aptos" w:hAnsi="Aptos"/>
        </w:rPr>
        <w:t>[51]</w:t>
      </w:r>
      <w:r>
        <w:fldChar w:fldCharType="end"/>
      </w:r>
      <w:r>
        <w:t xml:space="preserve">. This somewhat all-inclusive setup is relatively complex compared to other successful models. For example, Fila et al. performed their work in 2015 under the assumption that ethylene is the only primary intermediate since it can be a byproduct of the reaction </w:t>
      </w:r>
      <w:r>
        <w:fldChar w:fldCharType="begin"/>
      </w:r>
      <w:r w:rsidR="00CA7A9D">
        <w:instrText xml:space="preserve"> ADDIN ZOTERO_ITEM CSL_CITATION {"citationID":"24zIl2lV","properties":{"formattedCitation":"[45]","plainCitation":"[45]","noteIndex":0},"citationItems":[{"id":654,"uris":["http://zotero.org/users/12063231/items/CWDE9EET"],"itemData":{"id":654,"type":"article-journal","abstract":"Non-oxidative methane dehydro-aromatization (MDA) over transitional metal-doped zeolites (i.e. ZSM-5) has a potential to be an alternative for methane transformation processes to higher hydrocarbons. Despite of systematic studies of the effects of the catalyst composition, preparation procedure, pretreatment, and the reaction conditions systematically followed since the pioneering works of the Chinese group in 1993, the suppression of fast deactivation of catalyst by coke deposition was still not solved successfully. In the present work the long-term MDA experiments at 973K and elevated pressures up to 600kPa were carried out with metal-doped Mo/ZSM-5 catalysts. Several Mo-based catalysts doped with various amount of Co, Mn, and Ce were prepared and tested in the MDA reaction. Experimental results are presented in terms of profiles of methane conversion as well as ethylene, benzene, and toluene concentrations as a function of time on stream, accompanied by the TGA analysis of the coke residue accumulated on the spent catalysts. The amount and nature of coke deposits which were influenced by introduction of different metals were also investigated. The Co content of 0.8wt% in Co-Mo/ZSM-5 catalyst was evaluated as optimal for total benzene production. Prolonged experiments showed the evident positive effect of higher reaction pressure on catalyst stability for all tested catalysts. Moreover, the Co–Mo/ZSM-5 catalyst showed better resistance to the deactivation by coke formation in comparison to Mo/ZSM-5 and M–Mo/ZSM-5 (where M=Mn, Ce) catalysts. In addition, the Ce-modified catalyst showed comparable higher production of toluene at elevated pressures.","collection-title":"CHISA CATALYSIS Selected proceedings, the CHISA congress, Prague, August 23-27, 2014","container-title":"Catalysis Today","DOI":"10.1016/j.cattod.2015.02.035","ISSN":"0920-5861","journalAbbreviation":"Catalysis Today","page":"269-275","source":"ScienceDirect","title":"Effect of addition of a second metal in Mo/ZSM-5 catalyst for methane aromatization reaction under elevated pressures","volume":"256","author":[{"family":"Fila","given":"Vlastimil"},{"family":"Bernauer","given":"Milan"},{"family":"Bernauer","given":"Bohumil"},{"family":"Sobalik","given":"Zdenek"}],"issued":{"date-parts":[["2015",11,1]]}}}],"schema":"https://github.com/citation-style-language/schema/raw/master/csl-citation.json"} </w:instrText>
      </w:r>
      <w:r>
        <w:fldChar w:fldCharType="separate"/>
      </w:r>
      <w:r w:rsidR="00CA7A9D" w:rsidRPr="00CA7A9D">
        <w:rPr>
          <w:rFonts w:ascii="Aptos" w:hAnsi="Aptos"/>
        </w:rPr>
        <w:t>[45]</w:t>
      </w:r>
      <w:r>
        <w:fldChar w:fldCharType="end"/>
      </w:r>
      <w:r>
        <w:t xml:space="preserve">. This assumption that ethylene is the primary (or only) intermediate is the most common practice seen over the last 30 years, but recent studies and models have combated this idea. In 2020, Razdan et al. performed a kinetic study and arrived at the conclusion that ethane is the initial product of C-C coupling, while acetylene is the aromatizing intermediate </w:t>
      </w:r>
      <w:r>
        <w:fldChar w:fldCharType="begin"/>
      </w:r>
      <w:r w:rsidR="00CA7A9D">
        <w:instrText xml:space="preserve"> ADDIN ZOTERO_ITEM CSL_CITATION {"citationID":"arj2sgopml","properties":{"formattedCitation":"[51]","plainCitation":"[51]","noteIndex":0},"citationItems":[{"id":658,"uris":["http://zotero.org/users/12063231/items/ULPEJA2R"],"itemData":{"id":658,"type":"article-journal","abstract":"Acetylene is identified as a key intermediate in methane dehydroaromatization (DHA) reactions present in concentrations O(1) Pascal. The rank of acetylene and other C2 hydrocarbon intermediates is determined by conversion-selectivity profiles collected from 0.01% to 8% methane conversion varied by extent of “non-selective” deactivation of Mo/H-ZSM-5 catalysts. Ethane is shown to be the sole primary product of methane pyrolysis and is sequentially dehydrogenated to ethylene and acetylene – which aromatizes to benzene with rates similar to direct acetylene aromatization measured in the absence of methane. The influence of CH cleavage and CC coupling events to control the rate and reversibility of DHA is assessed by the degree of reversibility control, introduced here for the first time, and the degree of rate control. The approach to equilibrium of the methane to benzene synthesis reaction is length averaged and affinity averaged by the degree of reversibility control of each intervening elementary step to rigorously calculate forward rates of benzene synthesis by use of De Donder relations. Forward rates are found to be invariant along the catalyst bed once the DHA network reaches a pseudo-steady state and methane, ethane, and ethylene form an equilibrated pool.","container-title":"Journal of Catalysis","DOI":"10.1016/j.jcat.2019.11.004","ISSN":"0021-9517","journalAbbreviation":"Journal of Catalysis","page":"261-270","source":"ScienceDirect","title":"Influence of ethylene and acetylene on the rate and reversibility of methane dehydroaromatization on Mo/H-ZSM-5 catalysts","volume":"381","author":[{"family":"Razdan","given":"Neil K."},{"family":"Kumar","given":"Anurag"},{"family":"Foley","given":"Brandon L."},{"family":"Bhan","given":"Aditya"}],"issued":{"date-parts":[["2020",1,1]]}}}],"schema":"https://github.com/citation-style-language/schema/raw/master/csl-citation.json"} </w:instrText>
      </w:r>
      <w:r>
        <w:fldChar w:fldCharType="separate"/>
      </w:r>
      <w:r w:rsidR="00CA7A9D" w:rsidRPr="00CA7A9D">
        <w:rPr>
          <w:rFonts w:ascii="Aptos" w:hAnsi="Aptos"/>
        </w:rPr>
        <w:t>[51]</w:t>
      </w:r>
      <w:r>
        <w:fldChar w:fldCharType="end"/>
      </w:r>
      <w:r>
        <w:t xml:space="preserve">. Likewise, in 2019, Vollmer et al. performed another study that showed very different reactivities of ethylene and methane over Mo-ZSM-5 and arrived at the conclusion that “ethylene might not be the actual intermediate” </w:t>
      </w:r>
      <w:r>
        <w:fldChar w:fldCharType="begin"/>
      </w:r>
      <w:r w:rsidR="00CA7A9D">
        <w:instrText xml:space="preserve"> ADDIN ZOTERO_ITEM CSL_CITATION {"citationID":"a2g63m8suu8","properties":{"formattedCitation":"[44], [60]","plainCitation":"[44], [60]","noteIndex":0},"citationItems":[{"id":638,"uris":["http://zotero.org/users/12063231/items/FUNE49BF"],"itemData":{"id":638,"type":"article-journal","abstract":"Non-oxidative dehydroaromatization is arguably the most promising process for the direct upgrading of cheap and abundant methane to liquid hydrocarbons. This reaction has not been commercialized yet because of the suboptimal activity and swift deactivation of benchmark Mo-zeolite catalysts. This progress report represents an elaboration on the recent developments in understanding of zeolite-based catalytic materials for high-temperature non-oxidative dehydroaromatization of methane. It is specifically focused on recent studies, relevant to the materials chemistry and elucidating i) the structure of active species in working catalysts; ii) the complex molecular pathways underlying the mechanism of selective conversion of methane to benzene; iii) structure, evolution and role of coke species; and iv) process intensification strategies to improve the deactivation resistance and overall performance of the catalysts. Finally, unsolved challenges in this field of research are outlined and an outlook is provided on promising directions toward improving the activity, stability, and selectivity of methane dehydroaromatization catalysts.","container-title":"Advanced Materials","DOI":"10.1002/adma.202002565","ISSN":"1521-4095","issue":"44","language":"en","license":"© 2020 The Authors. Published by WILEY-VCH Verlag GmbH &amp; Co. KGaA, Weinheim","note":"_eprint: https://onlinelibrary.wiley.com/doi/pdf/10.1002/adma.202002565","page":"2002565","source":"Wiley Online Library","title":"Reactivity, Selectivity, and Stability of Zeolite-Based Catalysts for Methane Dehydroaromatization","volume":"32","author":[{"family":"Kosinov","given":"Nikolay"},{"family":"Hensen","given":"Emiel J. M."}],"issued":{"date-parts":[["2020"]]}}},{"id":656,"uris":["http://zotero.org/users/12063231/items/6JCKENYQ"],"itemData":{"id":656,"type":"article-journal","abstract":"Methane dehydroaromatization (MDA) over Mo/HZSM-5 has been hypothesized in literature to proceed via a two-step mechanism: methane is first converted to ethylene on the molybdenum (Mo) functionality and then ethylene is oligomerized, cyclized and dehydrogenated on the Brønsted acid sites (BAS) of the HZSM-5 support. This hypothesis is tested by studying the conversion of ethylene at the same conditions as used for MDA, namely 700 °C, atmospheric pressure, and by co-feeding experiments with H2 and CH4. Our results suggest that ethylene is not the main intermediate for MDA, because the aromatic selectivities obtained from methane conversion are higher than selectivities measured during ethylene conversion. Furthermore, carbonaceous deposits formed during MDA have a lower density, are more hydrogenated and more active than the ones formed during ethylene aromatization (EDA). Similarly as for MDA, an activation period in which Mo carburizes to its active phase and an induction period, in which aromatics formation rates increase to their maximum are observed for ethylene conversion. The induction period, which was explained by the buildup of a hydrocarbon pool (HCP) is much faster with methane than with ethylene. This period, is attributed to a slow buildup of hydrocarbons, strongly adsorbed on Mo sites, because it is only observed with catalysts containing Mo. Hydrogen co-feeding with ethylene leads to the formation of more reactive coke species and a significantly prolonged lifetime of the catalyst, but not to a faster buildup of the HCP.","container-title":"ChemCatChem","DOI":"10.1002/cctc.201901655","ISSN":"1867-3899","issue":"2","language":"en","license":"©2019 The Authors. Published by Wiley-VCH Verlag GmbH &amp; Co. KGaA.","note":"_eprint: https://onlinelibrary.wiley.com/doi/pdf/10.1002/cctc.201901655","page":"544-549","source":"Wiley Online Library","title":"Aromatization of Ethylene – Main Intermediate for MDA?","volume":"12","author":[{"family":"Vollmer","given":"Ina"},{"family":"Abou-Hamad","given":"Edy"},{"family":"Gascon","given":"Jorge"},{"family":"Kapteijn","given":"Freek"}],"issued":{"date-parts":[["2020"]]}}}],"schema":"https://github.com/citation-style-language/schema/raw/master/csl-citation.json"} </w:instrText>
      </w:r>
      <w:r>
        <w:fldChar w:fldCharType="separate"/>
      </w:r>
      <w:r w:rsidR="00CA7A9D" w:rsidRPr="00CA7A9D">
        <w:rPr>
          <w:rFonts w:ascii="Aptos" w:hAnsi="Aptos"/>
        </w:rPr>
        <w:t>[44], [60]</w:t>
      </w:r>
      <w:r>
        <w:fldChar w:fldCharType="end"/>
      </w:r>
      <w:r>
        <w:t xml:space="preserve">. The combination of Razdan’s and Vollmer’s studies indicate the wide variety of opinions and discussion on the reaction mechanism. Despite this variety, it is important to note that most of the literature supports the idea of ethylene as an intermediate, and this idea is commonly represented in modeling efforts. Only more recent studies indicate that ethylene is likely joined by several other intermediates </w:t>
      </w:r>
      <w:r>
        <w:fldChar w:fldCharType="begin"/>
      </w:r>
      <w:r w:rsidR="00CA7A9D">
        <w:instrText xml:space="preserve"> ADDIN ZOTERO_ITEM CSL_CITATION {"citationID":"Rx196I6p","properties":{"formattedCitation":"[51], [60]","plainCitation":"[51], [60]","noteIndex":0},"citationItems":[{"id":658,"uris":["http://zotero.org/users/12063231/items/ULPEJA2R"],"itemData":{"id":658,"type":"article-journal","abstract":"Acetylene is identified as a key intermediate in methane dehydroaromatization (DHA) reactions present in concentrations O(1) Pascal. The rank of acetylene and other C2 hydrocarbon intermediates is determined by conversion-selectivity profiles collected from 0.01% to 8% methane conversion varied by extent of “non-selective” deactivation of Mo/H-ZSM-5 catalysts. Ethane is shown to be the sole primary product of methane pyrolysis and is sequentially dehydrogenated to ethylene and acetylene – which aromatizes to benzene with rates similar to direct acetylene aromatization measured in the absence of methane. The influence of CH cleavage and CC coupling events to control the rate and reversibility of DHA is assessed by the degree of reversibility control, introduced here for the first time, and the degree of rate control. The approach to equilibrium of the methane to benzene synthesis reaction is length averaged and affinity averaged by the degree of reversibility control of each intervening elementary step to rigorously calculate forward rates of benzene synthesis by use of De Donder relations. Forward rates are found to be invariant along the catalyst bed once the DHA network reaches a pseudo-steady state and methane, ethane, and ethylene form an equilibrated pool.","container-title":"Journal of Catalysis","DOI":"10.1016/j.jcat.2019.11.004","ISSN":"0021-9517","journalAbbreviation":"Journal of Catalysis","page":"261-270","source":"ScienceDirect","title":"Influence of ethylene and acetylene on the rate and reversibility of methane dehydroaromatization on Mo/H-ZSM-5 catalysts","volume":"381","author":[{"family":"Razdan","given":"Neil K."},{"family":"Kumar","given":"Anurag"},{"family":"Foley","given":"Brandon L."},{"family":"Bhan","given":"Aditya"}],"issued":{"date-parts":[["2020",1,1]]}}},{"id":656,"uris":["http://zotero.org/users/12063231/items/6JCKENYQ"],"itemData":{"id":656,"type":"article-journal","abstract":"Methane dehydroaromatization (MDA) over Mo/HZSM-5 has been hypothesized in literature to proceed via a two-step mechanism: methane is first converted to ethylene on the molybdenum (Mo) functionality and then ethylene is oligomerized, cyclized and dehydrogenated on the Brønsted acid sites (BAS) of the HZSM-5 support. This hypothesis is tested by studying the conversion of ethylene at the same conditions as used for MDA, namely 700 °C, atmospheric pressure, and by co-feeding experiments with H2 and CH4. Our results suggest that ethylene is not the main intermediate for MDA, because the aromatic selectivities obtained from methane conversion are higher than selectivities measured during ethylene conversion. Furthermore, carbonaceous deposits formed during MDA have a lower density, are more hydrogenated and more active than the ones formed during ethylene aromatization (EDA). Similarly as for MDA, an activation period in which Mo carburizes to its active phase and an induction period, in which aromatics formation rates increase to their maximum are observed for ethylene conversion. The induction period, which was explained by the buildup of a hydrocarbon pool (HCP) is much faster with methane than with ethylene. This period, is attributed to a slow buildup of hydrocarbons, strongly adsorbed on Mo sites, because it is only observed with catalysts containing Mo. Hydrogen co-feeding with ethylene leads to the formation of more reactive coke species and a significantly prolonged lifetime of the catalyst, but not to a faster buildup of the HCP.","container-title":"ChemCatChem","DOI":"10.1002/cctc.201901655","ISSN":"1867-3899","issue":"2","language":"en","license":"©2019 The Authors. Published by Wiley-VCH Verlag GmbH &amp; Co. KGaA.","note":"_eprint: https://onlinelibrary.wiley.com/doi/pdf/10.1002/cctc.201901655","page":"544-549","source":"Wiley Online Library","title":"Aromatization of Ethylene – Main Intermediate for MDA?","volume":"12","author":[{"family":"Vollmer","given":"Ina"},{"family":"Abou-Hamad","given":"Edy"},{"family":"Gascon","given":"Jorge"},{"family":"Kapteijn","given":"Freek"}],"issued":{"date-parts":[["2020"]]}}}],"schema":"https://github.com/citation-style-language/schema/raw/master/csl-citation.json"} </w:instrText>
      </w:r>
      <w:r>
        <w:fldChar w:fldCharType="separate"/>
      </w:r>
      <w:r w:rsidR="00CA7A9D" w:rsidRPr="00CA7A9D">
        <w:rPr>
          <w:rFonts w:ascii="Aptos" w:hAnsi="Aptos"/>
        </w:rPr>
        <w:t>[51], [60]</w:t>
      </w:r>
      <w:r>
        <w:fldChar w:fldCharType="end"/>
      </w:r>
      <w:r>
        <w:t>.</w:t>
      </w:r>
    </w:p>
    <w:p w14:paraId="24B4DF85" w14:textId="3A0DD21D" w:rsidR="00E170BA" w:rsidRDefault="00E170BA" w:rsidP="00E170BA">
      <w:r>
        <w:lastRenderedPageBreak/>
        <w:t xml:space="preserve">It is also interesting to note the effect of various additives on the reaction. For example, </w:t>
      </w:r>
      <w:proofErr w:type="spellStart"/>
      <w:r>
        <w:t>Skutil</w:t>
      </w:r>
      <w:proofErr w:type="spellEnd"/>
      <w:r>
        <w:t xml:space="preserve"> et al. found that adding small amounts of CO and CO</w:t>
      </w:r>
      <w:r>
        <w:rPr>
          <w:vertAlign w:val="subscript"/>
        </w:rPr>
        <w:t>2</w:t>
      </w:r>
      <w:r>
        <w:t xml:space="preserve"> to the methane resulted in enhanced catalyst stability and promoted benzene production </w:t>
      </w:r>
      <w:r>
        <w:fldChar w:fldCharType="begin"/>
      </w:r>
      <w:r w:rsidR="00CA7A9D">
        <w:instrText xml:space="preserve"> ADDIN ZOTERO_ITEM CSL_CITATION {"citationID":"LlGK9is1","properties":{"formattedCitation":"[54]","plainCitation":"[54]","noteIndex":0},"citationItems":[{"id":603,"uris":["http://zotero.org/users/12063231/items/U3JFYFA9"],"itemData":{"id":603,"type":"article-journal","abstract":"The investigations on transformation of methane to benzene and naphthalene have been carried out in aim to verify and supplement earlier reported data and on this basis to estimate real industrial perspectives of the CH4 aromatization concept, the main challenges and barriers. Methane aromatization (direct and via oxidative coupling) has been studied over Mo/HZSM-5 catalyst used both for direct methane dehydroaromatization and for aromatization of methane oxidative coupling (OCM) products. The effects of Mo content in the catalyst, temperature, space velocity, the presence of CO2, CO, H2O, C2H4, C2H6 and their mixtures in the feed have been studied. The effectiveness of the catalyst regeneration in the air was also examined. All results were confronted with the literature data and analyzed from technological point of view. It was confirmed that direct CH4 aromatization process was characterized by a low CH4 single-pass conversion, low single-pass yields of the main products (benzene, hydrogen and naphthalene) and a low catalyst stability (rapid catalyst deactivation). Various possible technological schemes were analyzed. It was concluded that real industrial chances of direct methane aromatization or aromatization via OCM would depend largely on the advancement in the cost-effective separation techniques. The methane aromatization concept was also confronted with other methane conversion processes.","container-title":"Fuel Processing Technology","DOI":"10.1016/j.fuproc.2005.12.001","ISSN":"0378-3820","issue":"6","journalAbbreviation":"Fuel Processing Technology","page":"511-521","source":"ScienceDirect","title":"Some technological aspects of methane aromatization (direct and via oxidative coupling)","volume":"87","author":[{"family":"Skutil","given":"Krzysztof"},{"family":"Taniewski","given":"Marian"}],"issued":{"date-parts":[["2006",6,1]]}}}],"schema":"https://github.com/citation-style-language/schema/raw/master/csl-citation.json"} </w:instrText>
      </w:r>
      <w:r>
        <w:fldChar w:fldCharType="separate"/>
      </w:r>
      <w:r w:rsidR="00CA7A9D" w:rsidRPr="00CA7A9D">
        <w:rPr>
          <w:rFonts w:ascii="Aptos" w:hAnsi="Aptos"/>
        </w:rPr>
        <w:t>[54]</w:t>
      </w:r>
      <w:r>
        <w:fldChar w:fldCharType="end"/>
      </w:r>
      <w:r>
        <w:t>. However, large amounts of carbon oxides would completely suppress the catalyst activity very quickly. Similarly, adding large amounts of water (9.5%) had the same effect of complete catalyst deactivation. Additionally, aiding the case for C</w:t>
      </w:r>
      <w:r>
        <w:rPr>
          <w:vertAlign w:val="subscript"/>
        </w:rPr>
        <w:t>2</w:t>
      </w:r>
      <w:r>
        <w:t xml:space="preserve">’s as intermediates, adding minor amounts of ethylene and ethane to the inlet methane stream significantly increased benzene yield </w:t>
      </w:r>
      <w:r>
        <w:fldChar w:fldCharType="begin"/>
      </w:r>
      <w:r w:rsidR="00CA7A9D">
        <w:instrText xml:space="preserve"> ADDIN ZOTERO_ITEM CSL_CITATION {"citationID":"XplIg6u5","properties":{"formattedCitation":"[54]","plainCitation":"[54]","noteIndex":0},"citationItems":[{"id":603,"uris":["http://zotero.org/users/12063231/items/U3JFYFA9"],"itemData":{"id":603,"type":"article-journal","abstract":"The investigations on transformation of methane to benzene and naphthalene have been carried out in aim to verify and supplement earlier reported data and on this basis to estimate real industrial perspectives of the CH4 aromatization concept, the main challenges and barriers. Methane aromatization (direct and via oxidative coupling) has been studied over Mo/HZSM-5 catalyst used both for direct methane dehydroaromatization and for aromatization of methane oxidative coupling (OCM) products. The effects of Mo content in the catalyst, temperature, space velocity, the presence of CO2, CO, H2O, C2H4, C2H6 and their mixtures in the feed have been studied. The effectiveness of the catalyst regeneration in the air was also examined. All results were confronted with the literature data and analyzed from technological point of view. It was confirmed that direct CH4 aromatization process was characterized by a low CH4 single-pass conversion, low single-pass yields of the main products (benzene, hydrogen and naphthalene) and a low catalyst stability (rapid catalyst deactivation). Various possible technological schemes were analyzed. It was concluded that real industrial chances of direct methane aromatization or aromatization via OCM would depend largely on the advancement in the cost-effective separation techniques. The methane aromatization concept was also confronted with other methane conversion processes.","container-title":"Fuel Processing Technology","DOI":"10.1016/j.fuproc.2005.12.001","ISSN":"0378-3820","issue":"6","journalAbbreviation":"Fuel Processing Technology","page":"511-521","source":"ScienceDirect","title":"Some technological aspects of methane aromatization (direct and via oxidative coupling)","volume":"87","author":[{"family":"Skutil","given":"Krzysztof"},{"family":"Taniewski","given":"Marian"}],"issued":{"date-parts":[["2006",6,1]]}}}],"schema":"https://github.com/citation-style-language/schema/raw/master/csl-citation.json"} </w:instrText>
      </w:r>
      <w:r>
        <w:fldChar w:fldCharType="separate"/>
      </w:r>
      <w:r w:rsidR="00CA7A9D" w:rsidRPr="00CA7A9D">
        <w:rPr>
          <w:rFonts w:ascii="Aptos" w:hAnsi="Aptos"/>
        </w:rPr>
        <w:t>[54]</w:t>
      </w:r>
      <w:r>
        <w:fldChar w:fldCharType="end"/>
      </w:r>
      <w:r>
        <w:t xml:space="preserve">. </w:t>
      </w:r>
    </w:p>
    <w:p w14:paraId="49EFB547" w14:textId="77777777" w:rsidR="00E170BA" w:rsidRDefault="00E170BA" w:rsidP="00E170BA">
      <w:pPr>
        <w:pStyle w:val="Heading3"/>
      </w:pPr>
      <w:bookmarkStart w:id="38" w:name="_Toc156393742"/>
      <w:bookmarkStart w:id="39" w:name="_Toc165641058"/>
      <w:r>
        <w:t>2.2.6 Modeling the MDA Reaction</w:t>
      </w:r>
      <w:bookmarkEnd w:id="38"/>
      <w:bookmarkEnd w:id="39"/>
    </w:p>
    <w:p w14:paraId="0C0A34F8" w14:textId="225F82C5" w:rsidR="00E170BA" w:rsidRDefault="00E170BA" w:rsidP="00E170BA">
      <w:r>
        <w:t xml:space="preserve">Many attempts have been made to simulate the MDA process </w:t>
      </w:r>
      <w:proofErr w:type="gramStart"/>
      <w:r>
        <w:t>in an effort to</w:t>
      </w:r>
      <w:proofErr w:type="gramEnd"/>
      <w:r>
        <w:t xml:space="preserve"> envision it in an industrial setting. One of the earliest attempts was made in 2001 when Lin Li et al. generated a model with CHEMKIN using a detailed reaction-transport model with a plug flow tubular reactor </w:t>
      </w:r>
      <w:r>
        <w:fldChar w:fldCharType="begin"/>
      </w:r>
      <w:r w:rsidR="00CA7A9D">
        <w:instrText xml:space="preserve"> ADDIN ZOTERO_ITEM CSL_CITATION {"citationID":"TEGYbh29","properties":{"formattedCitation":"[59]","plainCitation":"[59]","noteIndex":0},"citationItems":[{"id":677,"uris":["http://zotero.org/users/12063231/items/HSKF286L"],"itemData":{"id":677,"type":"article-journal","abstract":"Detailed kinetic-transport models were used to explore thermodynamic and kinetic barriers in the non-oxidative conversion of CH4 via homogeneous and homogeneous–heterogeneous pathways and the effects of continuous hydrogen removal and of catalytic sites on attainable yields of useful C2–C10 products. The homogeneous kinetic model combines separately developed models for low-conversion pyrolysis and for chain growth to form large aromatics and carbon. The H2 formed in the reaction decreases CH4 pyrolysis rates and equilibrium conversions and it favors the formation of lighter products. The removal of H2 along tubular reactors with permeable walls increases reaction rates and equilibrium CH4 conversions. C2–C10 yields reach values greater than 90% at intermediate values of dimensionless transport rates (δ=1–10), defined as the ratio hydrogen transport and methane conversion rates. Homogeneous reactions require impractical residence times, even with H2 removal, because of slow initiation and chain transfer rates. The introduction of heterogeneous chain initiation pathways using surface sites that form methyl radicals eliminates the induction period without influencing the homogeneous product distribution. Methane conversion, however, occurs predominately in the chain transfer regime, within which individual transfer steps and the formation of C2 intermediates become limited by thermodynamic constraints. Catalytic sites alone cannot overcome these constraints. Catalytic membrane reactors with continuous H2 removal remove these thermodynamic obstacles and decrease the required residence time. Reaction rates become limited by homogeneous reactions of C2 products to form C6+ aromatics. Higher δ values lead to subsequent conversion of the desired C2–C10 products to larger polynuclear aromatics. We conclude that catalytic methane pyrolysis at the low temperatures required for restricted chain growth and the elimination of thermodynamics constraints via continuous hydrogen removal provide a practical path for the direct conversion of methane to higher hydrocarbons. The rigorous design criteria developed are being implemented using shape-selective bifunctional pyrolysis catalysts and perovskite membrane films in a parallel experimental effort.","container-title":"Chemical Engineering Science","DOI":"10.1016/S0009-2509(00)00465-6","ISSN":"0009-2509","issue":"5","journalAbbreviation":"Chemical Engineering Science","page":"1869-1881","source":"ScienceDirect","title":"Reaction-transport simulations of non-oxidative methane conversion with continuous hydrogen removal — homogeneous–heterogeneous reaction pathways","volume":"56","author":[{"family":"Li","given":"Lin"},{"family":"W. Borry","given":"Richard"},{"family":"Iglesia","given":"Enrique"}],"issued":{"date-parts":[["2001",3,1]]}}}],"schema":"https://github.com/citation-style-language/schema/raw/master/csl-citation.json"} </w:instrText>
      </w:r>
      <w:r>
        <w:fldChar w:fldCharType="separate"/>
      </w:r>
      <w:r w:rsidR="00CA7A9D" w:rsidRPr="00CA7A9D">
        <w:rPr>
          <w:rFonts w:ascii="Aptos" w:hAnsi="Aptos"/>
        </w:rPr>
        <w:t>[59]</w:t>
      </w:r>
      <w:r>
        <w:fldChar w:fldCharType="end"/>
      </w:r>
      <w:r>
        <w:t xml:space="preserve">. This model was successful at 950 </w:t>
      </w:r>
      <m:oMath>
        <m:r>
          <w:rPr>
            <w:rFonts w:ascii="Cambria Math" w:hAnsi="Cambria Math"/>
          </w:rPr>
          <m:t>°</m:t>
        </m:r>
      </m:oMath>
      <w:r>
        <w:rPr>
          <w:rFonts w:eastAsiaTheme="minorEastAsia"/>
        </w:rPr>
        <w:t>K and a CH</w:t>
      </w:r>
      <w:r>
        <w:rPr>
          <w:rFonts w:eastAsiaTheme="minorEastAsia"/>
          <w:vertAlign w:val="subscript"/>
        </w:rPr>
        <w:t xml:space="preserve">4 </w:t>
      </w:r>
      <w:r>
        <w:t xml:space="preserve">partial pressure of 0.5 bar, utilizing ethylene as the only intermediate. The model also assumed production of both benzene and naphthalene. In 2018, Zhu et al. also suggested a model with the same products and ethylene as the intermediate. Zhu et al.’s model made use of a Langmuir-Hinshelwood model governed by 3 global reactions: methane to ethylene, ethylene to benzene, and benzene to naphthalene </w:t>
      </w:r>
      <w:r>
        <w:fldChar w:fldCharType="begin"/>
      </w:r>
      <w:r w:rsidR="00CA7A9D">
        <w:instrText xml:space="preserve"> ADDIN ZOTERO_ITEM CSL_CITATION {"citationID":"HSINhohQ","properties":{"formattedCitation":"[61]","plainCitation":"[61]","noteIndex":0},"citationItems":[{"id":679,"uris":["http://zotero.org/users/12063231/items/WKKF65LF"],"itemData":{"id":679,"type":"article-journal","abstract":"An alternative to flaring of surplus natural gas is methane dehydroaromatization (MDA) to benzene (C6H6) over a bifunctional molybdenum/zeolite catalyst. Byproducts include H2, C2H4, and naphthalene (C10H8). While an MDA detailed elementary reaction mechanism is now available, a simpler global kinetic model is more useful for engineering and screening calculations. A literature three-step reaction model exists but with rate constants only at 950</w:instrText>
      </w:r>
      <w:r w:rsidR="00CA7A9D">
        <w:rPr>
          <w:rFonts w:ascii="Arial" w:hAnsi="Arial" w:cs="Arial"/>
        </w:rPr>
        <w:instrText> </w:instrText>
      </w:r>
      <w:r w:rsidR="00CA7A9D">
        <w:instrText>K. In the current work, Arrhenius parameters for the three global reactions have been determined over 948</w:instrText>
      </w:r>
      <w:r w:rsidR="00CA7A9D">
        <w:rPr>
          <w:rFonts w:ascii="Aptos" w:hAnsi="Aptos" w:cs="Aptos"/>
        </w:rPr>
        <w:instrText>–</w:instrText>
      </w:r>
      <w:r w:rsidR="00CA7A9D">
        <w:instrText>1023</w:instrText>
      </w:r>
      <w:r w:rsidR="00CA7A9D">
        <w:rPr>
          <w:rFonts w:ascii="Arial" w:hAnsi="Arial" w:cs="Arial"/>
        </w:rPr>
        <w:instrText> </w:instrText>
      </w:r>
      <w:r w:rsidR="00CA7A9D">
        <w:instrText>K based on a regression of major gas species concentration data generated from Chemkin</w:instrText>
      </w:r>
      <w:r w:rsidR="00CA7A9D">
        <w:rPr>
          <w:rFonts w:ascii="Aptos" w:hAnsi="Aptos" w:cs="Aptos"/>
        </w:rPr>
        <w:instrText>®</w:instrText>
      </w:r>
      <w:r w:rsidR="00CA7A9D">
        <w:instrText xml:space="preserve"> simulations of a packed bed reactor running the detailed MDA mechanism. In addition, the three-step model is used to illustrate the need to remove H2, perhaps through a membranous reactor wall, in order to overcome strong equilibrium CH4 conversion limitations. Such H2 removal, though, improves C10H8 selectivity at the expense of C6H6.","container-title":"Chemical Engineering Science","DOI":"10.1016/j.ces.2017.11.001","ISSN":"0009-2509","journalAbbreviation":"Chemical Engineering Science","page":"132-138","source":"ScienceDirect","title":"Extension to multiple temperatures of a three-reaction global kinetic model for methane dehydroaromatization","volume":"177","author":[{"family":"Zhu","given":"Y."},{"family":"Al-ebbinni","given":"N."},{"family":"Henney","given":"R."},{"family":"Yi","given":"C."},{"family":"Barat","given":"R."}],"issued":{"date-parts":[["2018",2,23]]}}}],"schema":"https://github.com/citation-style-language/schema/raw/master/csl-citation.json"} </w:instrText>
      </w:r>
      <w:r>
        <w:fldChar w:fldCharType="separate"/>
      </w:r>
      <w:r w:rsidR="00CA7A9D" w:rsidRPr="00CA7A9D">
        <w:rPr>
          <w:rFonts w:ascii="Aptos" w:hAnsi="Aptos"/>
        </w:rPr>
        <w:t>[61]</w:t>
      </w:r>
      <w:r>
        <w:fldChar w:fldCharType="end"/>
      </w:r>
      <w:r>
        <w:t>.</w:t>
      </w:r>
    </w:p>
    <w:p w14:paraId="7E9ECF34" w14:textId="3F4EC149" w:rsidR="00E170BA" w:rsidRDefault="00E170BA" w:rsidP="00E170BA">
      <w:r>
        <w:t xml:space="preserve">Zhu et al.’s model successfully simulated existing data from an isothermal packed bed reactor and is one of the most conclusive and definitive modeling attempts to date. The findings from this model have important implications for both research and industrial application. </w:t>
      </w:r>
      <w:r w:rsidRPr="005C7AD7">
        <w:t>For research and development purposes, this model insinuates that the MDA reaction can be accurately modeled to predict aromatic yield with ethylene as the intermediate, regardless of whether other intermediates or hydrocarbon pooling take place.</w:t>
      </w:r>
      <w:r>
        <w:t xml:space="preserve"> The model also confirms the fact that methane recycling </w:t>
      </w:r>
      <w:r w:rsidR="00E9792B">
        <w:t>is</w:t>
      </w:r>
      <w:r>
        <w:t xml:space="preserve"> required in commercial scale up for MDA. This is due to the methane conversion rate being equilibrium-limited to only 12% in the model. As a result of this limitation, a variety of researchers have suggested the implementation of extracting the hydrogen through a membranous wall or through pressure swing adsorption to increase the methane conversion </w:t>
      </w:r>
      <w:r>
        <w:fldChar w:fldCharType="begin"/>
      </w:r>
      <w:r w:rsidR="00CA7A9D">
        <w:instrText xml:space="preserve"> ADDIN ZOTERO_ITEM CSL_CITATION {"citationID":"TaOnX4Jw","properties":{"formattedCitation":"[57], [58], [61]","plainCitation":"[57], [58], [61]","noteIndex":0},"citationItems":[{"id":679,"uris":["http://zotero.org/users/12063231/items/WKKF65LF"],"itemData":{"id":679,"type":"article-journal","abstract":"An alternative to flaring of surplus natural gas is methane dehydroaromatization (MDA) to benzene (C6H6) over a bifunctional molybdenum/zeolite catalyst. Byproducts include H2, C2H4, and naphthalene (C10H8). While an MDA detailed elementary reaction mechanism is now available, a simpler global kinetic model is more useful for engineering and screening calculations. A literature three-step reaction model exists but with rate constants only at 950</w:instrText>
      </w:r>
      <w:r w:rsidR="00CA7A9D">
        <w:rPr>
          <w:rFonts w:ascii="Arial" w:hAnsi="Arial" w:cs="Arial"/>
        </w:rPr>
        <w:instrText> </w:instrText>
      </w:r>
      <w:r w:rsidR="00CA7A9D">
        <w:instrText>K. In the current work, Arrhenius parameters for the three global reactions have been determined over 948</w:instrText>
      </w:r>
      <w:r w:rsidR="00CA7A9D">
        <w:rPr>
          <w:rFonts w:ascii="Aptos" w:hAnsi="Aptos" w:cs="Aptos"/>
        </w:rPr>
        <w:instrText>–</w:instrText>
      </w:r>
      <w:r w:rsidR="00CA7A9D">
        <w:instrText>1023</w:instrText>
      </w:r>
      <w:r w:rsidR="00CA7A9D">
        <w:rPr>
          <w:rFonts w:ascii="Arial" w:hAnsi="Arial" w:cs="Arial"/>
        </w:rPr>
        <w:instrText> </w:instrText>
      </w:r>
      <w:r w:rsidR="00CA7A9D">
        <w:instrText>K based on a regression of major gas species concentration data generated from Chemkin</w:instrText>
      </w:r>
      <w:r w:rsidR="00CA7A9D">
        <w:rPr>
          <w:rFonts w:ascii="Aptos" w:hAnsi="Aptos" w:cs="Aptos"/>
        </w:rPr>
        <w:instrText>®</w:instrText>
      </w:r>
      <w:r w:rsidR="00CA7A9D">
        <w:instrText xml:space="preserve"> simulations of a packed bed reactor running the detailed MDA mechanism. In addition, the three-step model is used to illustrate the need to remove H2, perhaps through a membranous reactor wall, in order to overcome strong equilibrium CH4 conversion limitations. Such H2 removal, though, improves C10H8 selectivity at the expense of C6H6.","container-title":"Chemical Engineering Science","DOI":"10.1016/j.ces.2017.11.001","ISSN":"0009-2509","journalAbbreviation":"Chemical Engineering Science","page":"132-138","source":"ScienceDirect","title":"Extension to multiple temperatures of a three-reaction global kinetic model for methane dehydroaromatization","volume":"177","author":[{"family":"Zhu","given":"Y."},{"family":"Al-ebbinni","given":"N."},{"family":"Henney","given":"R."},{"family":"Yi","given":"C."},{"family":"Barat","given":"R."}],"issued":{"date-parts":[["2018",2,23]]}}},{"id":681,"uris":["http://zotero.org/users/12063231/items/7RRWDKWU"],"itemData":{"id":681,"type":"article-journal","abstract":"In the direct nonoxidative conversion of methane gas to liquid chemicals, it has been shown that continuous removal of produced hydrogen is a way to overcome the thermodynamic limit of low equilibrium methane conversion. A plug-flow, isothermal membrane reactor model was developed for the conversion of methane gas to aromatics over Mo/H-ZSM5 and integrated in an Aspen Plus process model using COCO (CAPE-OPEN to CAPE-OPEN) Simulator. Parameters such as reaction rate constants and equilibrium coefficients required by the model were obtained using experimental data. The reactor employs a simplified reaction network whose product distributions agree well with other models and published results. Damkohler number of 0.5 and a dimensionless hydrogen removal parameter δ of 10 were found to be the optimum parameters for benzene selectivity. The reactor model being embedded in the process allows for more detailed exploration of the impact of reactor parameters on the process as a whole. Methane conversion remains at 10.9% and 20% for each case with or without recycle. Benzene molar flow increases by 72% for the single pass configuration when Da=0.5 and δ=10 are used; however, naphthalene molar flow increases by 215%.","container-title":"Fuel","DOI":"10.1016/j.fuel.2016.03.073","ISSN":"0016-2361","journalAbbreviation":"Fuel","page":"202-209","source":"ScienceDirect","title":"Membrane reactor system model for gas conversion to benzene","volume":"179","author":[{"family":"Corredor","given":"E. Camilo"},{"family":"Chitta","given":"Pallavi"},{"family":"Deo","given":"Milind"}],"issued":{"date-parts":[["2016",9,1]]}}},{"id":147,"uris":["http://zotero.org/users/12063231/items/ZZVBUZBY"],"itemData":{"id":147,"type":"article-journal","abstract":"Natural gas is widely abundant and relatively inexpensive. As such, large quantities are flared every year. This presents an opportunity to use natural gas as a chemical feedstock. Non-oxidative dehydroaromatization of methane, the major component of natural gas is proposed as an option to monetize natural gas. This study evaluates the economics of the methane to benzene process. A catalytic membrane reactor model written in MATLAB has been directly implemented in an Aspen Plus V9 process model using CAPE-OPEN interoperability. Minimum utility requirements and heat exchanger designs were identified in Aspen Energy Analyzer, and process economics for a variety of feed and product prices were assessed using Aspen Process Economic Analyzer. The results indicate that the venture is profitable (profitability index of 1.17, IRR of 35.5%, NRR of 18.2%). The capital cost was found to be $35,500 per daily standard barrel of benzene. Additionally, the process remains economically attractive so long as either the price of benzene remains above $470/ton, or the price of hydrogen remains above $0.8/kg.","container-title":"Fuel Processing Technology","DOI":"10.1016/j.fuproc.2018.05.038","ISSN":"0378-3820","journalAbbreviation":"Fuel Processing Technology","language":"en","page":"55-61","source":"ScienceDirect","title":"Techno-economic evaluation of a process for direct conversion of methane to aromatics","volume":"183","author":[{"family":"Corredor","given":"E. Camilo"},{"family":"Chitta","given":"Pallavi"},{"family":"Deo","given":"Milind D."}],"issued":{"date-parts":[["2019",1,1]]}}}],"schema":"https://github.com/citation-style-language/schema/raw/master/csl-citation.json"} </w:instrText>
      </w:r>
      <w:r>
        <w:fldChar w:fldCharType="separate"/>
      </w:r>
      <w:r w:rsidR="00CA7A9D" w:rsidRPr="00CA7A9D">
        <w:rPr>
          <w:rFonts w:ascii="Aptos" w:hAnsi="Aptos"/>
        </w:rPr>
        <w:t>[57], [58], [61]</w:t>
      </w:r>
      <w:r>
        <w:fldChar w:fldCharType="end"/>
      </w:r>
      <w:r>
        <w:t>. While this strategy undoubtedly increase</w:t>
      </w:r>
      <w:r w:rsidR="00855AFC">
        <w:t>s</w:t>
      </w:r>
      <w:r>
        <w:t xml:space="preserve"> methane conversion, it has also shown the potential to shift some of the benzene selectivity to other aromatic products </w:t>
      </w:r>
      <w:r>
        <w:fldChar w:fldCharType="begin"/>
      </w:r>
      <w:r w:rsidR="00CA7A9D">
        <w:instrText xml:space="preserve"> ADDIN ZOTERO_ITEM CSL_CITATION {"citationID":"KhWbz6zK","properties":{"formattedCitation":"[61]","plainCitation":"[61]","noteIndex":0},"citationItems":[{"id":679,"uris":["http://zotero.org/users/12063231/items/WKKF65LF"],"itemData":{"id":679,"type":"article-journal","abstract":"An alternative to flaring of surplus natural gas is methane dehydroaromatization (MDA) to benzene (C6H6) over a bifunctional molybdenum/zeolite catalyst. Byproducts include H2, C2H4, and naphthalene (C10H8). While an MDA detailed elementary reaction mechanism is now available, a simpler global kinetic model is more useful for engineering and screening calculations. A literature three-step reaction model exists but with rate constants only at 950</w:instrText>
      </w:r>
      <w:r w:rsidR="00CA7A9D">
        <w:rPr>
          <w:rFonts w:ascii="Arial" w:hAnsi="Arial" w:cs="Arial"/>
        </w:rPr>
        <w:instrText> </w:instrText>
      </w:r>
      <w:r w:rsidR="00CA7A9D">
        <w:instrText>K. In the current work, Arrhenius parameters for the three global reactions have been determined over 948</w:instrText>
      </w:r>
      <w:r w:rsidR="00CA7A9D">
        <w:rPr>
          <w:rFonts w:ascii="Aptos" w:hAnsi="Aptos" w:cs="Aptos"/>
        </w:rPr>
        <w:instrText>–</w:instrText>
      </w:r>
      <w:r w:rsidR="00CA7A9D">
        <w:instrText>1023</w:instrText>
      </w:r>
      <w:r w:rsidR="00CA7A9D">
        <w:rPr>
          <w:rFonts w:ascii="Arial" w:hAnsi="Arial" w:cs="Arial"/>
        </w:rPr>
        <w:instrText> </w:instrText>
      </w:r>
      <w:r w:rsidR="00CA7A9D">
        <w:instrText>K based on a regression of major gas species concentration data generated from Chemkin</w:instrText>
      </w:r>
      <w:r w:rsidR="00CA7A9D">
        <w:rPr>
          <w:rFonts w:ascii="Aptos" w:hAnsi="Aptos" w:cs="Aptos"/>
        </w:rPr>
        <w:instrText>®</w:instrText>
      </w:r>
      <w:r w:rsidR="00CA7A9D">
        <w:instrText xml:space="preserve"> simulations of a packed bed reactor running the detailed MDA mechanism. In addition, the three-step model is used to illustrate the need to remove H2, perhaps through a membranous reactor wall, in order to overcome strong equilibrium CH4 conversion limitations. Such H2 removal, though, improves C10H8 selectivity at the expense of C6H6.","container-title":"Chemical Engineering Science","DOI":"10.1016/j.ces.2017.11.001","ISSN":"0009-2509","journalAbbreviation":"Chemical Engineering Science","page":"132-138","source":"ScienceDirect","title":"Extension to multiple temperatures of a three-reaction global kinetic model for methane dehydroaromatization","volume":"177","author":[{"family":"Zhu","given":"Y."},{"family":"Al-ebbinni","given":"N."},{"family":"Henney","given":"R."},{"family":"Yi","given":"C."},{"family":"Barat","given":"R."}],"issued":{"date-parts":[["2018",2,23]]}}}],"schema":"https://github.com/citation-style-language/schema/raw/master/csl-citation.json"} </w:instrText>
      </w:r>
      <w:r>
        <w:fldChar w:fldCharType="separate"/>
      </w:r>
      <w:r w:rsidR="00CA7A9D" w:rsidRPr="00CA7A9D">
        <w:rPr>
          <w:rFonts w:ascii="Aptos" w:hAnsi="Aptos"/>
        </w:rPr>
        <w:t>[61]</w:t>
      </w:r>
      <w:r>
        <w:fldChar w:fldCharType="end"/>
      </w:r>
      <w:r>
        <w:t xml:space="preserve">. </w:t>
      </w:r>
    </w:p>
    <w:p w14:paraId="2D7FF82D" w14:textId="2578AC73" w:rsidR="00E170BA" w:rsidRDefault="00E170BA" w:rsidP="00E170BA">
      <w:r>
        <w:t xml:space="preserve">In another attempt to simplify the kinetic model, </w:t>
      </w:r>
      <w:proofErr w:type="spellStart"/>
      <w:r>
        <w:t>Zuoan</w:t>
      </w:r>
      <w:proofErr w:type="spellEnd"/>
      <w:r>
        <w:t xml:space="preserve"> Li et al. proposed a Langmuir-Hinshelwood model in 2012 that ignored intermediates altogether as seen below </w:t>
      </w:r>
      <w:r>
        <w:fldChar w:fldCharType="begin"/>
      </w:r>
      <w:r w:rsidR="00CA7A9D">
        <w:instrText xml:space="preserve"> ADDIN ZOTERO_ITEM CSL_CITATION {"citationID":"prZcX45t","properties":{"formattedCitation":"[63]","plainCitation":"[63]","noteIndex":0},"citationItems":[{"id":675,"uris":["http://zotero.org/users/12063231/items/QRHVFDSN"],"itemData":{"id":675,"type":"paper-conference","event-place":"Oslo, Norway","event-title":"2012 COMSOL Conference in Milan","publisher":"COMSOL","publisher-place":"Oslo, Norway","title":"Numerical Simulations of Methane Aromatization with and without a Ceramic Hydrogen Separation Membrane","URL":"https://www.comsol.com/paper/numerical-simulations-of-methane-aromatization-with-and-without-a-ceramic-hydrog-13307","author":[{"family":"Li","given":"Zuoan"},{"family":"Kjølseth","given":"Christian"},{"family":"Morejudo","given":"Selene Hernández"},{"family":"Haugsrud","given":"Reidar"}],"accessed":{"date-parts":[["2023",12,11]]},"issued":{"date-parts":[["2012"]]}}}],"schema":"https://github.com/citation-style-language/schema/raw/master/csl-citation.json"} </w:instrText>
      </w:r>
      <w:r>
        <w:fldChar w:fldCharType="separate"/>
      </w:r>
      <w:r w:rsidR="00CA7A9D" w:rsidRPr="00CA7A9D">
        <w:rPr>
          <w:rFonts w:ascii="Aptos" w:hAnsi="Aptos"/>
        </w:rPr>
        <w:t>[63]</w:t>
      </w:r>
      <w:r>
        <w:fldChar w:fldCharType="end"/>
      </w:r>
      <w:r>
        <w:t xml:space="preserve">. </w:t>
      </w:r>
    </w:p>
    <w:p w14:paraId="21609A9C" w14:textId="77777777" w:rsidR="00E170BA" w:rsidRDefault="00E170BA" w:rsidP="00E170BA">
      <m:oMathPara>
        <m:oMath>
          <m:r>
            <w:rPr>
              <w:rFonts w:ascii="Cambria Math" w:hAnsi="Cambria Math"/>
            </w:rPr>
            <m:t>r=</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1</m:t>
                  </m:r>
                </m:sub>
              </m:sSub>
              <m:sSubSup>
                <m:sSubSupPr>
                  <m:ctrlPr>
                    <w:rPr>
                      <w:rFonts w:ascii="Cambria Math" w:hAnsi="Cambria Math"/>
                      <w:i/>
                    </w:rPr>
                  </m:ctrlPr>
                </m:sSubSupPr>
                <m:e>
                  <m:r>
                    <w:rPr>
                      <w:rFonts w:ascii="Cambria Math" w:hAnsi="Cambria Math"/>
                    </w:rPr>
                    <m:t>f</m:t>
                  </m:r>
                </m:e>
                <m:sub>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rPr>
                        <m:t>4</m:t>
                      </m:r>
                    </m:sub>
                  </m:sSub>
                </m:sub>
                <m:sup>
                  <m:r>
                    <w:rPr>
                      <w:rFonts w:ascii="Cambria Math" w:hAnsi="Cambria Math"/>
                    </w:rPr>
                    <m:t>6</m:t>
                  </m:r>
                </m:sup>
              </m:sSubSup>
              <m:d>
                <m:dPr>
                  <m:ctrlPr>
                    <w:rPr>
                      <w:rFonts w:ascii="Cambria Math" w:hAnsi="Cambria Math"/>
                      <w:i/>
                    </w:rPr>
                  </m:ctrlPr>
                </m:dPr>
                <m:e>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f</m:t>
                          </m:r>
                        </m:e>
                        <m:sub>
                          <m:sSub>
                            <m:sSubPr>
                              <m:ctrlPr>
                                <w:rPr>
                                  <w:rFonts w:ascii="Cambria Math" w:hAnsi="Cambria Math"/>
                                  <w:i/>
                                </w:rPr>
                              </m:ctrlPr>
                            </m:sSubPr>
                            <m:e>
                              <m:r>
                                <w:rPr>
                                  <w:rFonts w:ascii="Cambria Math" w:hAnsi="Cambria Math"/>
                                </w:rPr>
                                <m:t>C</m:t>
                              </m:r>
                            </m:e>
                            <m:sub>
                              <m:r>
                                <w:rPr>
                                  <w:rFonts w:ascii="Cambria Math" w:hAnsi="Cambria Math"/>
                                </w:rPr>
                                <m:t>6</m:t>
                              </m:r>
                            </m:sub>
                          </m:sSub>
                          <m:sSub>
                            <m:sSubPr>
                              <m:ctrlPr>
                                <w:rPr>
                                  <w:rFonts w:ascii="Cambria Math" w:hAnsi="Cambria Math"/>
                                  <w:i/>
                                </w:rPr>
                              </m:ctrlPr>
                            </m:sSubPr>
                            <m:e>
                              <m:r>
                                <w:rPr>
                                  <w:rFonts w:ascii="Cambria Math" w:hAnsi="Cambria Math"/>
                                </w:rPr>
                                <m:t>H</m:t>
                              </m:r>
                            </m:e>
                            <m:sub>
                              <m:r>
                                <w:rPr>
                                  <w:rFonts w:ascii="Cambria Math" w:hAnsi="Cambria Math"/>
                                </w:rPr>
                                <m:t>6</m:t>
                              </m:r>
                            </m:sub>
                          </m:sSub>
                        </m:sub>
                      </m:sSub>
                      <m:sSubSup>
                        <m:sSubSupPr>
                          <m:ctrlPr>
                            <w:rPr>
                              <w:rFonts w:ascii="Cambria Math" w:hAnsi="Cambria Math"/>
                              <w:i/>
                            </w:rPr>
                          </m:ctrlPr>
                        </m:sSubSupPr>
                        <m:e>
                          <m:r>
                            <w:rPr>
                              <w:rFonts w:ascii="Cambria Math" w:hAnsi="Cambria Math"/>
                            </w:rPr>
                            <m:t>f</m:t>
                          </m:r>
                        </m:e>
                        <m:sub>
                          <m:sSub>
                            <m:sSubPr>
                              <m:ctrlPr>
                                <w:rPr>
                                  <w:rFonts w:ascii="Cambria Math" w:hAnsi="Cambria Math"/>
                                  <w:i/>
                                </w:rPr>
                              </m:ctrlPr>
                            </m:sSubPr>
                            <m:e>
                              <m:r>
                                <w:rPr>
                                  <w:rFonts w:ascii="Cambria Math" w:hAnsi="Cambria Math"/>
                                </w:rPr>
                                <m:t>h</m:t>
                              </m:r>
                            </m:e>
                            <m:sub>
                              <m:r>
                                <w:rPr>
                                  <w:rFonts w:ascii="Cambria Math" w:hAnsi="Cambria Math"/>
                                </w:rPr>
                                <m:t>2</m:t>
                              </m:r>
                            </m:sub>
                          </m:sSub>
                        </m:sub>
                        <m:sup>
                          <m:r>
                            <w:rPr>
                              <w:rFonts w:ascii="Cambria Math" w:hAnsi="Cambria Math"/>
                            </w:rPr>
                            <m:t>9</m:t>
                          </m:r>
                        </m:sup>
                      </m:sSubSup>
                    </m:num>
                    <m:den>
                      <m:sSub>
                        <m:sSubPr>
                          <m:ctrlPr>
                            <w:rPr>
                              <w:rFonts w:ascii="Cambria Math" w:hAnsi="Cambria Math"/>
                              <w:i/>
                            </w:rPr>
                          </m:ctrlPr>
                        </m:sSubPr>
                        <m:e>
                          <m:r>
                            <w:rPr>
                              <w:rFonts w:ascii="Cambria Math" w:hAnsi="Cambria Math"/>
                            </w:rPr>
                            <m:t>K</m:t>
                          </m:r>
                        </m:e>
                        <m:sub>
                          <m:r>
                            <w:rPr>
                              <w:rFonts w:ascii="Cambria Math" w:hAnsi="Cambria Math"/>
                            </w:rPr>
                            <m:t>R</m:t>
                          </m:r>
                        </m:sub>
                      </m:sSub>
                      <m:sSubSup>
                        <m:sSubSupPr>
                          <m:ctrlPr>
                            <w:rPr>
                              <w:rFonts w:ascii="Cambria Math" w:hAnsi="Cambria Math"/>
                              <w:i/>
                            </w:rPr>
                          </m:ctrlPr>
                        </m:sSubSupPr>
                        <m:e>
                          <m:r>
                            <w:rPr>
                              <w:rFonts w:ascii="Cambria Math" w:hAnsi="Cambria Math"/>
                            </w:rPr>
                            <m:t>f</m:t>
                          </m:r>
                        </m:e>
                        <m:sub>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rPr>
                                <m:t>4</m:t>
                              </m:r>
                            </m:sub>
                          </m:sSub>
                        </m:sub>
                        <m:sup>
                          <m:r>
                            <w:rPr>
                              <w:rFonts w:ascii="Cambria Math" w:hAnsi="Cambria Math"/>
                            </w:rPr>
                            <m:t>6</m:t>
                          </m:r>
                        </m:sup>
                      </m:sSubSup>
                    </m:den>
                  </m:f>
                </m:e>
              </m:d>
            </m:num>
            <m:den>
              <m:sSup>
                <m:sSupPr>
                  <m:ctrlPr>
                    <w:rPr>
                      <w:rFonts w:ascii="Cambria Math" w:hAnsi="Cambria Math"/>
                      <w:i/>
                    </w:rPr>
                  </m:ctrlPr>
                </m:sSupPr>
                <m:e>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K</m:t>
                          </m:r>
                        </m:e>
                        <m:sub>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rPr>
                                <m:t>4</m:t>
                              </m:r>
                            </m:sub>
                          </m:sSub>
                        </m:sub>
                      </m:sSub>
                      <m:sSub>
                        <m:sSubPr>
                          <m:ctrlPr>
                            <w:rPr>
                              <w:rFonts w:ascii="Cambria Math" w:hAnsi="Cambria Math"/>
                              <w:i/>
                            </w:rPr>
                          </m:ctrlPr>
                        </m:sSubPr>
                        <m:e>
                          <m:r>
                            <w:rPr>
                              <w:rFonts w:ascii="Cambria Math" w:hAnsi="Cambria Math"/>
                            </w:rPr>
                            <m:t>f</m:t>
                          </m:r>
                        </m:e>
                        <m:sub>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rPr>
                                <m:t>4</m:t>
                              </m:r>
                            </m:sub>
                          </m:sSub>
                        </m:sub>
                      </m:sSub>
                      <m:r>
                        <w:rPr>
                          <w:rFonts w:ascii="Cambria Math" w:hAnsi="Cambria Math"/>
                        </w:rPr>
                        <m:t>+</m:t>
                      </m:r>
                      <m:sSub>
                        <m:sSubPr>
                          <m:ctrlPr>
                            <w:rPr>
                              <w:rFonts w:ascii="Cambria Math" w:hAnsi="Cambria Math"/>
                              <w:i/>
                            </w:rPr>
                          </m:ctrlPr>
                        </m:sSubPr>
                        <m:e>
                          <m:r>
                            <w:rPr>
                              <w:rFonts w:ascii="Cambria Math" w:hAnsi="Cambria Math"/>
                            </w:rPr>
                            <m:t>K</m:t>
                          </m:r>
                        </m:e>
                        <m:sub>
                          <m:sSub>
                            <m:sSubPr>
                              <m:ctrlPr>
                                <w:rPr>
                                  <w:rFonts w:ascii="Cambria Math" w:hAnsi="Cambria Math"/>
                                  <w:i/>
                                </w:rPr>
                              </m:ctrlPr>
                            </m:sSubPr>
                            <m:e>
                              <m:r>
                                <w:rPr>
                                  <w:rFonts w:ascii="Cambria Math" w:hAnsi="Cambria Math"/>
                                </w:rPr>
                                <m:t>H</m:t>
                              </m:r>
                            </m:e>
                            <m:sub>
                              <m:r>
                                <w:rPr>
                                  <w:rFonts w:ascii="Cambria Math" w:hAnsi="Cambria Math"/>
                                </w:rPr>
                                <m:t>2</m:t>
                              </m:r>
                            </m:sub>
                          </m:sSub>
                        </m:sub>
                      </m:sSub>
                      <m:sSub>
                        <m:sSubPr>
                          <m:ctrlPr>
                            <w:rPr>
                              <w:rFonts w:ascii="Cambria Math" w:hAnsi="Cambria Math"/>
                              <w:i/>
                            </w:rPr>
                          </m:ctrlPr>
                        </m:sSubPr>
                        <m:e>
                          <m:r>
                            <w:rPr>
                              <w:rFonts w:ascii="Cambria Math" w:hAnsi="Cambria Math"/>
                            </w:rPr>
                            <m:t>f</m:t>
                          </m:r>
                        </m:e>
                        <m:sub>
                          <m:sSub>
                            <m:sSubPr>
                              <m:ctrlPr>
                                <w:rPr>
                                  <w:rFonts w:ascii="Cambria Math" w:hAnsi="Cambria Math"/>
                                  <w:i/>
                                </w:rPr>
                              </m:ctrlPr>
                            </m:sSubPr>
                            <m:e>
                              <m:r>
                                <w:rPr>
                                  <w:rFonts w:ascii="Cambria Math" w:hAnsi="Cambria Math"/>
                                </w:rPr>
                                <m:t>H</m:t>
                              </m:r>
                            </m:e>
                            <m:sub>
                              <m:r>
                                <w:rPr>
                                  <w:rFonts w:ascii="Cambria Math" w:hAnsi="Cambria Math"/>
                                </w:rPr>
                                <m:t>2</m:t>
                              </m:r>
                            </m:sub>
                          </m:sSub>
                        </m:sub>
                      </m:sSub>
                      <m:r>
                        <w:rPr>
                          <w:rFonts w:ascii="Cambria Math" w:hAnsi="Cambria Math"/>
                        </w:rPr>
                        <m:t>+</m:t>
                      </m:r>
                      <m:sSub>
                        <m:sSubPr>
                          <m:ctrlPr>
                            <w:rPr>
                              <w:rFonts w:ascii="Cambria Math" w:hAnsi="Cambria Math"/>
                              <w:i/>
                            </w:rPr>
                          </m:ctrlPr>
                        </m:sSubPr>
                        <m:e>
                          <m:r>
                            <w:rPr>
                              <w:rFonts w:ascii="Cambria Math" w:hAnsi="Cambria Math"/>
                            </w:rPr>
                            <m:t>K</m:t>
                          </m:r>
                        </m:e>
                        <m:sub>
                          <m:sSub>
                            <m:sSubPr>
                              <m:ctrlPr>
                                <w:rPr>
                                  <w:rFonts w:ascii="Cambria Math" w:hAnsi="Cambria Math"/>
                                  <w:i/>
                                </w:rPr>
                              </m:ctrlPr>
                            </m:sSubPr>
                            <m:e>
                              <m:r>
                                <w:rPr>
                                  <w:rFonts w:ascii="Cambria Math" w:hAnsi="Cambria Math"/>
                                </w:rPr>
                                <m:t>C</m:t>
                              </m:r>
                            </m:e>
                            <m:sub>
                              <m:r>
                                <w:rPr>
                                  <w:rFonts w:ascii="Cambria Math" w:hAnsi="Cambria Math"/>
                                </w:rPr>
                                <m:t>6</m:t>
                              </m:r>
                            </m:sub>
                          </m:sSub>
                          <m:sSub>
                            <m:sSubPr>
                              <m:ctrlPr>
                                <w:rPr>
                                  <w:rFonts w:ascii="Cambria Math" w:hAnsi="Cambria Math"/>
                                  <w:i/>
                                </w:rPr>
                              </m:ctrlPr>
                            </m:sSubPr>
                            <m:e>
                              <m:r>
                                <w:rPr>
                                  <w:rFonts w:ascii="Cambria Math" w:hAnsi="Cambria Math"/>
                                </w:rPr>
                                <m:t>H</m:t>
                              </m:r>
                            </m:e>
                            <m:sub>
                              <m:r>
                                <w:rPr>
                                  <w:rFonts w:ascii="Cambria Math" w:hAnsi="Cambria Math"/>
                                </w:rPr>
                                <m:t>6</m:t>
                              </m:r>
                            </m:sub>
                          </m:sSub>
                        </m:sub>
                      </m:sSub>
                      <m:sSub>
                        <m:sSubPr>
                          <m:ctrlPr>
                            <w:rPr>
                              <w:rFonts w:ascii="Cambria Math" w:hAnsi="Cambria Math"/>
                              <w:i/>
                            </w:rPr>
                          </m:ctrlPr>
                        </m:sSubPr>
                        <m:e>
                          <m:r>
                            <w:rPr>
                              <w:rFonts w:ascii="Cambria Math" w:hAnsi="Cambria Math"/>
                            </w:rPr>
                            <m:t>f</m:t>
                          </m:r>
                        </m:e>
                        <m:sub>
                          <m:sSub>
                            <m:sSubPr>
                              <m:ctrlPr>
                                <w:rPr>
                                  <w:rFonts w:ascii="Cambria Math" w:hAnsi="Cambria Math"/>
                                  <w:i/>
                                </w:rPr>
                              </m:ctrlPr>
                            </m:sSubPr>
                            <m:e>
                              <m:r>
                                <w:rPr>
                                  <w:rFonts w:ascii="Cambria Math" w:hAnsi="Cambria Math"/>
                                </w:rPr>
                                <m:t>C</m:t>
                              </m:r>
                            </m:e>
                            <m:sub>
                              <m:r>
                                <w:rPr>
                                  <w:rFonts w:ascii="Cambria Math" w:hAnsi="Cambria Math"/>
                                </w:rPr>
                                <m:t>6</m:t>
                              </m:r>
                            </m:sub>
                          </m:sSub>
                          <m:sSub>
                            <m:sSubPr>
                              <m:ctrlPr>
                                <w:rPr>
                                  <w:rFonts w:ascii="Cambria Math" w:hAnsi="Cambria Math"/>
                                  <w:i/>
                                </w:rPr>
                              </m:ctrlPr>
                            </m:sSubPr>
                            <m:e>
                              <m:r>
                                <w:rPr>
                                  <w:rFonts w:ascii="Cambria Math" w:hAnsi="Cambria Math"/>
                                </w:rPr>
                                <m:t>H</m:t>
                              </m:r>
                            </m:e>
                            <m:sub>
                              <m:r>
                                <w:rPr>
                                  <w:rFonts w:ascii="Cambria Math" w:hAnsi="Cambria Math"/>
                                </w:rPr>
                                <m:t>6</m:t>
                              </m:r>
                            </m:sub>
                          </m:sSub>
                        </m:sub>
                      </m:sSub>
                    </m:e>
                  </m:d>
                </m:e>
                <m:sup>
                  <m:r>
                    <w:rPr>
                      <w:rFonts w:ascii="Cambria Math" w:hAnsi="Cambria Math"/>
                    </w:rPr>
                    <m:t>6</m:t>
                  </m:r>
                </m:sup>
              </m:sSup>
            </m:den>
          </m:f>
        </m:oMath>
      </m:oMathPara>
    </w:p>
    <w:p w14:paraId="1218185C" w14:textId="47FCD143" w:rsidR="00E170BA" w:rsidRDefault="00E170BA" w:rsidP="00E170BA">
      <w:r>
        <w:t xml:space="preserve">While ignoring intermediates is ineffective for chemical reaction analysis, the goal for this model was merely to establish effective fluid dynamics parameters for the reaction and reactor. It was determined that methane conversion rates could be increased by decreasing pressure and space velocity and increasing temperature </w:t>
      </w:r>
      <w:r>
        <w:fldChar w:fldCharType="begin"/>
      </w:r>
      <w:r w:rsidR="00CA7A9D">
        <w:instrText xml:space="preserve"> ADDIN ZOTERO_ITEM CSL_CITATION {"citationID":"LdScX047","properties":{"formattedCitation":"[63]","plainCitation":"[63]","noteIndex":0},"citationItems":[{"id":675,"uris":["http://zotero.org/users/12063231/items/QRHVFDSN"],"itemData":{"id":675,"type":"paper-conference","event-place":"Oslo, Norway","event-title":"2012 COMSOL Conference in Milan","publisher":"COMSOL","publisher-place":"Oslo, Norway","title":"Numerical Simulations of Methane Aromatization with and without a Ceramic Hydrogen Separation Membrane","URL":"https://www.comsol.com/paper/numerical-simulations-of-methane-aromatization-with-and-without-a-ceramic-hydrog-13307","author":[{"family":"Li","given":"Zuoan"},{"family":"Kjølseth","given":"Christian"},{"family":"Morejudo","given":"Selene Hernández"},{"family":"Haugsrud","given":"Reidar"}],"accessed":{"date-parts":[["2023",12,11]]},"issued":{"date-parts":[["2012"]]}}}],"schema":"https://github.com/citation-style-language/schema/raw/master/csl-citation.json"} </w:instrText>
      </w:r>
      <w:r>
        <w:fldChar w:fldCharType="separate"/>
      </w:r>
      <w:r w:rsidR="00CA7A9D" w:rsidRPr="00CA7A9D">
        <w:rPr>
          <w:rFonts w:ascii="Aptos" w:hAnsi="Aptos"/>
        </w:rPr>
        <w:t>[63]</w:t>
      </w:r>
      <w:r>
        <w:fldChar w:fldCharType="end"/>
      </w:r>
      <w:r>
        <w:t xml:space="preserve">, although it has also been experimentally proven that increasing the temperature too much can also drive up coke formation and even deplete aromatic selectivity </w:t>
      </w:r>
      <w:r>
        <w:fldChar w:fldCharType="begin"/>
      </w:r>
      <w:r w:rsidR="00CA7A9D">
        <w:instrText xml:space="preserve"> ADDIN ZOTERO_ITEM CSL_CITATION {"citationID":"lgiC5ux5","properties":{"formattedCitation":"[50]","plainCitation":"[50]","noteIndex":0},"citationItems":[{"id":624,"uris":["http://zotero.org/users/12063231/items/YQYI8YM2"],"itemData":{"id":624,"type":"article-journal","abstract":"Methane dehydroaromatization is a promising reaction for the direct conversion of methane to liquid hydrocarbons. The active sites and the mechanism of this reaction remain controversial. This work is focused on the operando X-ray absorption near edge structure spectroscopy analysis of conventional Mo/ZSM-5 catalysts during their whole lifetime. Complemented by other characterization techniques, we derived spectroscopic descriptors of molybdenum precursor decomposition and its exchange with zeolite Brønsted acid sites. We found that the reduction of Mo-species proceeds in two steps and the active sites are of similar nature, regardless of the Mo content. Furthermore, the ZSM-5 unit cell contracts at the beginning of the reaction, which coincides with benzene formation and it is likely related to the formation of hydrocarbon pool intermediates. Finally, although reductive regeneration of used catalysts via methanation is less effective as compared to combustion of coke, it does not affect the structure of the catalysts.","container-title":"Chemistry – A European Journal","DOI":"10.1002/chem.202103894","ISSN":"1521-3765","issue":"5","language":"en","license":"© 2021 The Authors. Chemistry - A European Journal published by Wiley-VCH GmbH","note":"_eprint: https://onlinelibrary.wiley.com/doi/pdf/10.1002/chem.202103894","page":"e202103894","source":"Wiley Online Library","title":"Understanding the Preparation and Reactivity of Mo/ZSM-5 Methane Dehydroaromatization Catalysts","volume":"28","author":[{"family":"Liu","given":"Yujie"},{"family":"Zhang","given":"Hao"},{"family":"Wijpkema","given":"Alexandra S. G."},{"family":"Coumans","given":"Ferdy J. A. G."},{"family":"Meng","given":"Lingqian"},{"family":"Uslamin","given":"Evgeny A."},{"family":"Longo","given":"Alessandro"},{"family":"Hensen","given":"Emiel J. M."},{"family":"Kosinov","given":"Nikolay"}],"issued":{"date-parts":[["2022"]]}}}],"schema":"https://github.com/citation-style-language/schema/raw/master/csl-citation.json"} </w:instrText>
      </w:r>
      <w:r>
        <w:fldChar w:fldCharType="separate"/>
      </w:r>
      <w:r w:rsidR="00CA7A9D" w:rsidRPr="00CA7A9D">
        <w:rPr>
          <w:rFonts w:ascii="Aptos" w:hAnsi="Aptos"/>
        </w:rPr>
        <w:t>[50]</w:t>
      </w:r>
      <w:r>
        <w:fldChar w:fldCharType="end"/>
      </w:r>
      <w:r>
        <w:t xml:space="preserve">. However, it is also worth noting that while Li’s report agrees with previous work </w:t>
      </w:r>
      <w:r>
        <w:fldChar w:fldCharType="begin"/>
      </w:r>
      <w:r w:rsidR="00CA7A9D">
        <w:instrText xml:space="preserve"> ADDIN ZOTERO_ITEM CSL_CITATION {"citationID":"r7Pinvgi","properties":{"formattedCitation":"[38]","plainCitation":"[38]","noteIndex":0},"citationItems":[{"id":627,"uris":["http://zotero.org/users/12063231/items/FZVH2F99"],"itemData":{"id":627,"type":"article-journal","abstract":"Direct conversion of methane to benzene or other valuable chemicals is...","container-title":"Journal of Energy Chemistry","ISSN":"2095-4956","issue":"1","language":"en","page":"1","source":"www.jenergychem.com","title":"Recent progress in methane dehydroaromatization: From laboratory curiosities to promising technology","title-short":"Recent progress in methane dehydroaromatization","volume":"22","author":[{"family":"Ma","given":"Shuqi"},{"family":"Guo","given":"Xiaoguang"},{"family":"Zhao","given":"Lingxiao"},{"family":"Scott","given":"Susannah"},{"family":"Bao*","given":"Xinhe"}],"issued":{"date-parts":[["2013",1,20]]}}}],"schema":"https://github.com/citation-style-language/schema/raw/master/csl-citation.json"} </w:instrText>
      </w:r>
      <w:r>
        <w:fldChar w:fldCharType="separate"/>
      </w:r>
      <w:r w:rsidR="00CA7A9D" w:rsidRPr="00CA7A9D">
        <w:rPr>
          <w:rFonts w:ascii="Aptos" w:hAnsi="Aptos"/>
        </w:rPr>
        <w:t>[38]</w:t>
      </w:r>
      <w:r>
        <w:fldChar w:fldCharType="end"/>
      </w:r>
      <w:r>
        <w:t xml:space="preserve"> in stating that decreasing pressure</w:t>
      </w:r>
      <w:r w:rsidR="00855AFC">
        <w:t xml:space="preserve"> also</w:t>
      </w:r>
      <w:r>
        <w:t xml:space="preserve"> increase</w:t>
      </w:r>
      <w:r w:rsidR="00855AFC">
        <w:t>s</w:t>
      </w:r>
      <w:r>
        <w:t xml:space="preserve"> methane conversion percentage per pass, other studies have clearly shown that increased pressure yields an increase in total aromatic production and methane conversion </w:t>
      </w:r>
      <w:r>
        <w:fldChar w:fldCharType="begin"/>
      </w:r>
      <w:r w:rsidR="00CA7A9D">
        <w:instrText xml:space="preserve"> ADDIN ZOTERO_ITEM CSL_CITATION {"citationID":"a318ca7orn","properties":{"formattedCitation":"[44], [52], [53]","plainCitation":"[44], [52], [53]","noteIndex":0},"citationItems":[{"id":638,"uris":["http://zotero.org/users/12063231/items/FUNE49BF"],"itemData":{"id":638,"type":"article-journal","abstract":"Non-oxidative dehydroaromatization is arguably the most promising process for the direct upgrading of cheap and abundant methane to liquid hydrocarbons. This reaction has not been commercialized yet because of the suboptimal activity and swift deactivation of benchmark Mo-zeolite catalysts. This progress report represents an elaboration on the recent developments in understanding of zeolite-based catalytic materials for high-temperature non-oxidative dehydroaromatization of methane. It is specifically focused on recent studies, relevant to the materials chemistry and elucidating i) the structure of active species in working catalysts; ii) the complex molecular pathways underlying the mechanism of selective conversion of methane to benzene; iii) structure, evolution and role of coke species; and iv) process intensification strategies to improve the deactivation resistance and overall performance of the catalysts. Finally, unsolved challenges in this field of research are outlined and an outlook is provided on promising directions toward improving the activity, stability, and selectivity of methane dehydroaromatization catalysts.","container-title":"Advanced Materials","DOI":"10.1002/adma.202002565","ISSN":"1521-4095","issue":"44","language":"en","license":"© 2020 The Authors. Published by WILEY-VCH Verlag GmbH &amp; Co. KGaA, Weinheim","note":"_eprint: https://onlinelibrary.wiley.com/doi/pdf/10.1002/adma.202002565","page":"2002565","source":"Wiley Online Library","title":"Reactivity, Selectivity, and Stability of Zeolite-Based Catalysts for Methane Dehydroaromatization","volume":"32","author":[{"family":"Kosinov","given":"Nikolay"},{"family":"Hensen","given":"Emiel J. M."}],"issued":{"date-parts":[["2020"]]}}},{"id":670,"uris":["http://zotero.org/users/12063231/items/9EU8XXYV"],"itemData":{"id":670,"type":"article-journal","abstract":"Surface carbon (coke, carbonaceous deposits) is an integral aspect of methane dehydroaromatization catalyzed by Mo/zeolites. We investigated the evolution of surface carbon species from the beginning of the induction period until the complete catalyst deactivation by the pulse reaction technique, TGA, 13C NMR, TEM, and XPS. Isotope labeling was performed to confirm the catalytic role of confined carbon species during MDA. It was found that “hard” and “soft” coke distinction is mainly related to the location of coke species inside the pores and on the external surface, respectively. In addition, MoO3 species act as an active oxidation catalyst, reducing the combustion temperature of a certain fraction of coke. Furthermore, after dissolving the zeolite framework by HF, we found that coke formed during the MDA reaction inside the zeolite pores is essentially a zeolite-templated carbon material. The possibility of preparing zeolite-templated carbons from the most available hydrocarbon feedstock is important for the development of these interesting materials.","container-title":"ACS Catalysis","DOI":"10.1021/acscatal.8b02491","issue":"9","journalAbbreviation":"ACS Catal.","note":"publisher: American Chemical Society","page":"8459-8467","source":"ACS Publications","title":"Structure and Evolution of Confined Carbon Species during Methane Dehydroaromatization over Mo/ZSM-5","volume":"8","author":[{"family":"Kosinov","given":"Nikolay"},{"family":"Uslamin","given":"Evgeny A."},{"family":"Coumans","given":"Ferdy J. A. G."},{"family":"Wijpkema","given":"Alexandra S. G."},{"family":"Rohling","given":"Roderigh Y."},{"family":"Hensen","given":"Emiel J. M."}],"issued":{"date-parts":[["2018",9,7]]}}},{"id":667,"uris":["http://zotero.org/users/12063231/items/ISX52IFF"],"itemData":{"id":667,"type":"article-journal","abstract":"Non-oxidative dehydroaromatization of methane (MDA) is a promising catalytic process for direct valorization of natural gas to liquid hydrocarbons. The application of this reaction in practical technology is hindered by a lack of understanding about the mechanism and nature of the active sites in benchmark zeolite-based Mo/ZSM-5 catalysts, which precludes the solution of problems such as rapid catalyst deactivation. By applying spectroscopy and microscopy, it is shown that the active centers in Mo/ZSM-5 are partially reduced single-atom Mo sites stabilized by the zeolite framework. By combining a pulse reaction technique with isotope labeling of methane, MDA is shown to be governed by a hydrocarbon pool mechanism in which benzene is derived from secondary reactions of confined polyaromatic carbon species with the initial products of methane activation.","container-title":"Angewandte Chemie International Edition","DOI":"10.1002/anie.201711098","ISSN":"1521-3773","issue":"4","language":"en","license":"© 2018 The Authors. Published by Wiley-VCH Verlag GmbH &amp; Co. KGaA.","note":"_eprint: https://onlinelibrary.wiley.com/doi/pdf/10.1002/anie.201711098","page":"1016-1020","source":"Wiley Online Library","title":"Confined Carbon Mediating Dehydroaromatization of Methane over Mo/ZSM-5","volume":"57","author":[{"family":"Kosinov","given":"Nikolay"},{"family":"Wijpkema","given":"Alexandra S. G."},{"family":"Uslamin","given":"Evgeny"},{"family":"Rohling","given":"Roderigh"},{"family":"Coumans","given":"Ferdy J. A. G."},{"family":"Mezari","given":"Brahim"},{"family":"Parastaev","given":"Alexander"},{"family":"Poryvaev","given":"Artem S."},{"family":"Fedin","given":"Matvey V."},{"family":"Pidko","given":"Evgeny A."},{"family":"Hensen","given":"Emiel J. M."}],"issued":{"date-parts":[["2018"]]}}}],"schema":"https://github.com/citation-style-language/schema/raw/master/csl-citation.json"} </w:instrText>
      </w:r>
      <w:r>
        <w:fldChar w:fldCharType="separate"/>
      </w:r>
      <w:r w:rsidR="00CA7A9D" w:rsidRPr="00CA7A9D">
        <w:rPr>
          <w:rFonts w:ascii="Aptos" w:hAnsi="Aptos"/>
        </w:rPr>
        <w:t>[44], [52], [53]</w:t>
      </w:r>
      <w:r>
        <w:fldChar w:fldCharType="end"/>
      </w:r>
      <w:r>
        <w:t>. Therefore, a balance can be found in conversion rate and selectivity through pressure and temperature.</w:t>
      </w:r>
    </w:p>
    <w:p w14:paraId="416B320D" w14:textId="44483D35" w:rsidR="00E170BA" w:rsidRDefault="00E170BA" w:rsidP="00E170BA">
      <w:r>
        <w:t>The last important MDA modeling effort considered here comes from the work of Jeong</w:t>
      </w:r>
      <w:r w:rsidR="004336EB">
        <w:t xml:space="preserve"> et al.</w:t>
      </w:r>
      <w:r>
        <w:t xml:space="preserve"> </w:t>
      </w:r>
      <w:r>
        <w:fldChar w:fldCharType="begin"/>
      </w:r>
      <w:r w:rsidR="00CA7A9D">
        <w:instrText xml:space="preserve"> ADDIN ZOTERO_ITEM CSL_CITATION {"citationID":"a124btdhjph","properties":{"formattedCitation":"[64]","plainCitation":"[64]","noteIndex":0},"citationItems":[{"id":744,"uris":["http://zotero.org/users/12063231/items/6QIVDYJ5"],"itemData":{"id":744,"type":"article-journal","abstract":"A kinetic model was developed for the methane dehydroaromatization over a Mo2C/H-ZSM5 catalyst. Because the experimental observations show that the reaction and deactivation simultaneously take place in the catalyst activation (carburization) stage, the initial simulation time was specified as the time at which the activation was completed and the initial activities under each operating condition were estimated. The estimated values show that the initial activity of the Mo2C site is low in the early stage of the catalyst bed, which is probably due to the carbonization, while that of the H-ZSM5 site is very low in the later stage of the bed due to the encapsulation of coupled aromatics caused by the low confinement of Mo2C in the zeolite. Kinetic models were developed for the reaction and deactivation and the kinetic parameters were estimated by fitting the experimental data that were obtained after the activation was completed. The simulated results are in good agreement with the experimental data. The deactivation model indicates a higher temperature dependency of the Mo2C site compared with the H-ZSM5 site. In addition, the benzene and toluene yields abruptly decrease at very high temperature, indicating that a too high temperature should be avoided, although high temperatures are favored because of the endothermic characteristics of the production rate.","collection-title":"Special Issue for the 17th Korea-Japan Symposium on Catalysis","container-title":"Catalysis Today","DOI":"10.1016/j.cattod.2019.09.002","ISSN":"0920-5861","journalAbbreviation":"Catalysis Today","page":"140-147","source":"ScienceDirect","title":"Kinetic modeling of methane dehydroaromatization over a Mo2C/H-ZSM5 catalyst: Different deactivation behaviors of the Mo2C and H-ZSM5 sites","title-short":"Kinetic modeling of methane dehydroaromatization over a Mo2C/H-ZSM5 catalyst","volume":"352","author":[{"family":"Jeong","given":"Jaehun"},{"family":"Hwang","given":"Ahron"},{"family":"Kim","given":"Yong Tae"},{"family":"Hong","given":"Do-Young"},{"family":"Park","given":"Myung-June"}],"issued":{"date-parts":[["2020",8,1]]}}}],"schema":"https://github.com/citation-style-language/schema/raw/master/csl-citation.json"} </w:instrText>
      </w:r>
      <w:r>
        <w:fldChar w:fldCharType="separate"/>
      </w:r>
      <w:r w:rsidR="00CA7A9D" w:rsidRPr="00CA7A9D">
        <w:rPr>
          <w:rFonts w:ascii="Aptos" w:hAnsi="Aptos"/>
        </w:rPr>
        <w:t>[64]</w:t>
      </w:r>
      <w:r>
        <w:fldChar w:fldCharType="end"/>
      </w:r>
      <w:r>
        <w:t xml:space="preserve">. Jeong’s work is chosen as the foundational kinetic model for this study due to the efforts taken to establish detailed kinetic parameters for the MDA reaction over Mo/HZSM-5 catalyst. This task was completed using a six step reaction mechanism that included methane, ethylene as the intermediate, and benzene, naphthalene, toluene, and ethane as products shown in </w:t>
      </w:r>
      <w:r>
        <w:fldChar w:fldCharType="begin"/>
      </w:r>
      <w:r>
        <w:instrText xml:space="preserve"> REF _Ref163430687 \h </w:instrText>
      </w:r>
      <w:r>
        <w:fldChar w:fldCharType="separate"/>
      </w:r>
      <w:r>
        <w:t>Figure 2.</w:t>
      </w:r>
      <w:r>
        <w:rPr>
          <w:noProof/>
        </w:rPr>
        <w:t>4</w:t>
      </w:r>
      <w:r>
        <w:fldChar w:fldCharType="end"/>
      </w:r>
      <w:r>
        <w:t xml:space="preserve"> below </w:t>
      </w:r>
      <w:r>
        <w:fldChar w:fldCharType="begin"/>
      </w:r>
      <w:r w:rsidR="00CA7A9D">
        <w:instrText xml:space="preserve"> ADDIN ZOTERO_ITEM CSL_CITATION {"citationID":"a26ej9ahuf4","properties":{"formattedCitation":"[64]","plainCitation":"[64]","noteIndex":0},"citationItems":[{"id":744,"uris":["http://zotero.org/users/12063231/items/6QIVDYJ5"],"itemData":{"id":744,"type":"article-journal","abstract":"A kinetic model was developed for the methane dehydroaromatization over a Mo2C/H-ZSM5 catalyst. Because the experimental observations show that the reaction and deactivation simultaneously take place in the catalyst activation (carburization) stage, the initial simulation time was specified as the time at which the activation was completed and the initial activities under each operating condition were estimated. The estimated values show that the initial activity of the Mo2C site is low in the early stage of the catalyst bed, which is probably due to the carbonization, while that of the H-ZSM5 site is very low in the later stage of the bed due to the encapsulation of coupled aromatics caused by the low confinement of Mo2C in the zeolite. Kinetic models were developed for the reaction and deactivation and the kinetic parameters were estimated by fitting the experimental data that were obtained after the activation was completed. The simulated results are in good agreement with the experimental data. The deactivation model indicates a higher temperature dependency of the Mo2C site compared with the H-ZSM5 site. In addition, the benzene and toluene yields abruptly decrease at very high temperature, indicating that a too high temperature should be avoided, although high temperatures are favored because of the endothermic characteristics of the production rate.","collection-title":"Special Issue for the 17th Korea-Japan Symposium on Catalysis","container-title":"Catalysis Today","DOI":"10.1016/j.cattod.2019.09.002","ISSN":"0920-5861","journalAbbreviation":"Catalysis Today","page":"140-147","source":"ScienceDirect","title":"Kinetic modeling of methane dehydroaromatization over a Mo2C/H-ZSM5 catalyst: Different deactivation behaviors of the Mo2C and H-ZSM5 sites","title-short":"Kinetic modeling of methane dehydroaromatization over a Mo2C/H-ZSM5 catalyst","volume":"352","author":[{"family":"Jeong","given":"Jaehun"},{"family":"Hwang","given":"Ahron"},{"family":"Kim","given":"Yong Tae"},{"family":"Hong","given":"Do-Young"},{"family":"Park","given":"Myung-June"}],"issued":{"date-parts":[["2020",8,1]]}}}],"schema":"https://github.com/citation-style-language/schema/raw/master/csl-citation.json"} </w:instrText>
      </w:r>
      <w:r>
        <w:fldChar w:fldCharType="separate"/>
      </w:r>
      <w:r w:rsidR="00CA7A9D" w:rsidRPr="00CA7A9D">
        <w:rPr>
          <w:rFonts w:ascii="Aptos" w:hAnsi="Aptos"/>
        </w:rPr>
        <w:t>[64]</w:t>
      </w:r>
      <w:r>
        <w:fldChar w:fldCharType="end"/>
      </w:r>
      <w:r>
        <w:t>:</w:t>
      </w:r>
    </w:p>
    <w:p w14:paraId="486BF224" w14:textId="77777777" w:rsidR="00E170BA" w:rsidRDefault="00E170BA" w:rsidP="00E170BA">
      <w:pPr>
        <w:keepNext/>
        <w:jc w:val="center"/>
      </w:pPr>
      <w:r>
        <w:rPr>
          <w:noProof/>
        </w:rPr>
        <w:drawing>
          <wp:inline distT="0" distB="0" distL="0" distR="0" wp14:anchorId="57D07547" wp14:editId="73300FF0">
            <wp:extent cx="4336316" cy="1906343"/>
            <wp:effectExtent l="0" t="0" r="0" b="0"/>
            <wp:docPr id="331080622" name="Picture 2" descr="A blue and green oval shaped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080622" name="Picture 2" descr="A blue and green oval shaped object&#10;&#10;Description automatically generated"/>
                    <pic:cNvPicPr/>
                  </pic:nvPicPr>
                  <pic:blipFill rotWithShape="1">
                    <a:blip r:embed="rId16" cstate="print">
                      <a:extLst>
                        <a:ext uri="{28A0092B-C50C-407E-A947-70E740481C1C}">
                          <a14:useLocalDpi xmlns:a14="http://schemas.microsoft.com/office/drawing/2010/main" val="0"/>
                        </a:ext>
                      </a:extLst>
                    </a:blip>
                    <a:srcRect l="1144" t="4775" r="-1144" b="64145"/>
                    <a:stretch/>
                  </pic:blipFill>
                  <pic:spPr bwMode="auto">
                    <a:xfrm>
                      <a:off x="0" y="0"/>
                      <a:ext cx="4336316" cy="1906343"/>
                    </a:xfrm>
                    <a:prstGeom prst="rect">
                      <a:avLst/>
                    </a:prstGeom>
                    <a:ln>
                      <a:noFill/>
                    </a:ln>
                    <a:extLst>
                      <a:ext uri="{53640926-AAD7-44D8-BBD7-CCE9431645EC}">
                        <a14:shadowObscured xmlns:a14="http://schemas.microsoft.com/office/drawing/2010/main"/>
                      </a:ext>
                    </a:extLst>
                  </pic:spPr>
                </pic:pic>
              </a:graphicData>
            </a:graphic>
          </wp:inline>
        </w:drawing>
      </w:r>
    </w:p>
    <w:p w14:paraId="70352B9D" w14:textId="7D06C948" w:rsidR="00E170BA" w:rsidRDefault="00E170BA" w:rsidP="00E170BA">
      <w:pPr>
        <w:pStyle w:val="Caption"/>
      </w:pPr>
      <w:bookmarkStart w:id="40" w:name="_Ref163430687"/>
      <w:bookmarkStart w:id="41" w:name="_Toc165641132"/>
      <w:r>
        <w:t>Figure 2.</w:t>
      </w:r>
      <w:r>
        <w:fldChar w:fldCharType="begin"/>
      </w:r>
      <w:r>
        <w:instrText xml:space="preserve"> SEQ Figure \* ARABIC </w:instrText>
      </w:r>
      <w:r>
        <w:fldChar w:fldCharType="separate"/>
      </w:r>
      <w:r>
        <w:rPr>
          <w:noProof/>
        </w:rPr>
        <w:t>4</w:t>
      </w:r>
      <w:r>
        <w:fldChar w:fldCharType="end"/>
      </w:r>
      <w:bookmarkEnd w:id="40"/>
      <w:r>
        <w:t xml:space="preserve">: </w:t>
      </w:r>
      <w:r w:rsidR="009909EA">
        <w:t>K</w:t>
      </w:r>
      <w:r>
        <w:t>inetic model setup</w:t>
      </w:r>
      <w:r w:rsidR="009909EA">
        <w:t xml:space="preserve"> from </w:t>
      </w:r>
      <w:r w:rsidR="000F539A">
        <w:t xml:space="preserve">Jeong et al. </w:t>
      </w:r>
      <w:r w:rsidR="003F391E">
        <w:fldChar w:fldCharType="begin"/>
      </w:r>
      <w:r w:rsidR="00CA7A9D">
        <w:instrText xml:space="preserve"> ADDIN ZOTERO_ITEM CSL_CITATION {"citationID":"a2eag65e22k","properties":{"formattedCitation":"[64]","plainCitation":"[64]","noteIndex":0},"citationItems":[{"id":744,"uris":["http://zotero.org/users/12063231/items/6QIVDYJ5"],"itemData":{"id":744,"type":"article-journal","abstract":"A kinetic model was developed for the methane dehydroaromatization over a Mo2C/H-ZSM5 catalyst. Because the experimental observations show that the reaction and deactivation simultaneously take place in the catalyst activation (carburization) stage, the initial simulation time was specified as the time at which the activation was completed and the initial activities under each operating condition were estimated. The estimated values show that the initial activity of the Mo2C site is low in the early stage of the catalyst bed, which is probably due to the carbonization, while that of the H-ZSM5 site is very low in the later stage of the bed due to the encapsulation of coupled aromatics caused by the low confinement of Mo2C in the zeolite. Kinetic models were developed for the reaction and deactivation and the kinetic parameters were estimated by fitting the experimental data that were obtained after the activation was completed. The simulated results are in good agreement with the experimental data. The deactivation model indicates a higher temperature dependency of the Mo2C site compared with the H-ZSM5 site. In addition, the benzene and toluene yields abruptly decrease at very high temperature, indicating that a too high temperature should be avoided, although high temperatures are favored because of the endothermic characteristics of the production rate.","collection-title":"Special Issue for the 17th Korea-Japan Symposium on Catalysis","container-title":"Catalysis Today","DOI":"10.1016/j.cattod.2019.09.002","ISSN":"0920-5861","journalAbbreviation":"Catalysis Today","page":"140-147","source":"ScienceDirect","title":"Kinetic modeling of methane dehydroaromatization over a Mo2C/H-ZSM5 catalyst: Different deactivation behaviors of the Mo2C and H-ZSM5 sites","title-short":"Kinetic modeling of methane dehydroaromatization over a Mo2C/H-ZSM5 catalyst","volume":"352","author":[{"family":"Jeong","given":"Jaehun"},{"family":"Hwang","given":"Ahron"},{"family":"Kim","given":"Yong Tae"},{"family":"Hong","given":"Do-Young"},{"family":"Park","given":"Myung-June"}],"issued":{"date-parts":[["2020",8,1]]}}}],"schema":"https://github.com/citation-style-language/schema/raw/master/csl-citation.json"} </w:instrText>
      </w:r>
      <w:r w:rsidR="003F391E">
        <w:fldChar w:fldCharType="separate"/>
      </w:r>
      <w:r w:rsidR="00CA7A9D" w:rsidRPr="00CA7A9D">
        <w:rPr>
          <w:rFonts w:ascii="Aptos" w:hAnsi="Aptos"/>
        </w:rPr>
        <w:t>[64]</w:t>
      </w:r>
      <w:bookmarkEnd w:id="41"/>
      <w:r w:rsidR="003F391E">
        <w:fldChar w:fldCharType="end"/>
      </w:r>
    </w:p>
    <w:p w14:paraId="42D70C63" w14:textId="31752CFC" w:rsidR="00E170BA" w:rsidRPr="00096740" w:rsidRDefault="00E170BA" w:rsidP="00E170BA">
      <w:r>
        <w:t xml:space="preserve">Utilizing Langmuir-Hinshelwood expressions, Jeong </w:t>
      </w:r>
      <w:r w:rsidR="00610F02">
        <w:t xml:space="preserve">et al. </w:t>
      </w:r>
      <w:r>
        <w:t xml:space="preserve">was successfully able to mimic the results of a fixed-bed quartz reactor at atmospheric pressure and 700 </w:t>
      </w:r>
      <m:oMath>
        <m:r>
          <w:rPr>
            <w:rFonts w:ascii="Cambria Math" w:hAnsi="Cambria Math"/>
          </w:rPr>
          <m:t>°</m:t>
        </m:r>
      </m:oMath>
      <w:r>
        <w:rPr>
          <w:rFonts w:eastAsiaTheme="minorEastAsia"/>
        </w:rPr>
        <w:t>C. This particular</w:t>
      </w:r>
      <w:r w:rsidR="00743080">
        <w:rPr>
          <w:rFonts w:eastAsiaTheme="minorEastAsia"/>
        </w:rPr>
        <w:t xml:space="preserve"> experimental</w:t>
      </w:r>
      <w:r>
        <w:rPr>
          <w:rFonts w:eastAsiaTheme="minorEastAsia"/>
        </w:rPr>
        <w:t xml:space="preserve"> setup is </w:t>
      </w:r>
      <w:r w:rsidR="00EA5A8E">
        <w:rPr>
          <w:rFonts w:eastAsiaTheme="minorEastAsia"/>
        </w:rPr>
        <w:t>very close to what was u</w:t>
      </w:r>
      <w:r w:rsidR="00DC3F1C">
        <w:rPr>
          <w:rFonts w:eastAsiaTheme="minorEastAsia"/>
        </w:rPr>
        <w:t>sed by</w:t>
      </w:r>
      <w:r w:rsidR="00D418E1">
        <w:rPr>
          <w:rFonts w:eastAsiaTheme="minorEastAsia"/>
        </w:rPr>
        <w:t xml:space="preserve"> Zhu et al.</w:t>
      </w:r>
      <w:r w:rsidR="00D418E1" w:rsidRPr="00D418E1">
        <w:rPr>
          <w:rFonts w:eastAsiaTheme="minorEastAsia"/>
        </w:rPr>
        <w:t xml:space="preserve"> </w:t>
      </w:r>
      <w:r w:rsidR="00D418E1">
        <w:rPr>
          <w:rFonts w:eastAsiaTheme="minorEastAsia"/>
        </w:rPr>
        <w:fldChar w:fldCharType="begin"/>
      </w:r>
      <w:r w:rsidR="00CA7A9D">
        <w:rPr>
          <w:rFonts w:eastAsiaTheme="minorEastAsia"/>
        </w:rPr>
        <w:instrText xml:space="preserve"> ADDIN ZOTERO_ITEM CSL_CITATION {"citationID":"a1q5gcp7rq6","properties":{"formattedCitation":"[65]","plainCitation":"[65]","noteIndex":0},"citationItems":[{"id":851,"uris":["http://zotero.org/users/12063231/items/HXBJX4RZ"],"itemData":{"id":851,"type":"article-journal","container-title":"Nature Communications","title":"Direct conversion of methane to aromatics and hydrogen via a heterogeneous trimetallic synergistic catalyst","volume":"Accepted","author":[{"family":"Zhu","given":"P"},{"family":"Bian","given":"W"},{"family":"Liu","given":"B"},{"family":"Deng","given":"H"},{"family":"Wang","given":"L"},{"family":"Huang","given":"X"},{"family":"Spence","given":"S"},{"family":"Lin","given":"F"},{"family":"Duan","given":"C"},{"family":"Ding","given":"P"},{"family":"Dong","given":"P"},{"family":"Ding H","given":""}],"issued":{"date-parts":[["2024"]]}}}],"schema":"https://github.com/citation-style-language/schema/raw/master/csl-citation.json"} </w:instrText>
      </w:r>
      <w:r w:rsidR="00D418E1">
        <w:rPr>
          <w:rFonts w:eastAsiaTheme="minorEastAsia"/>
        </w:rPr>
        <w:fldChar w:fldCharType="separate"/>
      </w:r>
      <w:r w:rsidR="00CA7A9D" w:rsidRPr="00CA7A9D">
        <w:rPr>
          <w:rFonts w:ascii="Aptos" w:hAnsi="Aptos"/>
        </w:rPr>
        <w:t>[65]</w:t>
      </w:r>
      <w:r w:rsidR="00D418E1">
        <w:rPr>
          <w:rFonts w:eastAsiaTheme="minorEastAsia"/>
        </w:rPr>
        <w:fldChar w:fldCharType="end"/>
      </w:r>
      <w:r w:rsidR="00D418E1">
        <w:rPr>
          <w:rFonts w:eastAsiaTheme="minorEastAsia"/>
        </w:rPr>
        <w:t>, whose work is used for the validation of the model in Chapter 3</w:t>
      </w:r>
      <w:r>
        <w:rPr>
          <w:rFonts w:eastAsiaTheme="minorEastAsia"/>
        </w:rPr>
        <w:t xml:space="preserve">. The results from </w:t>
      </w:r>
      <w:r w:rsidR="00610F02">
        <w:rPr>
          <w:rFonts w:eastAsiaTheme="minorEastAsia"/>
        </w:rPr>
        <w:t>the</w:t>
      </w:r>
      <w:r>
        <w:rPr>
          <w:rFonts w:eastAsiaTheme="minorEastAsia"/>
        </w:rPr>
        <w:t xml:space="preserve"> </w:t>
      </w:r>
      <w:r w:rsidR="000A7DA0">
        <w:rPr>
          <w:rFonts w:eastAsiaTheme="minorEastAsia"/>
        </w:rPr>
        <w:t>studies</w:t>
      </w:r>
      <w:r>
        <w:rPr>
          <w:rFonts w:eastAsiaTheme="minorEastAsia"/>
        </w:rPr>
        <w:t xml:space="preserve"> indicate that the ideal temperature for MDA is approximately 700 </w:t>
      </w:r>
      <m:oMath>
        <m:r>
          <w:rPr>
            <w:rFonts w:ascii="Cambria Math" w:eastAsiaTheme="minorEastAsia" w:hAnsi="Cambria Math"/>
          </w:rPr>
          <m:t>°</m:t>
        </m:r>
      </m:oMath>
      <w:r>
        <w:rPr>
          <w:rFonts w:eastAsiaTheme="minorEastAsia"/>
        </w:rPr>
        <w:t>C, as benzene yield and methane conversion both dropped at more elevated temperatures (750+</w:t>
      </w:r>
      <m:oMath>
        <m:r>
          <w:rPr>
            <w:rFonts w:ascii="Cambria Math" w:eastAsiaTheme="minorEastAsia" w:hAnsi="Cambria Math"/>
          </w:rPr>
          <m:t>°</m:t>
        </m:r>
      </m:oMath>
      <w:r>
        <w:rPr>
          <w:rFonts w:eastAsiaTheme="minorEastAsia"/>
        </w:rPr>
        <w:t>C) due to coking</w:t>
      </w:r>
      <w:r w:rsidR="00097B9A">
        <w:t xml:space="preserve"> </w:t>
      </w:r>
      <w:r w:rsidR="00097B9A">
        <w:fldChar w:fldCharType="begin"/>
      </w:r>
      <w:r w:rsidR="00CA7A9D">
        <w:instrText xml:space="preserve"> ADDIN ZOTERO_ITEM CSL_CITATION {"citationID":"NHH5e9p2","properties":{"formattedCitation":"[64]","plainCitation":"[64]","noteIndex":0},"citationItems":[{"id":744,"uris":["http://zotero.org/users/12063231/items/6QIVDYJ5"],"itemData":{"id":744,"type":"article-journal","abstract":"A kinetic model was developed for the methane dehydroaromatization over a Mo2C/H-ZSM5 catalyst. Because the experimental observations show that the reaction and deactivation simultaneously take place in the catalyst activation (carburization) stage, the initial simulation time was specified as the time at which the activation was completed and the initial activities under each operating condition were estimated. The estimated values show that the initial activity of the Mo2C site is low in the early stage of the catalyst bed, which is probably due to the carbonization, while that of the H-ZSM5 site is very low in the later stage of the bed due to the encapsulation of coupled aromatics caused by the low confinement of Mo2C in the zeolite. Kinetic models were developed for the reaction and deactivation and the kinetic parameters were estimated by fitting the experimental data that were obtained after the activation was completed. The simulated results are in good agreement with the experimental data. The deactivation model indicates a higher temperature dependency of the Mo2C site compared with the H-ZSM5 site. In addition, the benzene and toluene yields abruptly decrease at very high temperature, indicating that a too high temperature should be avoided, although high temperatures are favored because of the endothermic characteristics of the production rate.","collection-title":"Special Issue for the 17th Korea-Japan Symposium on Catalysis","container-title":"Catalysis Today","DOI":"10.1016/j.cattod.2019.09.002","ISSN":"0920-5861","journalAbbreviation":"Catalysis Today","page":"140-147","source":"ScienceDirect","title":"Kinetic modeling of methane dehydroaromatization over a Mo2C/H-ZSM5 catalyst: Different deactivation behaviors of the Mo2C and H-ZSM5 sites","title-short":"Kinetic modeling of methane dehydroaromatization over a Mo2C/H-ZSM5 catalyst","volume":"352","author":[{"family":"Jeong","given":"Jaehun"},{"family":"Hwang","given":"Ahron"},{"family":"Kim","given":"Yong Tae"},{"family":"Hong","given":"Do-Young"},{"family":"Park","given":"Myung-June"}],"issued":{"date-parts":[["2020",8,1]]}}}],"schema":"https://github.com/citation-style-language/schema/raw/master/csl-citation.json"} </w:instrText>
      </w:r>
      <w:r w:rsidR="00097B9A">
        <w:fldChar w:fldCharType="separate"/>
      </w:r>
      <w:r w:rsidR="00CA7A9D" w:rsidRPr="00CA7A9D">
        <w:rPr>
          <w:rFonts w:ascii="Aptos" w:hAnsi="Aptos"/>
          <w:sz w:val="20"/>
        </w:rPr>
        <w:t>[64]</w:t>
      </w:r>
      <w:r w:rsidR="00097B9A">
        <w:fldChar w:fldCharType="end"/>
      </w:r>
      <w:r>
        <w:rPr>
          <w:rFonts w:eastAsiaTheme="minorEastAsia"/>
        </w:rPr>
        <w:t>. Additionally, toluene and ethylene represented a very small amount of the total product (&lt;0.1%</w:t>
      </w:r>
      <w:r w:rsidR="00097B9A">
        <w:rPr>
          <w:rFonts w:eastAsiaTheme="minorEastAsia"/>
        </w:rPr>
        <w:t xml:space="preserve"> yield</w:t>
      </w:r>
      <w:r>
        <w:rPr>
          <w:rFonts w:eastAsiaTheme="minorEastAsia"/>
        </w:rPr>
        <w:t xml:space="preserve">) after 2 hours on the catalyst. Naphthalene was a little more prominent but benzene was the clear primary product from the MDA reaction </w:t>
      </w:r>
      <w:r>
        <w:rPr>
          <w:rFonts w:eastAsiaTheme="minorEastAsia"/>
        </w:rPr>
        <w:fldChar w:fldCharType="begin"/>
      </w:r>
      <w:r w:rsidR="00CA7A9D">
        <w:rPr>
          <w:rFonts w:eastAsiaTheme="minorEastAsia"/>
        </w:rPr>
        <w:instrText xml:space="preserve"> ADDIN ZOTERO_ITEM CSL_CITATION {"citationID":"a154shmbk20","properties":{"formattedCitation":"[64]","plainCitation":"[64]","noteIndex":0},"citationItems":[{"id":744,"uris":["http://zotero.org/users/12063231/items/6QIVDYJ5"],"itemData":{"id":744,"type":"article-journal","abstract":"A kinetic model was developed for the methane dehydroaromatization over a Mo2C/H-ZSM5 catalyst. Because the experimental observations show that the reaction and deactivation simultaneously take place in the catalyst activation (carburization) stage, the initial simulation time was specified as the time at which the activation was completed and the initial activities under each operating condition were estimated. The estimated values show that the initial activity of the Mo2C site is low in the early stage of the catalyst bed, which is probably due to the carbonization, while that of the H-ZSM5 site is very low in the later stage of the bed due to the encapsulation of coupled aromatics caused by the low confinement of Mo2C in the zeolite. Kinetic models were developed for the reaction and deactivation and the kinetic parameters were estimated by fitting the experimental data that were obtained after the activation was completed. The simulated results are in good agreement with the experimental data. The deactivation model indicates a higher temperature dependency of the Mo2C site compared with the H-ZSM5 site. In addition, the benzene and toluene yields abruptly decrease at very high temperature, indicating that a too high temperature should be avoided, although high temperatures are favored because of the endothermic characteristics of the production rate.","collection-title":"Special Issue for the 17th Korea-Japan Symposium on Catalysis","container-title":"Catalysis Today","DOI":"10.1016/j.cattod.2019.09.002","ISSN":"0920-5861","journalAbbreviation":"Catalysis Today","page":"140-147","source":"ScienceDirect","title":"Kinetic modeling of methane dehydroaromatization over a Mo2C/H-ZSM5 catalyst: Different deactivation behaviors of the Mo2C and H-ZSM5 sites","title-short":"Kinetic modeling of methane dehydroaromatization over a Mo2C/H-ZSM5 catalyst","volume":"352","author":[{"family":"Jeong","given":"Jaehun"},{"family":"Hwang","given":"Ahron"},{"family":"Kim","given":"Yong Tae"},{"family":"Hong","given":"Do-Young"},{"family":"Park","given":"Myung-June"}],"issued":{"date-parts":[["2020",8,1]]}}}],"schema":"https://github.com/citation-style-language/schema/raw/master/csl-citation.json"} </w:instrText>
      </w:r>
      <w:r>
        <w:rPr>
          <w:rFonts w:eastAsiaTheme="minorEastAsia"/>
        </w:rPr>
        <w:fldChar w:fldCharType="separate"/>
      </w:r>
      <w:r w:rsidR="00CA7A9D" w:rsidRPr="00CA7A9D">
        <w:rPr>
          <w:rFonts w:ascii="Aptos" w:hAnsi="Aptos"/>
        </w:rPr>
        <w:t>[64]</w:t>
      </w:r>
      <w:r>
        <w:rPr>
          <w:rFonts w:eastAsiaTheme="minorEastAsia"/>
        </w:rPr>
        <w:fldChar w:fldCharType="end"/>
      </w:r>
      <w:r>
        <w:rPr>
          <w:rFonts w:eastAsiaTheme="minorEastAsia"/>
        </w:rPr>
        <w:t>.</w:t>
      </w:r>
    </w:p>
    <w:p w14:paraId="4F031099" w14:textId="77777777" w:rsidR="00E170BA" w:rsidRDefault="00E170BA" w:rsidP="00E170BA">
      <w:pPr>
        <w:pStyle w:val="Heading3"/>
      </w:pPr>
      <w:bookmarkStart w:id="42" w:name="_Toc156393747"/>
      <w:bookmarkStart w:id="43" w:name="_Toc165641059"/>
      <w:bookmarkStart w:id="44" w:name="_Toc156393743"/>
      <w:r>
        <w:t>2.2.7 Catalyst Breakdown</w:t>
      </w:r>
      <w:bookmarkEnd w:id="42"/>
      <w:bookmarkEnd w:id="43"/>
    </w:p>
    <w:p w14:paraId="43A0A73B" w14:textId="3078BBFE" w:rsidR="00E170BA" w:rsidRDefault="00E170BA" w:rsidP="00E170BA">
      <w:pPr>
        <w:rPr>
          <w:rFonts w:eastAsiaTheme="minorEastAsia"/>
        </w:rPr>
      </w:pPr>
      <w:r>
        <w:t xml:space="preserve">Mo/ZSM-5 has been a focal point of study in the MDA reaction for decades, known for achieving benzene yields close to thermodynamic limits (5-15% at 600-800 </w:t>
      </w:r>
      <m:oMath>
        <m:r>
          <w:rPr>
            <w:rFonts w:ascii="Cambria Math" w:hAnsi="Cambria Math"/>
          </w:rPr>
          <m:t>°</m:t>
        </m:r>
      </m:oMath>
      <w:r>
        <w:rPr>
          <w:rFonts w:eastAsiaTheme="minorEastAsia"/>
        </w:rPr>
        <w:t xml:space="preserve">C) with a high benzene selectivity (70-90%) across various space velocities and methane partial pressures </w:t>
      </w:r>
      <w:r>
        <w:rPr>
          <w:rFonts w:eastAsiaTheme="minorEastAsia"/>
        </w:rPr>
        <w:fldChar w:fldCharType="begin"/>
      </w:r>
      <w:r w:rsidR="00CA7A9D">
        <w:rPr>
          <w:rFonts w:eastAsiaTheme="minorEastAsia"/>
        </w:rPr>
        <w:instrText xml:space="preserve"> ADDIN ZOTERO_ITEM CSL_CITATION {"citationID":"a27cd308uk5","properties":{"formattedCitation":"[44]","plainCitation":"[44]","noteIndex":0},"citationItems":[{"id":638,"uris":["http://zotero.org/users/12063231/items/FUNE49BF"],"itemData":{"id":638,"type":"article-journal","abstract":"Non-oxidative dehydroaromatization is arguably the most promising process for the direct upgrading of cheap and abundant methane to liquid hydrocarbons. This reaction has not been commercialized yet because of the suboptimal activity and swift deactivation of benchmark Mo-zeolite catalysts. This progress report represents an elaboration on the recent developments in understanding of zeolite-based catalytic materials for high-temperature non-oxidative dehydroaromatization of methane. It is specifically focused on recent studies, relevant to the materials chemistry and elucidating i) the structure of active species in working catalysts; ii) the complex molecular pathways underlying the mechanism of selective conversion of methane to benzene; iii) structure, evolution and role of coke species; and iv) process intensification strategies to improve the deactivation resistance and overall performance of the catalysts. Finally, unsolved challenges in this field of research are outlined and an outlook is provided on promising directions toward improving the activity, stability, and selectivity of methane dehydroaromatization catalysts.","container-title":"Advanced Materials","DOI":"10.1002/adma.202002565","ISSN":"1521-4095","issue":"44","language":"en","license":"© 2020 The Authors. Published by WILEY-VCH Verlag GmbH &amp; Co. KGaA, Weinheim","note":"_eprint: https://onlinelibrary.wiley.com/doi/pdf/10.1002/adma.202002565","page":"2002565","source":"Wiley Online Library","title":"Reactivity, Selectivity, and Stability of Zeolite-Based Catalysts for Methane Dehydroaromatization","volume":"32","author":[{"family":"Kosinov","given":"Nikolay"},{"family":"Hensen","given":"Emiel J. M."}],"issued":{"date-parts":[["2020"]]}}}],"schema":"https://github.com/citation-style-language/schema/raw/master/csl-citation.json"} </w:instrText>
      </w:r>
      <w:r>
        <w:rPr>
          <w:rFonts w:eastAsiaTheme="minorEastAsia"/>
        </w:rPr>
        <w:fldChar w:fldCharType="separate"/>
      </w:r>
      <w:r w:rsidR="00CA7A9D" w:rsidRPr="00CA7A9D">
        <w:rPr>
          <w:rFonts w:ascii="Aptos" w:hAnsi="Aptos"/>
        </w:rPr>
        <w:t>[44]</w:t>
      </w:r>
      <w:r>
        <w:rPr>
          <w:rFonts w:eastAsiaTheme="minorEastAsia"/>
        </w:rPr>
        <w:fldChar w:fldCharType="end"/>
      </w:r>
      <w:r>
        <w:rPr>
          <w:rFonts w:eastAsiaTheme="minorEastAsia"/>
        </w:rPr>
        <w:t>. The bifunctional nature of the catalyst functions such that Mo and Br</w:t>
      </w:r>
      <w:r w:rsidRPr="004C1218">
        <w:t>ø</w:t>
      </w:r>
      <w:r>
        <w:rPr>
          <w:rFonts w:eastAsiaTheme="minorEastAsia"/>
        </w:rPr>
        <w:t>nsted acid sites can alternate to complete the reaction process. As such, the degree of Mo-loading strongly influence</w:t>
      </w:r>
      <w:r w:rsidR="00DC5C1E">
        <w:rPr>
          <w:rFonts w:eastAsiaTheme="minorEastAsia"/>
        </w:rPr>
        <w:t>s</w:t>
      </w:r>
      <w:r>
        <w:rPr>
          <w:rFonts w:eastAsiaTheme="minorEastAsia"/>
        </w:rPr>
        <w:t xml:space="preserve"> the catalyst activity, with too much and too little Mo-loading having adverse effects on MDA. The majority of modern studies have estimated the ideal loading at somewhere between 4.5%-6% Mo </w:t>
      </w:r>
      <w:proofErr w:type="spellStart"/>
      <w:r>
        <w:rPr>
          <w:rFonts w:eastAsiaTheme="minorEastAsia"/>
        </w:rPr>
        <w:t>wt</w:t>
      </w:r>
      <w:proofErr w:type="spellEnd"/>
      <w:r>
        <w:rPr>
          <w:rFonts w:eastAsiaTheme="minorEastAsia"/>
        </w:rPr>
        <w:t xml:space="preserve">% without catalyst promoters </w:t>
      </w:r>
      <w:r>
        <w:rPr>
          <w:rFonts w:eastAsiaTheme="minorEastAsia"/>
        </w:rPr>
        <w:fldChar w:fldCharType="begin"/>
      </w:r>
      <w:r w:rsidR="00CA7A9D">
        <w:rPr>
          <w:rFonts w:eastAsiaTheme="minorEastAsia"/>
        </w:rPr>
        <w:instrText xml:space="preserve"> ADDIN ZOTERO_ITEM CSL_CITATION {"citationID":"a1q1u658t0v","properties":{"formattedCitation":"[44], [50], [54], [66], [67], [68]","plainCitation":"[44], [50], [54], [66], [67], [68]","noteIndex":0},"citationItems":[{"id":638,"uris":["http://zotero.org/users/12063231/items/FUNE49BF"],"itemData":{"id":638,"type":"article-journal","abstract":"Non-oxidative dehydroaromatization is arguably the most promising process for the direct upgrading of cheap and abundant methane to liquid hydrocarbons. This reaction has not been commercialized yet because of the suboptimal activity and swift deactivation of benchmark Mo-zeolite catalysts. This progress report represents an elaboration on the recent developments in understanding of zeolite-based catalytic materials for high-temperature non-oxidative dehydroaromatization of methane. It is specifically focused on recent studies, relevant to the materials chemistry and elucidating i) the structure of active species in working catalysts; ii) the complex molecular pathways underlying the mechanism of selective conversion of methane to benzene; iii) structure, evolution and role of coke species; and iv) process intensification strategies to improve the deactivation resistance and overall performance of the catalysts. Finally, unsolved challenges in this field of research are outlined and an outlook is provided on promising directions toward improving the activity, stability, and selectivity of methane dehydroaromatization catalysts.","container-title":"Advanced Materials","DOI":"10.1002/adma.202002565","ISSN":"1521-4095","issue":"44","language":"en","license":"© 2020 The Authors. Published by WILEY-VCH Verlag GmbH &amp; Co. KGaA, Weinheim","note":"_eprint: https://onlinelibrary.wiley.com/doi/pdf/10.1002/adma.202002565","page":"2002565","source":"Wiley Online Library","title":"Reactivity, Selectivity, and Stability of Zeolite-Based Catalysts for Methane Dehydroaromatization","volume":"32","author":[{"family":"Kosinov","given":"Nikolay"},{"family":"Hensen","given":"Emiel J. M."}],"issued":{"date-parts":[["2020"]]}}},{"id":624,"uris":["http://zotero.org/users/12063231/items/YQYI8YM2"],"itemData":{"id":624,"type":"article-journal","abstract":"Methane dehydroaromatization is a promising reaction for the direct conversion of methane to liquid hydrocarbons. The active sites and the mechanism of this reaction remain controversial. This work is focused on the operando X-ray absorption near edge structure spectroscopy analysis of conventional Mo/ZSM-5 catalysts during their whole lifetime. Complemented by other characterization techniques, we derived spectroscopic descriptors of molybdenum precursor decomposition and its exchange with zeolite Brønsted acid sites. We found that the reduction of Mo-species proceeds in two steps and the active sites are of similar nature, regardless of the Mo content. Furthermore, the ZSM-5 unit cell contracts at the beginning of the reaction, which coincides with benzene formation and it is likely related to the formation of hydrocarbon pool intermediates. Finally, although reductive regeneration of used catalysts via methanation is less effective as compared to combustion of coke, it does not affect the structure of the catalysts.","container-title":"Chemistry – A European Journal","DOI":"10.1002/chem.202103894","ISSN":"1521-3765","issue":"5","language":"en","license":"© 2021 The Authors. Chemistry - A European Journal published by Wiley-VCH GmbH","note":"_eprint: https://onlinelibrary.wiley.com/doi/pdf/10.1002/chem.202103894","page":"e202103894","source":"Wiley Online Library","title":"Understanding the Preparation and Reactivity of Mo/ZSM-5 Methane Dehydroaromatization Catalysts","volume":"28","author":[{"family":"Liu","given":"Yujie"},{"family":"Zhang","given":"Hao"},{"family":"Wijpkema","given":"Alexandra S. G."},{"family":"Coumans","given":"Ferdy J. A. G."},{"family":"Meng","given":"Lingqian"},{"family":"Uslamin","given":"Evgeny A."},{"family":"Longo","given":"Alessandro"},{"family":"Hensen","given":"Emiel J. M."},{"family":"Kosinov","given":"Nikolay"}],"issued":{"date-parts":[["2022"]]}}},{"id":603,"uris":["http://zotero.org/users/12063231/items/U3JFYFA9"],"itemData":{"id":603,"type":"article-journal","abstract":"The investigations on transformation of methane to benzene and naphthalene have been carried out in aim to verify and supplement earlier reported data and on this basis to estimate real industrial perspectives of the CH4 aromatization concept, the main challenges and barriers. Methane aromatization (direct and via oxidative coupling) has been studied over Mo/HZSM-5 catalyst used both for direct methane dehydroaromatization and for aromatization of methane oxidative coupling (OCM) products. The effects of Mo content in the catalyst, temperature, space velocity, the presence of CO2, CO, H2O, C2H4, C2H6 and their mixtures in the feed have been studied. The effectiveness of the catalyst regeneration in the air was also examined. All results were confronted with the literature data and analyzed from technological point of view. It was confirmed that direct CH4 aromatization process was characterized by a low CH4 single-pass conversion, low single-pass yields of the main products (benzene, hydrogen and naphthalene) and a low catalyst stability (rapid catalyst deactivation). Various possible technological schemes were analyzed. It was concluded that real industrial chances of direct methane aromatization or aromatization via OCM would depend largely on the advancement in the cost-effective separation techniques. The methane aromatization concept was also confronted with other methane conversion processes.","container-title":"Fuel Processing Technology","DOI":"10.1016/j.fuproc.2005.12.001","ISSN":"0378-3820","issue":"6","journalAbbreviation":"Fuel Processing Technology","page":"511-521","source":"ScienceDirect","title":"Some technological aspects of methane aromatization (direct and via oxidative coupling)","volume":"87","author":[{"family":"Skutil","given":"Krzysztof"},{"family":"Taniewski","given":"Marian"}],"issued":{"date-parts":[["2006",6,1]]}}},{"id":684,"uris":["http://zotero.org/users/12063231/items/9TUZT8V2"],"itemData":{"id":684,"type":"article-journal","abstract":"The Mo/HZSM-5 catalyzed, non-oxidative methane dehydroaromatization reaction provides a promising direct approach for production of benzene as well as naphthalene from CH4 resources and therefore its early industrial application is highly desired. A simplified methane dehydroaromatization process that consists of only one reactor unit and two product separation units is presented, and the factors that could significantly affect the process efficiency are quantitatively analyzed. While efficiently separating and recycling up to 70vol% unreacted CH4 from the stream out of condensable aromatics separation unit might become the main problem in maximizing the process efficiency, increasing the operating temperature as high as possible of the CH4 converter in the reactor unit and raising the system operation pressure to a level somewhat higher than one atmosphere should help maximize the process performance. At process-required high reaction temperatures, however, Mo/HZSM-5 catalyst suffers from vary rapid deactivation due to serious coke formation. Therefore, it becomes necessary to employ a reactor system that enables continuous and simultaneous regeneration of deactivated catalyst so as to maintain the catalytic activity and stability of catalyst over a sufficiently long operation period. Nineteen years of sustained R&amp;D efforts of the author’s team have led to a few applicable technologies related to preparation of a fluidizable binder-free Mo/HZSM-5 catalyst for use in fluidized bed reactors, regeneration of deactivated Mo/HZSM-5 catalyst using H2, and design and operation of a dual-bed circulating fluidized bed reactor system for continuous processing of the Mo/HZSM-5 catalyzed methane dehydroaromatization reaction. Operated at 1073</w:instrText>
      </w:r>
      <w:r w:rsidR="00CA7A9D">
        <w:rPr>
          <w:rFonts w:ascii="Arial" w:eastAsiaTheme="minorEastAsia" w:hAnsi="Arial" w:cs="Arial"/>
        </w:rPr>
        <w:instrText> </w:instrText>
      </w:r>
      <w:r w:rsidR="00CA7A9D">
        <w:rPr>
          <w:rFonts w:eastAsiaTheme="minorEastAsia"/>
        </w:rPr>
        <w:instrText>K and under a continuous regeneration mode, an in-house developed binder-free 6%Mo/HZSM-5 catalyst has proven to be capable of providing a stable benzene yield of approximately 13% over a cumulative period of 1800</w:instrText>
      </w:r>
      <w:r w:rsidR="00CA7A9D">
        <w:rPr>
          <w:rFonts w:ascii="Arial" w:eastAsiaTheme="minorEastAsia" w:hAnsi="Arial" w:cs="Arial"/>
        </w:rPr>
        <w:instrText> </w:instrText>
      </w:r>
      <w:r w:rsidR="00CA7A9D">
        <w:rPr>
          <w:rFonts w:eastAsiaTheme="minorEastAsia"/>
        </w:rPr>
        <w:instrText xml:space="preserve">min. Nevertheless, minimizing the catalyst deactivation by coking and developing a highly effective coke-removal and catalyst regeneration approach have still remained two important issues to be addressed in realization of early application of the Mo/HZSM-5 catalyzed methane dehydroaromatization reaction. While the key to a practical solution to these challenging issues lies in designing an advanced Mo/HZSM-5 catalyst with improved coking resistance and H2-regeneration activity, effective approaches to the design of such a catalyst are presented and discussed based on four possible coke formation routes. In the end, developing a pressurized pilot-scale dual-bed type of circulating fluidized bed reactor system that is capable of providing a yearly production of benzene of approximately 35 tons and naphthalene of 5 tons is visualized to make demonstration of the industrial applicability of the Mo/HZSM-5 catalyzed methane dehydroaromatization reaction.","container-title":"Carbon Resources Conversion","DOI":"10.1016/j.crcon.2019.07.001","ISSN":"2588-9133","issue":"3","journalAbbreviation":"Carbon Resources Conversion","page":"157-174","source":"ScienceDirect","title":"Process, reactor and catalyst design: Towards application of direct conversion of methane to aromatics under nonoxidative conditions","title-short":"Process, reactor and catalyst design","volume":"2","author":[{"family":"Zhang","given":"Zhan-Guo"}],"issued":{"date-parts":[["2019",12,1]]}}},{"id":690,"uris":["http://zotero.org/users/12063231/items/44M7X7MJ"],"itemData":{"id":690,"type":"article-journal","abstract":"A laboratory-scale two-bed circulating fluidized bed reactor system was developed for processing the Mo/HZSM-5 catalyzed methane dehydroaromatization reaction in continuous catalyst-regeneration mode. A binder-free, spherical-shaped fluidizable Mo/HZSM-5 catalyst was tested in the system to verify its high operativity and industrial applicability. The main operation parameters of the catalyst including temperature, space velocity, the height of catalyst bed, and the mean residence time were optimized in micro fixed and fluidized bed reactors in either continuous CH4 feed or cyclic CH4-H2 switching feed mode. Its long-term activity and stability was evaluated in the two-bed circulating fluidized bed reactor system under continuous regeneration mode. At 1073 K and a space velocity of </w:instrText>
      </w:r>
      <w:r w:rsidR="00CA7A9D">
        <w:rPr>
          <w:rFonts w:ascii="Cambria Math" w:eastAsiaTheme="minorEastAsia" w:hAnsi="Cambria Math" w:cs="Cambria Math"/>
        </w:rPr>
        <w:instrText>∼</w:instrText>
      </w:r>
      <w:r w:rsidR="00CA7A9D">
        <w:rPr>
          <w:rFonts w:eastAsiaTheme="minorEastAsia"/>
        </w:rPr>
        <w:instrText xml:space="preserve">3000 mL/g/h the catalyst has proven to be capable of providing a stable benzene yield of 12% over a cumulative period of 1600 min. © 2016 American Institute of Chemical Engineers Environ Prog, 35: 325–333, 2016","container-title":"Environmental Progress &amp; Sustainable Energy","DOI":"10.1002/ep.12287","ISSN":"1944-7450","issue":"2","language":"en","license":"© 2016 American Institute of Chemical Engineers Environ Prog","note":"_eprint: https://onlinelibrary.wiley.com/doi/pdf/10.1002/ep.12287","page":"325-333","source":"Wiley Online Library","title":"NGU: Development of a two-bed circulating fluidized bed reactor system for nonoxidative aromatization of methane over Mo/HZSM-5 catalyst","title-short":"NGU","volume":"35","author":[{"family":"Zhang","given":"Zhanguo"},{"family":"Xu","given":"Yuebing"},{"family":"Song","given":"Yang"},{"family":"Ma","given":"Hongtao"},{"family":"Yamamoto","given":"Yo"}],"issued":{"date-parts":[["2016"]]}}},{"id":686,"uris":["http://zotero.org/users/12063231/items/AI93Q6I8"],"itemData":{"id":686,"type":"article-journal","abstract":"The catalytic methane aromatization (CMA) via the non-oxidative approach is increasingly becoming an interesting process for natural gas, shale gas and biogas valorization. However, the design of catalytic materials that could produce very high methane conversion and aromatics selectivity at affordable stability is still difficult. We have carefully documented herein a comprehensive literature survey on the advances in different catalysts designed, characterized and evaluated for the CMA reaction in the recent times. Details on metal-modified zeolite systems including the active sites identification, role of different metals and their loadings, reaction mechanisms and influence of synthetic and catalytic parameters were substantially discussed. The scope was extended to include zeotypes, oxides, un-modified Mo-based compounds and associated catalysts recently evaluated. There are indications that the powdered GaN material is currently been considered as a CMA catalyst. Therefore, relevant studies were carefully surveyed and discussed. In all cases, parameters varied for ensuring conversion and selectivity control were simultaneously highlighted. The paper identified new research paths based on the areas partly explored for further investigations.","container-title":"Catalysis Surveys from Asia","DOI":"10.1007/s10563-018-9262-5","ISSN":"1574-9266","issue":"3","journalAbbreviation":"Catal Surv Asia","language":"en","page":"149-170","source":"Springer Link","title":"Advances in Catalyst Design for the Conversion of Methane to Aromatics: A Critical Review","title-short":"Advances in Catalyst Design for the Conversion of Methane to Aromatics","volume":"23","author":[{"family":"Galadima","given":"Ahmad"},{"family":"Muraza","given":"Oki"}],"issued":{"date-parts":[["2019",9,1]]}}}],"schema":"https://github.com/citation-style-language/schema/raw/master/csl-citation.json"} </w:instrText>
      </w:r>
      <w:r>
        <w:rPr>
          <w:rFonts w:eastAsiaTheme="minorEastAsia"/>
        </w:rPr>
        <w:fldChar w:fldCharType="separate"/>
      </w:r>
      <w:r w:rsidR="00CA7A9D" w:rsidRPr="00CA7A9D">
        <w:rPr>
          <w:rFonts w:ascii="Aptos" w:hAnsi="Aptos"/>
        </w:rPr>
        <w:t>[44], [50], [54], [66], [67], [68]</w:t>
      </w:r>
      <w:r>
        <w:rPr>
          <w:rFonts w:eastAsiaTheme="minorEastAsia"/>
        </w:rPr>
        <w:fldChar w:fldCharType="end"/>
      </w:r>
      <w:r>
        <w:rPr>
          <w:rFonts w:eastAsiaTheme="minorEastAsia"/>
        </w:rPr>
        <w:t xml:space="preserve">. However, this loading percentage can change when other metals or promoters are implemented with Mo </w:t>
      </w:r>
      <w:r>
        <w:rPr>
          <w:rFonts w:eastAsiaTheme="minorEastAsia"/>
        </w:rPr>
        <w:fldChar w:fldCharType="begin"/>
      </w:r>
      <w:r w:rsidR="00CA7A9D">
        <w:rPr>
          <w:rFonts w:eastAsiaTheme="minorEastAsia"/>
        </w:rPr>
        <w:instrText xml:space="preserve"> ADDIN ZOTERO_ITEM CSL_CITATION {"citationID":"a25ntmj93jr","properties":{"formattedCitation":"[65]","plainCitation":"[65]","noteIndex":0},"citationItems":[{"id":851,"uris":["http://zotero.org/users/12063231/items/HXBJX4RZ"],"itemData":{"id":851,"type":"article-journal","container-title":"Nature Communications","title":"Direct conversion of methane to aromatics and hydrogen via a heterogeneous trimetallic synergistic catalyst","volume":"Accepted","author":[{"family":"Zhu","given":"P"},{"family":"Bian","given":"W"},{"family":"Liu","given":"B"},{"family":"Deng","given":"H"},{"family":"Wang","given":"L"},{"family":"Huang","given":"X"},{"family":"Spence","given":"S"},{"family":"Lin","given":"F"},{"family":"Duan","given":"C"},{"family":"Ding","given":"P"},{"family":"Dong","given":"P"},{"family":"Ding H","given":""}],"issued":{"date-parts":[["2024"]]}}}],"schema":"https://github.com/citation-style-language/schema/raw/master/csl-citation.json"} </w:instrText>
      </w:r>
      <w:r>
        <w:rPr>
          <w:rFonts w:eastAsiaTheme="minorEastAsia"/>
        </w:rPr>
        <w:fldChar w:fldCharType="separate"/>
      </w:r>
      <w:r w:rsidR="00CA7A9D" w:rsidRPr="00CA7A9D">
        <w:rPr>
          <w:rFonts w:ascii="Aptos" w:hAnsi="Aptos"/>
        </w:rPr>
        <w:t>[65]</w:t>
      </w:r>
      <w:r>
        <w:rPr>
          <w:rFonts w:eastAsiaTheme="minorEastAsia"/>
        </w:rPr>
        <w:fldChar w:fldCharType="end"/>
      </w:r>
    </w:p>
    <w:p w14:paraId="053C609F" w14:textId="63E60873" w:rsidR="00E170BA" w:rsidRDefault="00E170BA" w:rsidP="00E170BA">
      <w:r>
        <w:t xml:space="preserve">One of the most important aspects of catalyst preparation for MDA is the mitigation of coke formation. After a thorough analysis, Zhang et al. conclude that there are three types of inhibiting coke formation throughout the Mo/ZSM-5 catalyst </w:t>
      </w:r>
      <w:r>
        <w:fldChar w:fldCharType="begin"/>
      </w:r>
      <w:r w:rsidR="00CA7A9D">
        <w:instrText xml:space="preserve"> ADDIN ZOTERO_ITEM CSL_CITATION {"citationID":"UNArsxsS","properties":{"formattedCitation":"[66], [69]","plainCitation":"[66], [69]","noteIndex":0},"citationItems":[{"id":684,"uris":["http://zotero.org/users/12063231/items/9TUZT8V2"],"itemData":{"id":684,"type":"article-journal","abstract":"The Mo/HZSM-5 catalyzed, non-oxidative methane dehydroaromatization reaction provides a promising direct approach for production of benzene as well as naphthalene from CH4 resources and therefore its early industrial application is highly desired. A simplified methane dehydroaromatization process that consists of only one reactor unit and two product separation units is presented, and the factors that could significantly affect the process efficiency are quantitatively analyzed. While efficiently separating and recycling up to 70vol% unreacted CH4 from the stream out of condensable aromatics separation unit might become the main problem in maximizing the process efficiency, increasing the operating temperature as high as possible of the CH4 converter in the reactor unit and raising the system operation pressure to a level somewhat higher than one atmosphere should help maximize the process performance. At process-required high reaction temperatures, however, Mo/HZSM-5 catalyst suffers from vary rapid deactivation due to serious coke formation. Therefore, it becomes necessary to employ a reactor system that enables continuous and simultaneous regeneration of deactivated catalyst so as to maintain the catalytic activity and stability of catalyst over a sufficiently long operation period. Nineteen years of sustained R&amp;D efforts of the author’s team have led to a few applicable technologies related to preparation of a fluidizable binder-free Mo/HZSM-5 catalyst for use in fluidized bed reactors, regeneration of deactivated Mo/HZSM-5 catalyst using H2, and design and operation of a dual-bed circulating fluidized bed reactor system for continuous processing of the Mo/HZSM-5 catalyzed methane dehydroaromatization reaction. Operated at 1073</w:instrText>
      </w:r>
      <w:r w:rsidR="00CA7A9D">
        <w:rPr>
          <w:rFonts w:ascii="Arial" w:hAnsi="Arial" w:cs="Arial"/>
        </w:rPr>
        <w:instrText> </w:instrText>
      </w:r>
      <w:r w:rsidR="00CA7A9D">
        <w:instrText>K and under a continuous regeneration mode, an in-house developed binder-free 6%Mo/HZSM-5 catalyst has proven to be capable of providing a stable benzene yield of approximately 13% over a cumulative period of 1800</w:instrText>
      </w:r>
      <w:r w:rsidR="00CA7A9D">
        <w:rPr>
          <w:rFonts w:ascii="Arial" w:hAnsi="Arial" w:cs="Arial"/>
        </w:rPr>
        <w:instrText> </w:instrText>
      </w:r>
      <w:r w:rsidR="00CA7A9D">
        <w:instrText xml:space="preserve">min. Nevertheless, minimizing the catalyst deactivation by coking and developing a highly effective coke-removal and catalyst regeneration approach have still remained two important issues to be addressed in realization of early application of the Mo/HZSM-5 catalyzed methane dehydroaromatization reaction. While the key to a practical solution to these challenging issues lies in designing an advanced Mo/HZSM-5 catalyst with improved coking resistance and H2-regeneration activity, effective approaches to the design of such a catalyst are presented and discussed based on four possible coke formation routes. In the end, developing a pressurized pilot-scale dual-bed type of circulating fluidized bed reactor system that is capable of providing a yearly production of benzene of approximately 35 tons and naphthalene of 5 tons is visualized to make demonstration of the industrial applicability of the Mo/HZSM-5 catalyzed methane dehydroaromatization reaction.","container-title":"Carbon Resources Conversion","DOI":"10.1016/j.crcon.2019.07.001","ISSN":"2588-9133","issue":"3","journalAbbreviation":"Carbon Resources Conversion","page":"157-174","source":"ScienceDirect","title":"Process, reactor and catalyst design: Towards application of direct conversion of methane to aromatics under nonoxidative conditions","title-short":"Process, reactor and catalyst design","volume":"2","author":[{"family":"Zhang","given":"Zhan-Guo"}],"issued":{"date-parts":[["2019",12,1]]}}},{"id":688,"uris":["http://zotero.org/users/12063231/items/YHG3VTAK"],"itemData":{"id":688,"type":"article-journal","abstract":"There is a need to develop a fluidizable Mo/HZSM-5 catalyst for industrial application of the non-oxidative CH4 conversion to benzene. A binder-free, spherical-shaped Mo/HZSM-5 catalyst was applied for the first time to the non-oxidative CH4 dehydroaromatization and its activity and stability were examined in both fixed- and fluidized-bed reactors at atmospheric pressure, 1073–1173K and 10,000mL/g/h under periodic CH4–H2 switch operation modes. The fixed bed tests confirmed that this catalyst has the same high activity as a 100% zeolite-based Mo/HZSM-5 powder catalyst. The fluidized bed tests demonstrated further that, the combination of daily cyclic H2-regeneration and one-hour continuous H2-regeneration between daily cyclic tests enables the catalyst to exhibit well-duplicated activity–time curves over a period of 6-day. Hence, a three-bed circulating reactor system was proposed to realize continuous and highly efficient catalyst regeneration and stable production of benzene. Moreover, measurements of the particle size distribution revealed that the average particle sizes of the spent samples collected after the fluidized bed tests become slightly larger than that of the fresh catalyst. Coke accumulation on the external surfaces of catalyst particles is believed to be responsible for strengthened resistance of the catalyst toward abrasion under the fluidization conditions.","container-title":"Chemical Engineering and Processing: Process Intensification","DOI":"10.1016/j.cep.2013.05.016","ISSN":"0255-2701","journalAbbreviation":"Chemical Engineering and Processing: Process Intensification","page":"90-102","source":"ScienceDirect","title":"Performance of a binder-free, spherical-shaped Mo/HZSM-5 catalyst in the non-oxidative CH4 dehydroaromatization in fixed- and fluidized-bed reactors under periodic CH4–H2 switch operation","volume":"72","author":[{"family":"Xu","given":"Yuebing"},{"family":"Lu","given":"Jiangyin"},{"family":"Suzuki","given":"Yoshizo"},{"family":"Zhang","given":"Zhan-Guo"},{"family":"Ma","given":"Hongtao"},{"family":"Yamamoto","given":"Yo"}],"issued":{"date-parts":[["2013",10,1]]}}}],"schema":"https://github.com/citation-style-language/schema/raw/master/csl-citation.json"} </w:instrText>
      </w:r>
      <w:r>
        <w:fldChar w:fldCharType="separate"/>
      </w:r>
      <w:r w:rsidR="00CA7A9D" w:rsidRPr="00CA7A9D">
        <w:rPr>
          <w:rFonts w:ascii="Aptos" w:hAnsi="Aptos"/>
        </w:rPr>
        <w:t>[66], [69]</w:t>
      </w:r>
      <w:r>
        <w:fldChar w:fldCharType="end"/>
      </w:r>
      <w:r>
        <w:t>:</w:t>
      </w:r>
    </w:p>
    <w:p w14:paraId="78537399" w14:textId="77777777" w:rsidR="00E170BA" w:rsidRDefault="00E170BA" w:rsidP="00E170BA">
      <w:pPr>
        <w:pStyle w:val="ListParagraph"/>
        <w:numPr>
          <w:ilvl w:val="0"/>
          <w:numId w:val="8"/>
        </w:numPr>
        <w:spacing w:after="160" w:line="360" w:lineRule="auto"/>
      </w:pPr>
      <w:r>
        <w:t>Coke formation on Mo sites inside the zeolite channels, deactivating CH</w:t>
      </w:r>
      <w:r>
        <w:rPr>
          <w:vertAlign w:val="subscript"/>
        </w:rPr>
        <w:t xml:space="preserve">4 </w:t>
      </w:r>
      <w:r>
        <w:t>activation</w:t>
      </w:r>
    </w:p>
    <w:p w14:paraId="3486AB7F" w14:textId="77777777" w:rsidR="00E170BA" w:rsidRDefault="00E170BA" w:rsidP="00E170BA">
      <w:pPr>
        <w:pStyle w:val="ListParagraph"/>
        <w:numPr>
          <w:ilvl w:val="0"/>
          <w:numId w:val="8"/>
        </w:numPr>
        <w:spacing w:after="160" w:line="360" w:lineRule="auto"/>
      </w:pPr>
      <w:r>
        <w:t xml:space="preserve">Coke formation on </w:t>
      </w:r>
      <w:r w:rsidRPr="004C1218">
        <w:t>Brønsted</w:t>
      </w:r>
      <w:r>
        <w:t xml:space="preserve"> acid sites inside channels, narrowing the cross section and inhibiting the aromatics from diffusing</w:t>
      </w:r>
    </w:p>
    <w:p w14:paraId="2D6DE4CE" w14:textId="77777777" w:rsidR="00E170BA" w:rsidRDefault="00E170BA" w:rsidP="00E170BA">
      <w:pPr>
        <w:pStyle w:val="ListParagraph"/>
        <w:numPr>
          <w:ilvl w:val="0"/>
          <w:numId w:val="8"/>
        </w:numPr>
        <w:spacing w:after="160" w:line="360" w:lineRule="auto"/>
      </w:pPr>
      <w:r>
        <w:t>External coke formation at the channel mouth blocking reactants from entering and products from leaving</w:t>
      </w:r>
    </w:p>
    <w:p w14:paraId="6BEF791E" w14:textId="77777777" w:rsidR="00E170BA" w:rsidRDefault="00E170BA" w:rsidP="00E170BA">
      <w:r>
        <w:t xml:space="preserve">Understanding these three types of coke formation leads to improved coke management such as regeneration, coke burn off, or other strategies. Optimizing reaction parameters, recycling, and regeneration are common ways to mitigate these formations, but these are limited in how much they can economically benefit the process without further developments in the catalyst effectiveness for MDA. </w:t>
      </w:r>
    </w:p>
    <w:p w14:paraId="5D065C46" w14:textId="77777777" w:rsidR="00E170BA" w:rsidRDefault="00E170BA" w:rsidP="00E170BA">
      <w:pPr>
        <w:pStyle w:val="Heading3"/>
      </w:pPr>
      <w:bookmarkStart w:id="45" w:name="_Toc156393744"/>
      <w:bookmarkStart w:id="46" w:name="_Toc165641060"/>
      <w:bookmarkEnd w:id="44"/>
      <w:r>
        <w:t>2.2.8 Industrial Challenges</w:t>
      </w:r>
      <w:bookmarkEnd w:id="45"/>
      <w:bookmarkEnd w:id="46"/>
    </w:p>
    <w:p w14:paraId="580EC451" w14:textId="77777777" w:rsidR="00E170BA" w:rsidRDefault="00E170BA" w:rsidP="00E170BA">
      <w:r>
        <w:t>For industrial MDA application, there are three significant challenges to overcome due to the nature of MDA being an equilibrium-limited, endothermic reaction as discussed above. These issues are first, effectively supplying the sufficient heat of reaction; second, achieving an effectively high methane conversion and benzene selectivity such that the system can be competitive with existing benzene and aromatic production technologies; and third, reducing regeneration time required due to coke formation.</w:t>
      </w:r>
    </w:p>
    <w:p w14:paraId="498E3DED" w14:textId="77777777" w:rsidR="00E170BA" w:rsidRDefault="00E170BA" w:rsidP="00E170BA">
      <w:pPr>
        <w:pStyle w:val="Heading2"/>
      </w:pPr>
      <w:bookmarkStart w:id="47" w:name="_Toc156393745"/>
      <w:bookmarkStart w:id="48" w:name="_Toc165641061"/>
      <w:r>
        <w:t>2.3 Electro-catalysts for MDA</w:t>
      </w:r>
      <w:bookmarkEnd w:id="47"/>
      <w:bookmarkEnd w:id="48"/>
    </w:p>
    <w:p w14:paraId="70EA9984" w14:textId="2639A430" w:rsidR="00E170BA" w:rsidRDefault="00E170BA" w:rsidP="00E170BA">
      <w:r>
        <w:t xml:space="preserve">Industrial methane reforming and processing usually takes place in large reactors for processes like steam reforming, water gas shift reactions, and other processes. Packed and fluidized beds are often used to produce and isolate certain products like ethylene and syngas </w:t>
      </w:r>
      <w:r>
        <w:fldChar w:fldCharType="begin"/>
      </w:r>
      <w:r w:rsidR="00CA7A9D">
        <w:instrText xml:space="preserve"> ADDIN ZOTERO_ITEM CSL_CITATION {"citationID":"hdSnVnr1","properties":{"formattedCitation":"[13], [70], [71]","plainCitation":"[13], [70], [71]","noteIndex":0},"citationItems":[{"id":642,"uris":["http://zotero.org/users/12063231/items/9F66AEZP"],"itemData":{"id":642,"type":"report","event-place":"Golden, Colorado","genre":"Technical Report","language":"English","number":"NREL/TP-510-34929","page":"160","publisher":"National Renewable Energy Laboratory","publisher-place":"Golden, Colorado","title":"Technical and Economic Assessment of Synthesis Gas to Fuels and Chemicals with Emphasis on the Potential for Biomass-Derived Syngas","URL":"https://www.nrel.gov/docs/fy04osti/34929.pdf","author":[{"family":"Spath","given":"P.L."},{"family":"Dayton","given":"D.C."}],"issued":{"date-parts":[["2003",12]]}}},{"id":142,"uris":["http://zotero.org/users/12063231/items/W744YLXT"],"itemData":{"id":142,"type":"speech","abstract":"Currently, the steady increases in oil prices have heightened the interest in synthetic liquid fuel sources derived from natural gas. Furthermore, there are a lot of positive experiences with natural gas in the last few decades involving abundance and cleaner energy. Natural gas to liquid fuel via Fischer - Tropsch reac tors produces diesel and other useful hydrocarbons. This catalytic GTL (gas to liquid) process converts methane gas (C1) to longer liquid hydrocarbon chains between C5 and C22. These longer hydrocarbon chains can then be utilized as liquid fuels after be ing refined to diesel. This project has four main stages to achieve the estimated production of diesel at 500 MM lb/yr. These include the Auto - Thermal Reformer for creating syngas from methane, Fisher - Tropsch Reactor for converting syngas to long hydrocarb on chains, Hydrocracker to cut down hydrocarbon chains into desired lengths, and product upgrading/refining for further separation of diesel chains. The fixed capital costs of the simulated plant run upwards of $1.2 Billon with an IRR of 8% over a 20 year analysis. The key to success for this project is keeping overhead expenses low to obtain a substantial profit. Fischer - Tropsch technology, if made more economically viable, could be the future of abundant energy. Currently, the steady increases in oil prices have heightened the interest in synthetic liquid fuel sources derived from natural gas. Furthermore, there are a lot of positive experiences with natural gas in the last few decades involving abundance and cleaner energy. Natural gas to liquid fuel via Fischer-Tropsch reactors produces diesel and other useful hydrocarbons. This catalytic GTL (gas to liquid) process converts methane gas (C1) to longer liquid hydrocarbon chains between C5 and C22. These longer hydrocarbon chains can then be utilized as liquid fuels after being refined to diesel. This project has four main stages to achieve the estimated production of diesel at 500 MM lb/yr. These include the Auto-Thermal Reformer for creating syngas from methane, Fisher-Tropsch Reactor for converting syngas to long hydrocarbon chains, Hydrocracker to cut down hydrocarbon chains into desired lengths, and product upgrading/refining for further separation of diesel chains. The fixed capital costs of the simulated plant run upwards of $1.2 Billon with an IRR of 8% over a 20 year analysis. The key to success for this project is keeping overhead expenses low to obtain a substantial profit. Fischer-Tropsch technology, if made more economically viable, could be the future of abundant energy.","genre":"presentation","language":"en","note":"publisher: University of Wyoming\nDOI: 10.15786/13702882.v3","title":"Fischer-Tropsch Synthesis: Natural Gas to Diesel Fuel","title-short":"Fischer-Tropsch Synthesis","URL":"https://wyoscholar.uwyo.edu/articles/presentation/Fischer-Tropsch_Synthesis_Natural_Gas_to_Diesel_Fuel/13702882/3","author":[{"family":"Almarri","given":"Faraj"},{"family":"Carv","given":"Bennett"},{"family":"Stevenson","given":"Travis"},{"family":"Musabeh","given":"Ali Al"},{"family":"Alyousif","given":"Mohammed"}],"accessed":{"date-parts":[["2023",8,7]]},"issued":{"date-parts":[["2014",10,13]]}}},{"id":187,"uris":["http://zotero.org/users/12063231/items/GPTSEBC5"],"itemData":{"id":187,"type":"article-journal","abstract":"Protonic ceramic electrochemical cells (PCECs) have been intensively studied as the technology that can be employed for power generation, energy storage, and sustainable chemical synthesis. Recently, there have been substantial advances in electrolyte and electrode materials for improving the performance of protonic ceramic fuel cells and protonic ceramic electrolyzers. However, the electrocatalytic materials development for synthesizing chemicals in PCECs has gained less attention, and there is a lack of systematic and fundamental understanding of the PCEC reactor design, reaction mechanisms, and electrode materials. This review comprehensively summarizes and critically evaluates the most up-to-date progress in employing PCECs to synthesize a wide range of chemicals, including ammonia, carbon monoxide, methane, light olefins, and aromatics. Factors that impact the conversion, selectivity, product yield, and energy efficiencies are discussed to provide new insights into designing electrochemical cells, developing electrode materials, and achieving economically viable chemical synthesis. The primary challenges associated with producing chemicals in PCECs are highlighted. Approaches to tackle these challenges are then offered, with a particular focus on deliberately designing electrode materials, aiming to achieve practically valuable product yield and energy efficiency. Finally, perspectives on the future development of PCECs for synthesizing sustainable chemicals are provided.","container-title":"Advanced Science","DOI":"10.1002/advs.202206478","ISSN":"2198-3844","issue":"8","language":"en","license":"© 2023 The Authors. Advanced Science published by Wiley-VCH GmbH","note":"_eprint: https://onlinelibrary.wiley.com/doi/pdf/10.1002/advs.202206478","page":"2206478","source":"Wiley Online Library","title":"Protonic Ceramic Electrochemical Cells for Synthesizing Sustainable Chemicals and Fuels","volume":"10","author":[{"family":"Liu","given":"Fan"},{"family":"Ding","given":"Dong"},{"family":"Duan","given":"Chuancheng"}],"issued":{"date-parts":[["2023"]]}}}],"schema":"https://github.com/citation-style-language/schema/raw/master/csl-citation.json"} </w:instrText>
      </w:r>
      <w:r>
        <w:fldChar w:fldCharType="separate"/>
      </w:r>
      <w:r w:rsidR="00CA7A9D" w:rsidRPr="00CA7A9D">
        <w:rPr>
          <w:rFonts w:ascii="Aptos" w:hAnsi="Aptos"/>
        </w:rPr>
        <w:t>[13], [70], [71]</w:t>
      </w:r>
      <w:r>
        <w:fldChar w:fldCharType="end"/>
      </w:r>
      <w:r>
        <w:t>. A promising alternative for methane reforming yet to be industrialized is the use of electrochemical cells. Specifically, PCERs have great potential to be both more economically and more environmentally friendly than current industrial practices.</w:t>
      </w:r>
    </w:p>
    <w:p w14:paraId="731056C9" w14:textId="77777777" w:rsidR="00E170BA" w:rsidRDefault="00E170BA" w:rsidP="00E170BA">
      <w:pPr>
        <w:pStyle w:val="Heading3"/>
      </w:pPr>
      <w:bookmarkStart w:id="49" w:name="_Toc156393746"/>
      <w:bookmarkStart w:id="50" w:name="_Toc165641062"/>
      <w:r>
        <w:t>2.3.1 Electrocatalyst Reaction Mechanism</w:t>
      </w:r>
      <w:bookmarkEnd w:id="49"/>
      <w:bookmarkEnd w:id="50"/>
    </w:p>
    <w:p w14:paraId="54DE4458" w14:textId="3A6D8F3D" w:rsidR="00E170BA" w:rsidRDefault="00E170BA" w:rsidP="00E170BA">
      <w:r>
        <w:t>PCEC systems are designed to conduct ions like protons (and sometimes O</w:t>
      </w:r>
      <w:r>
        <w:softHyphen/>
      </w:r>
      <w:r w:rsidR="00C32E21">
        <w:rPr>
          <w:vertAlign w:val="superscript"/>
        </w:rPr>
        <w:t>2-</w:t>
      </w:r>
      <w:r w:rsidR="00F361B4">
        <w:t>) and</w:t>
      </w:r>
      <w:r>
        <w:t xml:space="preserve"> </w:t>
      </w:r>
      <w:r w:rsidR="00DE1CFB">
        <w:t>should not</w:t>
      </w:r>
      <w:r>
        <w:t xml:space="preserve"> necessarily play a role in the MDA reaction mechanism itself. The advantage instead lies with a hybrid process that continually removes hydrogen that helps alleviate the equilibrium limitation faced by standard fixed and fluidized-bed reactors. Hydrogen removal, or conduction in PCECs, can greatly increase aromatic selectivity as discussed earlier </w:t>
      </w:r>
      <w:r>
        <w:fldChar w:fldCharType="begin"/>
      </w:r>
      <w:r w:rsidR="00CA7A9D">
        <w:instrText xml:space="preserve"> ADDIN ZOTERO_ITEM CSL_CITATION {"citationID":"GkJPBkoj","properties":{"formattedCitation":"[57], [58], [61], [66]","plainCitation":"[57], [58], [61], [66]","noteIndex":0},"citationItems":[{"id":147,"uris":["http://zotero.org/users/12063231/items/ZZVBUZBY"],"itemData":{"id":147,"type":"article-journal","abstract":"Natural gas is widely abundant and relatively inexpensive. As such, large quantities are flared every year. This presents an opportunity to use natural gas as a chemical feedstock. Non-oxidative dehydroaromatization of methane, the major component of natural gas is proposed as an option to monetize natural gas. This study evaluates the economics of the methane to benzene process. A catalytic membrane reactor model written in MATLAB has been directly implemented in an Aspen Plus V9 process model using CAPE-OPEN interoperability. Minimum utility requirements and heat exchanger designs were identified in Aspen Energy Analyzer, and process economics for a variety of feed and product prices were assessed using Aspen Process Economic Analyzer. The results indicate that the venture is profitable (profitability index of 1.17, IRR of 35.5%, NRR of 18.2%). The capital cost was found to be $35,500 per daily standard barrel of benzene. Additionally, the process remains economically attractive so long as either the price of benzene remains above $470/ton, or the price of hydrogen remains above $0.8/kg.","container-title":"Fuel Processing Technology","DOI":"10.1016/j.fuproc.2018.05.038","ISSN":"0378-3820","journalAbbreviation":"Fuel Processing Technology","language":"en","page":"55-61","source":"ScienceDirect","title":"Techno-economic evaluation of a process for direct conversion of methane to aromatics","volume":"183","author":[{"family":"Corredor","given":"E. Camilo"},{"family":"Chitta","given":"Pallavi"},{"family":"Deo","given":"Milind D."}],"issued":{"date-parts":[["2019",1,1]]}}},{"id":681,"uris":["http://zotero.org/users/12063231/items/7RRWDKWU"],"itemData":{"id":681,"type":"article-journal","abstract":"In the direct nonoxidative conversion of methane gas to liquid chemicals, it has been shown that continuous removal of produced hydrogen is a way to overcome the thermodynamic limit of low equilibrium methane conversion. A plug-flow, isothermal membrane reactor model was developed for the conversion of methane gas to aromatics over Mo/H-ZSM5 and integrated in an Aspen Plus process model using COCO (CAPE-OPEN to CAPE-OPEN) Simulator. Parameters such as reaction rate constants and equilibrium coefficients required by the model were obtained using experimental data. The reactor employs a simplified reaction network whose product distributions agree well with other models and published results. Damkohler number of 0.5 and a dimensionless hydrogen removal parameter δ of 10 were found to be the optimum parameters for benzene selectivity. The reactor model being embedded in the process allows for more detailed exploration of the impact of reactor parameters on the process as a whole. Methane conversion remains at 10.9% and 20% for each case with or without recycle. Benzene molar flow increases by 72% for the single pass configuration when Da=0.5 and δ=10 are used; however, naphthalene molar flow increases by 215%.","container-title":"Fuel","DOI":"10.1016/j.fuel.2016.03.073","ISSN":"0016-2361","journalAbbreviation":"Fuel","page":"202-209","source":"ScienceDirect","title":"Membrane reactor system model for gas conversion to benzene","volume":"179","author":[{"family":"Corredor","given":"E. Camilo"},{"family":"Chitta","given":"Pallavi"},{"family":"Deo","given":"Milind"}],"issued":{"date-parts":[["2016",9,1]]}}},{"id":679,"uris":["http://zotero.org/users/12063231/items/WKKF65LF"],"itemData":{"id":679,"type":"article-journal","abstract":"An alternative to flaring of surplus natural gas is methane dehydroaromatization (MDA) to benzene (C6H6) over a bifunctional molybdenum/zeolite catalyst. Byproducts include H2, C2H4, and naphthalene (C10H8). While an MDA detailed elementary reaction mechanism is now available, a simpler global kinetic model is more useful for engineering and screening calculations. A literature three-step reaction model exists but with rate constants only at 950</w:instrText>
      </w:r>
      <w:r w:rsidR="00CA7A9D">
        <w:rPr>
          <w:rFonts w:ascii="Arial" w:hAnsi="Arial" w:cs="Arial"/>
        </w:rPr>
        <w:instrText> </w:instrText>
      </w:r>
      <w:r w:rsidR="00CA7A9D">
        <w:instrText>K. In the current work, Arrhenius parameters for the three global reactions have been determined over 948</w:instrText>
      </w:r>
      <w:r w:rsidR="00CA7A9D">
        <w:rPr>
          <w:rFonts w:ascii="Aptos" w:hAnsi="Aptos" w:cs="Aptos"/>
        </w:rPr>
        <w:instrText>–</w:instrText>
      </w:r>
      <w:r w:rsidR="00CA7A9D">
        <w:instrText>1023</w:instrText>
      </w:r>
      <w:r w:rsidR="00CA7A9D">
        <w:rPr>
          <w:rFonts w:ascii="Arial" w:hAnsi="Arial" w:cs="Arial"/>
        </w:rPr>
        <w:instrText> </w:instrText>
      </w:r>
      <w:r w:rsidR="00CA7A9D">
        <w:instrText>K based on a regression of major gas species concentration data generated from Chemkin</w:instrText>
      </w:r>
      <w:r w:rsidR="00CA7A9D">
        <w:rPr>
          <w:rFonts w:ascii="Aptos" w:hAnsi="Aptos" w:cs="Aptos"/>
        </w:rPr>
        <w:instrText>®</w:instrText>
      </w:r>
      <w:r w:rsidR="00CA7A9D">
        <w:instrText xml:space="preserve"> simulations of a packed bed reactor running the detailed MDA mechanism. In addition, the three-step model is used to illustrate the need to remove H2, perhaps through a membranous reactor wall, in order to overcome strong equilibrium CH4 conversion limitations. Such H2 removal, though, improves C10H8 selectivity at the expense of C6H6.","container-title":"Chemical Engineering Science","DOI":"10.1016/j.ces.2017.11.001","ISSN":"0009-2509","journalAbbreviation":"Chemical Engineering Science","page":"132-138","source":"ScienceDirect","title":"Extension to multiple temperatures of a three-reaction global kinetic model for methane dehydroaromatization","volume":"177","author":[{"family":"Zhu","given":"Y."},{"family":"Al-ebbinni","given":"N."},{"family":"Henney","given":"R."},{"family":"Yi","given":"C."},{"family":"Barat","given":"R."}],"issued":{"date-parts":[["2018",2,23]]}}},{"id":684,"uris":["http://zotero.org/users/12063231/items/9TUZT8V2"],"itemData":{"id":684,"type":"article-journal","abstract":"The Mo/HZSM-5 catalyzed, non-oxidative methane dehydroaromatization reaction provides a promising direct approach for production of benzene as well as naphthalene from CH4 resources and therefore its early industrial application is highly desired. A simplified methane dehydroaromatization process that consists of only one reactor unit and two product separation units is presented, and the factors that could significantly affect the process efficiency are quantitatively analyzed. While efficiently separating and recycling up to 70vol% unreacted CH4 from the stream out of condensable aromatics separation unit might become the main problem in maximizing the process efficiency, increasing the operating temperature as high as possible of the CH4 converter in the reactor unit and raising the system operation pressure to a level somewhat higher than one atmosphere should help maximize the process performance. At process-required high reaction temperatures, however, Mo/HZSM-5 catalyst suffers from vary rapid deactivation due to serious coke formation. Therefore, it becomes necessary to employ a reactor system that enables continuous and simultaneous regeneration of deactivated catalyst so as to maintain the catalytic activity and stability of catalyst over a sufficiently long operation period. Nineteen years of sustained R&amp;D efforts of the author’s team have led to a few applicable technologies related to preparation of a fluidizable binder-free Mo/HZSM-5 catalyst for use in fluidized bed reactors, regeneration of deactivated Mo/HZSM-5 catalyst using H2, and design and operation of a dual-bed circulating fluidized bed reactor system for continuous processing of the Mo/HZSM-5 catalyzed methane dehydroaromatization reaction. Operated at 1073</w:instrText>
      </w:r>
      <w:r w:rsidR="00CA7A9D">
        <w:rPr>
          <w:rFonts w:ascii="Arial" w:hAnsi="Arial" w:cs="Arial"/>
        </w:rPr>
        <w:instrText> </w:instrText>
      </w:r>
      <w:r w:rsidR="00CA7A9D">
        <w:instrText>K and under a continuous regeneration mode, an in-house developed binder-free 6%Mo/HZSM-5 catalyst has proven to be capable of providing a stable benzene yield of approximately 13% over a cumulative period of 1800</w:instrText>
      </w:r>
      <w:r w:rsidR="00CA7A9D">
        <w:rPr>
          <w:rFonts w:ascii="Arial" w:hAnsi="Arial" w:cs="Arial"/>
        </w:rPr>
        <w:instrText> </w:instrText>
      </w:r>
      <w:r w:rsidR="00CA7A9D">
        <w:instrText xml:space="preserve">min. Nevertheless, minimizing the catalyst deactivation by coking and developing a highly effective coke-removal and catalyst regeneration approach have still remained two important issues to be addressed in realization of early application of the Mo/HZSM-5 catalyzed methane dehydroaromatization reaction. While the key to a practical solution to these challenging issues lies in designing an advanced Mo/HZSM-5 catalyst with improved coking resistance and H2-regeneration activity, effective approaches to the design of such a catalyst are presented and discussed based on four possible coke formation routes. In the end, developing a pressurized pilot-scale dual-bed type of circulating fluidized bed reactor system that is capable of providing a yearly production of benzene of approximately 35 tons and naphthalene of 5 tons is visualized to make demonstration of the industrial applicability of the Mo/HZSM-5 catalyzed methane dehydroaromatization reaction.","container-title":"Carbon Resources Conversion","DOI":"10.1016/j.crcon.2019.07.001","ISSN":"2588-9133","issue":"3","journalAbbreviation":"Carbon Resources Conversion","page":"157-174","source":"ScienceDirect","title":"Process, reactor and catalyst design: Towards application of direct conversion of methane to aromatics under nonoxidative conditions","title-short":"Process, reactor and catalyst design","volume":"2","author":[{"family":"Zhang","given":"Zhan-Guo"}],"issued":{"date-parts":[["2019",12,1]]}}}],"schema":"https://github.com/citation-style-language/schema/raw/master/csl-citation.json"} </w:instrText>
      </w:r>
      <w:r>
        <w:fldChar w:fldCharType="separate"/>
      </w:r>
      <w:r w:rsidR="00CA7A9D" w:rsidRPr="00CA7A9D">
        <w:rPr>
          <w:rFonts w:ascii="Aptos" w:hAnsi="Aptos"/>
        </w:rPr>
        <w:t>[57], [58], [61], [66]</w:t>
      </w:r>
      <w:r>
        <w:fldChar w:fldCharType="end"/>
      </w:r>
      <w:r>
        <w:t xml:space="preserve">. </w:t>
      </w:r>
    </w:p>
    <w:p w14:paraId="6DF0D063" w14:textId="5CC27598" w:rsidR="00E170BA" w:rsidRDefault="00E170BA" w:rsidP="00E170BA">
      <w:r>
        <w:t xml:space="preserve">Additionally, the electrolyte membrane in PCECs exhibit minor oxygen-ion conductivity since PCEC electrolytes are not truly pure hydrogen conductors </w:t>
      </w:r>
      <w:r>
        <w:fldChar w:fldCharType="begin"/>
      </w:r>
      <w:r w:rsidR="00CA7A9D">
        <w:instrText xml:space="preserve"> ADDIN ZOTERO_ITEM CSL_CITATION {"citationID":"sqZ31bv5","properties":{"formattedCitation":"[72]","plainCitation":"[72]","noteIndex":0},"citationItems":[{"id":198,"uris":["http://zotero.org/users/12063231/items/LUUF8MRS"],"itemData":{"id":198,"type":"article-journal","abstract":"Reversible fuel cells based on both proton exchange membrane fuel cell and solid oxide fuel cell technologies have been proposed to address energy storage and conversion challenges and to provide versatile pathways for renewable fuels production. Both technologies suffer challenges associated with cost, durability, low round-trip efficiency and the need to separate H2O from the product fuel. Here, we present a reversible protonic ceramic electrochemical cell based on an yttrium and ytterbium co-doped barium cerate–zirconate electrolyte and a triple-conducting oxide air/steam (reversible) electrode that addresses many of these issues. Our reversible protonic ceramic electrochemical cell achieves a high Faradaic efficiency (90–98%) and can operate endothermically with a &gt;97% overall electric-to-hydrogen energy conversion efficiency (based on the lower heating value of H2) at a current density of −1,000</w:instrText>
      </w:r>
      <w:r w:rsidR="00CA7A9D">
        <w:rPr>
          <w:rFonts w:ascii="Arial" w:hAnsi="Arial" w:cs="Arial"/>
        </w:rPr>
        <w:instrText> </w:instrText>
      </w:r>
      <w:r w:rsidR="00CA7A9D">
        <w:instrText>mA</w:instrText>
      </w:r>
      <w:r w:rsidR="00CA7A9D">
        <w:rPr>
          <w:rFonts w:ascii="Arial" w:hAnsi="Arial" w:cs="Arial"/>
        </w:rPr>
        <w:instrText> </w:instrText>
      </w:r>
      <w:r w:rsidR="00CA7A9D">
        <w:instrText>cm</w:instrText>
      </w:r>
      <w:r w:rsidR="00CA7A9D">
        <w:rPr>
          <w:rFonts w:ascii="Aptos" w:hAnsi="Aptos" w:cs="Aptos"/>
        </w:rPr>
        <w:instrText>−</w:instrText>
      </w:r>
      <w:r w:rsidR="00CA7A9D">
        <w:instrText>2. Even higher efficiencies are obtained for H2O electrolysis with co-fed CO2 to produce CO and CH4. We demonstrate a repeatable round-trip (electricity-to-hydrogen-to-electricity) efficiency of &gt;75% and stable operation, with a degradation rate of &lt;30</w:instrText>
      </w:r>
      <w:r w:rsidR="00CA7A9D">
        <w:rPr>
          <w:rFonts w:ascii="Arial" w:hAnsi="Arial" w:cs="Arial"/>
        </w:rPr>
        <w:instrText> </w:instrText>
      </w:r>
      <w:r w:rsidR="00CA7A9D">
        <w:instrText>mV over 1,000</w:instrText>
      </w:r>
      <w:r w:rsidR="00CA7A9D">
        <w:rPr>
          <w:rFonts w:ascii="Arial" w:hAnsi="Arial" w:cs="Arial"/>
        </w:rPr>
        <w:instrText> </w:instrText>
      </w:r>
      <w:r w:rsidR="00CA7A9D">
        <w:instrText xml:space="preserve">h.","container-title":"Nature Energy","DOI":"10.1038/s41560-019-0333-2","ISSN":"2058-7546","issue":"3","journalAbbreviation":"Nat Energy","language":"en","license":"2019 The Author(s), under exclusive licence to Springer Nature Limited","note":"number: 3\npublisher: Nature Publishing Group","page":"230-240","source":"www.nature.com","title":"Highly efficient reversible protonic ceramic electrochemical cells for power generation and fuel production","volume":"4","author":[{"family":"Duan","given":"Chuancheng"},{"family":"Kee","given":"Robert"},{"family":"Zhu","given":"Huayang"},{"family":"Sullivan","given":"Neal"},{"family":"Zhu","given":"Liangzhu"},{"family":"Bian","given":"Liuzhen"},{"family":"Jennings","given":"Dylan"},{"family":"O’Hayre","given":"Ryan"}],"issued":{"date-parts":[["2019",3]]}}}],"schema":"https://github.com/citation-style-language/schema/raw/master/csl-citation.json"} </w:instrText>
      </w:r>
      <w:r>
        <w:fldChar w:fldCharType="separate"/>
      </w:r>
      <w:r w:rsidR="00CA7A9D" w:rsidRPr="00CA7A9D">
        <w:rPr>
          <w:rFonts w:ascii="Aptos" w:hAnsi="Aptos"/>
        </w:rPr>
        <w:t>[72]</w:t>
      </w:r>
      <w:r>
        <w:fldChar w:fldCharType="end"/>
      </w:r>
      <w:r>
        <w:t xml:space="preserve">. Liu et al. and </w:t>
      </w:r>
      <w:proofErr w:type="spellStart"/>
      <w:r>
        <w:t>Morejudo</w:t>
      </w:r>
      <w:proofErr w:type="spellEnd"/>
      <w:r>
        <w:t xml:space="preserve"> et al. both note that this attribute enables the concurrent limited-injection of oxygen to the methane aromatization electrode, which helps burn off coke by selectively reacting with hydrogen and hydrocarbons to produce water and carbon dioxide, which mitigates deactivation due to coking, as shown in </w:t>
      </w:r>
      <w:r>
        <w:fldChar w:fldCharType="begin"/>
      </w:r>
      <w:r>
        <w:instrText xml:space="preserve"> REF _Ref163430462 \h </w:instrText>
      </w:r>
      <w:r>
        <w:fldChar w:fldCharType="separate"/>
      </w:r>
      <w:r>
        <w:t>Figure 2.</w:t>
      </w:r>
      <w:r>
        <w:rPr>
          <w:noProof/>
        </w:rPr>
        <w:t>5</w:t>
      </w:r>
      <w:r>
        <w:fldChar w:fldCharType="end"/>
      </w:r>
      <w:r>
        <w:t xml:space="preserve"> </w:t>
      </w:r>
      <w:r>
        <w:fldChar w:fldCharType="begin"/>
      </w:r>
      <w:r w:rsidR="00CA7A9D">
        <w:instrText xml:space="preserve"> ADDIN ZOTERO_ITEM CSL_CITATION {"citationID":"a27kvc47jql","properties":{"formattedCitation":"[13], [73]","plainCitation":"[13], [73]","noteIndex":0},"citationItems":[{"id":187,"uris":["http://zotero.org/users/12063231/items/GPTSEBC5"],"itemData":{"id":187,"type":"article-journal","abstract":"Protonic ceramic electrochemical cells (PCECs) have been intensively studied as the technology that can be employed for power generation, energy storage, and sustainable chemical synthesis. Recently, there have been substantial advances in electrolyte and electrode materials for improving the performance of protonic ceramic fuel cells and protonic ceramic electrolyzers. However, the electrocatalytic materials development for synthesizing chemicals in PCECs has gained less attention, and there is a lack of systematic and fundamental understanding of the PCEC reactor design, reaction mechanisms, and electrode materials. This review comprehensively summarizes and critically evaluates the most up-to-date progress in employing PCECs to synthesize a wide range of chemicals, including ammonia, carbon monoxide, methane, light olefins, and aromatics. Factors that impact the conversion, selectivity, product yield, and energy efficiencies are discussed to provide new insights into designing electrochemical cells, developing electrode materials, and achieving economically viable chemical synthesis. The primary challenges associated with producing chemicals in PCECs are highlighted. Approaches to tackle these challenges are then offered, with a particular focus on deliberately designing electrode materials, aiming to achieve practically valuable product yield and energy efficiency. Finally, perspectives on the future development of PCECs for synthesizing sustainable chemicals are provided.","container-title":"Advanced Science","DOI":"10.1002/advs.202206478","ISSN":"2198-3844","issue":"8","language":"en","license":"© 2023 The Authors. Advanced Science published by Wiley-VCH GmbH","note":"_eprint: https://onlinelibrary.wiley.com/doi/pdf/10.1002/advs.202206478","page":"2206478","source":"Wiley Online Library","title":"Protonic Ceramic Electrochemical Cells for Synthesizing Sustainable Chemicals and Fuels","volume":"10","author":[{"family":"Liu","given":"Fan"},{"family":"Ding","given":"Dong"},{"family":"Duan","given":"Chuancheng"}],"issued":{"date-parts":[["2023"]]}}},{"id":128,"uris":["http://zotero.org/users/12063231/items/98RFJZQA"],"itemData":{"id":128,"type":"article-journal","abstract":"Nonoxidative methane dehydroaromatization (MDA: 6CH4 ↔ C6H6 + 9H2) using shape-selective Mo/zeolite catalysts is a key technology for exploitation of stranded natural gas reserves by direct conversion into transportable liquids. However, this reaction faces two major issues: The one-pass conversion …","container-title":"Science (New York, N.Y.)","DOI":"10.1126/science.aag0274","ISSN":"1095-9203","issue":"6299","language":"en","note":"publisher: Science\nPMID: 27493179","source":"pubmed.ncbi.nlm.nih.gov","title":"Direct conversion of methane to aromatics in a catalytic co-ionic membrane reactor","URL":"https://pubmed.ncbi.nlm.nih.gov/27493179/","volume":"353","author":[{"family":"Morejudo","given":"S. H."},{"family":"Zanón","given":"R"},{"family":"Escolástico","given":"S"},{"family":"Yuste-Tirados","given":"I"},{"family":"Malerød-Fjeld","given":"H"},{"family":"Vestre","given":"P.K."},{"family":"Coors","given":"W.G."},{"family":"Martínez","given":"A"},{"family":"Norby","given":"Truls"},{"family":"Serra","given":"J.M."},{"family":"Kjølseth","given":"C"}],"accessed":{"date-parts":[["2023",8,12]]},"issued":{"date-parts":[["2016",8,5]]}}}],"schema":"https://github.com/citation-style-language/schema/raw/master/csl-citation.json"} </w:instrText>
      </w:r>
      <w:r>
        <w:fldChar w:fldCharType="separate"/>
      </w:r>
      <w:r w:rsidR="00CA7A9D" w:rsidRPr="00CA7A9D">
        <w:rPr>
          <w:rFonts w:ascii="Aptos" w:hAnsi="Aptos"/>
        </w:rPr>
        <w:t>[13], [73]</w:t>
      </w:r>
      <w:r>
        <w:fldChar w:fldCharType="end"/>
      </w:r>
      <w:r>
        <w:t>.</w:t>
      </w:r>
    </w:p>
    <w:p w14:paraId="4A775FCC" w14:textId="77777777" w:rsidR="00E170BA" w:rsidRDefault="00E170BA" w:rsidP="00E170BA">
      <w:r>
        <w:t xml:space="preserve">Studies and tests to this point for MDA application in PCECs have generally required a standard MDA catalyst like Mo/ZSM-5 to be partially coated or otherwise integrated into the methane-fuel side of the PEN assembly. In this way, the methane can undergo the catalyst-enhanced dehydroaromatization, and then the resulting hydrogen is conducted away by the electrochemical process. This combination also helps the thermodynamics of MDA since the hydrogen must dissociate prior to conducting across the electrolyte, which is an exothermic process that helps provide heat for the endothermic MDA. </w:t>
      </w:r>
    </w:p>
    <w:p w14:paraId="60A2FC6F" w14:textId="77777777" w:rsidR="00E170BA" w:rsidRDefault="00E170BA" w:rsidP="00E170BA">
      <w:pPr>
        <w:keepNext/>
        <w:ind w:firstLine="0"/>
        <w:jc w:val="center"/>
      </w:pPr>
      <w:r>
        <w:rPr>
          <w:noProof/>
        </w:rPr>
        <w:drawing>
          <wp:inline distT="0" distB="0" distL="0" distR="0" wp14:anchorId="15E060A7" wp14:editId="5BE8A0E3">
            <wp:extent cx="4067218" cy="2873178"/>
            <wp:effectExtent l="0" t="0" r="0" b="0"/>
            <wp:docPr id="480839226" name="Picture 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839226" name="Picture 1" descr="A screenshot of a video game&#10;&#10;Description automatically generated"/>
                    <pic:cNvPicPr/>
                  </pic:nvPicPr>
                  <pic:blipFill rotWithShape="1">
                    <a:blip r:embed="rId17" cstate="print">
                      <a:extLst>
                        <a:ext uri="{28A0092B-C50C-407E-A947-70E740481C1C}">
                          <a14:useLocalDpi xmlns:a14="http://schemas.microsoft.com/office/drawing/2010/main" val="0"/>
                        </a:ext>
                      </a:extLst>
                    </a:blip>
                    <a:srcRect l="9418" t="25939" b="28823"/>
                    <a:stretch/>
                  </pic:blipFill>
                  <pic:spPr bwMode="auto">
                    <a:xfrm>
                      <a:off x="0" y="0"/>
                      <a:ext cx="4071631" cy="2876295"/>
                    </a:xfrm>
                    <a:prstGeom prst="rect">
                      <a:avLst/>
                    </a:prstGeom>
                    <a:ln>
                      <a:noFill/>
                    </a:ln>
                    <a:extLst>
                      <a:ext uri="{53640926-AAD7-44D8-BBD7-CCE9431645EC}">
                        <a14:shadowObscured xmlns:a14="http://schemas.microsoft.com/office/drawing/2010/main"/>
                      </a:ext>
                    </a:extLst>
                  </pic:spPr>
                </pic:pic>
              </a:graphicData>
            </a:graphic>
          </wp:inline>
        </w:drawing>
      </w:r>
    </w:p>
    <w:p w14:paraId="67BB1AAB" w14:textId="77777777" w:rsidR="00E170BA" w:rsidRDefault="00E170BA" w:rsidP="00E170BA">
      <w:pPr>
        <w:pStyle w:val="Caption"/>
      </w:pPr>
      <w:bookmarkStart w:id="51" w:name="_Ref163430462"/>
      <w:bookmarkStart w:id="52" w:name="_Toc165641133"/>
      <w:r>
        <w:t>Figure 2.</w:t>
      </w:r>
      <w:r>
        <w:fldChar w:fldCharType="begin"/>
      </w:r>
      <w:r>
        <w:instrText xml:space="preserve"> SEQ Figure \* ARABIC </w:instrText>
      </w:r>
      <w:r>
        <w:fldChar w:fldCharType="separate"/>
      </w:r>
      <w:r>
        <w:rPr>
          <w:noProof/>
        </w:rPr>
        <w:t>5</w:t>
      </w:r>
      <w:r>
        <w:fldChar w:fldCharType="end"/>
      </w:r>
      <w:bookmarkEnd w:id="51"/>
      <w:r>
        <w:t>: MDA reaction mechanism in a protonic ceramic electrochemical cell, using a co-ionic membrane.</w:t>
      </w:r>
      <w:bookmarkEnd w:id="52"/>
    </w:p>
    <w:p w14:paraId="0FFB04FD" w14:textId="77777777" w:rsidR="00E170BA" w:rsidRDefault="00E170BA" w:rsidP="00E170BA">
      <w:pPr>
        <w:pStyle w:val="Heading3"/>
      </w:pPr>
      <w:bookmarkStart w:id="53" w:name="_Toc165641063"/>
      <w:r>
        <w:t>2.3.2 PCERs with MDA</w:t>
      </w:r>
      <w:bookmarkEnd w:id="53"/>
    </w:p>
    <w:p w14:paraId="2BFB22D9" w14:textId="778D6EE7" w:rsidR="00E170BA" w:rsidRDefault="00E170BA" w:rsidP="00E170BA">
      <w:r>
        <w:t xml:space="preserve">Not many experiments have been performed yet to fully understand how much benefit there is to be gained from utilizing PCEC for MDA. However, </w:t>
      </w:r>
      <w:proofErr w:type="spellStart"/>
      <w:r>
        <w:t>Morejudo</w:t>
      </w:r>
      <w:proofErr w:type="spellEnd"/>
      <w:r>
        <w:t xml:space="preserve"> et al. performed one of the first trial studies, implementing MDA catalysts such as Mo/ZSM-5 and Mo/MCM-22 into a cell membrane reactor that acts just like a PCEC </w:t>
      </w:r>
      <w:r>
        <w:fldChar w:fldCharType="begin"/>
      </w:r>
      <w:r w:rsidR="00CA7A9D">
        <w:instrText xml:space="preserve"> ADDIN ZOTERO_ITEM CSL_CITATION {"citationID":"f5BEGAGJ","properties":{"formattedCitation":"[73]","plainCitation":"[73]","noteIndex":0},"citationItems":[{"id":128,"uris":["http://zotero.org/users/12063231/items/98RFJZQA"],"itemData":{"id":128,"type":"article-journal","abstract":"Nonoxidative methane dehydroaromatization (MDA: 6CH4 ↔ C6H6 + 9H2) using shape-selective Mo/zeolite catalysts is a key technology for exploitation of stranded natural gas reserves by direct conversion into transportable liquids. However, this reaction faces two major issues: The one-pass conversion …","container-title":"Science (New York, N.Y.)","DOI":"10.1126/science.aag0274","ISSN":"1095-9203","issue":"6299","language":"en","note":"publisher: Science\nPMID: 27493179","source":"pubmed.ncbi.nlm.nih.gov","title":"Direct conversion of methane to aromatics in a catalytic co-ionic membrane reactor","URL":"https://pubmed.ncbi.nlm.nih.gov/27493179/","volume":"353","author":[{"family":"Morejudo","given":"S. H."},{"family":"Zanón","given":"R"},{"family":"Escolástico","given":"S"},{"family":"Yuste-Tirados","given":"I"},{"family":"Malerød-Fjeld","given":"H"},{"family":"Vestre","given":"P.K."},{"family":"Coors","given":"W.G."},{"family":"Martínez","given":"A"},{"family":"Norby","given":"Truls"},{"family":"Serra","given":"J.M."},{"family":"Kjølseth","given":"C"}],"accessed":{"date-parts":[["2023",8,12]]},"issued":{"date-parts":[["2016",8,5]]}}}],"schema":"https://github.com/citation-style-language/schema/raw/master/csl-citation.json"} </w:instrText>
      </w:r>
      <w:r>
        <w:fldChar w:fldCharType="separate"/>
      </w:r>
      <w:r w:rsidR="00CA7A9D" w:rsidRPr="00CA7A9D">
        <w:rPr>
          <w:rFonts w:ascii="Aptos" w:hAnsi="Aptos"/>
        </w:rPr>
        <w:t>[73]</w:t>
      </w:r>
      <w:r>
        <w:fldChar w:fldCharType="end"/>
      </w:r>
      <w:r>
        <w:t>.</w:t>
      </w:r>
    </w:p>
    <w:p w14:paraId="5C749681" w14:textId="77777777" w:rsidR="00E170BA" w:rsidRDefault="00E170BA" w:rsidP="00E170BA">
      <w:pPr>
        <w:keepNext/>
        <w:jc w:val="center"/>
      </w:pPr>
      <w:r>
        <w:rPr>
          <w:noProof/>
        </w:rPr>
        <w:drawing>
          <wp:inline distT="0" distB="0" distL="0" distR="0" wp14:anchorId="0671037A" wp14:editId="389F1F16">
            <wp:extent cx="4195597" cy="2792303"/>
            <wp:effectExtent l="0" t="0" r="0" b="8255"/>
            <wp:docPr id="952250164" name="Chart 1">
              <a:extLst xmlns:a="http://schemas.openxmlformats.org/drawingml/2006/main">
                <a:ext uri="{FF2B5EF4-FFF2-40B4-BE49-F238E27FC236}">
                  <a16:creationId xmlns:a16="http://schemas.microsoft.com/office/drawing/2014/main" id="{9F72F5A5-4423-A54F-E874-1D89D80FE8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FBEAB20" w14:textId="2BA615B0" w:rsidR="00E170BA" w:rsidRDefault="00E170BA" w:rsidP="00E170BA">
      <w:pPr>
        <w:pStyle w:val="Caption"/>
      </w:pPr>
      <w:bookmarkStart w:id="54" w:name="_Ref163429763"/>
      <w:bookmarkStart w:id="55" w:name="_Toc165641134"/>
      <w:r>
        <w:t>Figure 2.</w:t>
      </w:r>
      <w:r>
        <w:fldChar w:fldCharType="begin"/>
      </w:r>
      <w:r>
        <w:instrText xml:space="preserve"> SEQ Figure \* ARABIC </w:instrText>
      </w:r>
      <w:r>
        <w:fldChar w:fldCharType="separate"/>
      </w:r>
      <w:r>
        <w:rPr>
          <w:noProof/>
        </w:rPr>
        <w:t>6</w:t>
      </w:r>
      <w:r>
        <w:fldChar w:fldCharType="end"/>
      </w:r>
      <w:bookmarkEnd w:id="54"/>
      <w:r>
        <w:t xml:space="preserve">: Comparing a protonic cell membrane reactor (PCEC) with the standard practice of a fixed bed reactor (FBR) for aromatics yield and catalyst durability </w:t>
      </w:r>
      <w:r>
        <w:fldChar w:fldCharType="begin"/>
      </w:r>
      <w:r w:rsidR="00CA7A9D">
        <w:instrText xml:space="preserve"> ADDIN ZOTERO_ITEM CSL_CITATION {"citationID":"a1roakj9anh","properties":{"formattedCitation":"[73]","plainCitation":"[73]","noteIndex":0},"citationItems":[{"id":128,"uris":["http://zotero.org/users/12063231/items/98RFJZQA"],"itemData":{"id":128,"type":"article-journal","abstract":"Nonoxidative methane dehydroaromatization (MDA: 6CH4 ↔ C6H6 + 9H2) using shape-selective Mo/zeolite catalysts is a key technology for exploitation of stranded natural gas reserves by direct conversion into transportable liquids. However, this reaction faces two major issues: The one-pass conversion …","container-title":"Science (New York, N.Y.)","DOI":"10.1126/science.aag0274","ISSN":"1095-9203","issue":"6299","language":"en","note":"publisher: Science\nPMID: 27493179","source":"pubmed.ncbi.nlm.nih.gov","title":"Direct conversion of methane to aromatics in a catalytic co-ionic membrane reactor","URL":"https://pubmed.ncbi.nlm.nih.gov/27493179/","volume":"353","author":[{"family":"Morejudo","given":"S. H."},{"family":"Zanón","given":"R"},{"family":"Escolástico","given":"S"},{"family":"Yuste-Tirados","given":"I"},{"family":"Malerød-Fjeld","given":"H"},{"family":"Vestre","given":"P.K."},{"family":"Coors","given":"W.G."},{"family":"Martínez","given":"A"},{"family":"Norby","given":"Truls"},{"family":"Serra","given":"J.M."},{"family":"Kjølseth","given":"C"}],"accessed":{"date-parts":[["2023",8,12]]},"issued":{"date-parts":[["2016",8,5]]}}}],"schema":"https://github.com/citation-style-language/schema/raw/master/csl-citation.json"} </w:instrText>
      </w:r>
      <w:r>
        <w:fldChar w:fldCharType="separate"/>
      </w:r>
      <w:r w:rsidR="00CA7A9D" w:rsidRPr="00CA7A9D">
        <w:rPr>
          <w:rFonts w:ascii="Aptos" w:hAnsi="Aptos"/>
        </w:rPr>
        <w:t>[73]</w:t>
      </w:r>
      <w:bookmarkEnd w:id="55"/>
      <w:r>
        <w:fldChar w:fldCharType="end"/>
      </w:r>
    </w:p>
    <w:p w14:paraId="50B7E9C7" w14:textId="298E7C9B" w:rsidR="00E170BA" w:rsidRDefault="00E170BA" w:rsidP="00E170BA">
      <w:pPr>
        <w:rPr>
          <w:rFonts w:eastAsiaTheme="minorEastAsia"/>
        </w:rPr>
      </w:pPr>
      <w:r>
        <w:t xml:space="preserve">The results in </w:t>
      </w:r>
      <w:r>
        <w:fldChar w:fldCharType="begin"/>
      </w:r>
      <w:r>
        <w:instrText xml:space="preserve"> REF _Ref163429763 \h </w:instrText>
      </w:r>
      <w:r>
        <w:fldChar w:fldCharType="separate"/>
      </w:r>
      <w:r>
        <w:t>Figure 2.</w:t>
      </w:r>
      <w:r>
        <w:rPr>
          <w:noProof/>
        </w:rPr>
        <w:t>6</w:t>
      </w:r>
      <w:r>
        <w:fldChar w:fldCharType="end"/>
      </w:r>
      <w:r>
        <w:t xml:space="preserve"> show exactly what has been theorized about the possibilities of hydrogen removal and oxygen injection: increased aromatics yield and greatly enhanced catalyst stability. However, this </w:t>
      </w:r>
      <w:proofErr w:type="gramStart"/>
      <w:r>
        <w:t>particular study</w:t>
      </w:r>
      <w:proofErr w:type="gramEnd"/>
      <w:r>
        <w:t xml:space="preserve"> was performed at 700+ </w:t>
      </w:r>
      <m:oMath>
        <m:r>
          <w:rPr>
            <w:rFonts w:ascii="Cambria Math" w:hAnsi="Cambria Math"/>
          </w:rPr>
          <m:t>°</m:t>
        </m:r>
      </m:oMath>
      <w:r>
        <w:rPr>
          <w:rFonts w:eastAsiaTheme="minorEastAsia"/>
        </w:rPr>
        <w:t xml:space="preserve">C, therefore the temperature reduction improvement was not realized at this 2016 study. Great PCEC catalyst improvements have occurred since then to lower the operating temperature </w:t>
      </w:r>
      <w:r>
        <w:rPr>
          <w:rFonts w:eastAsiaTheme="minorEastAsia"/>
        </w:rPr>
        <w:fldChar w:fldCharType="begin"/>
      </w:r>
      <w:r w:rsidR="00CA7A9D">
        <w:rPr>
          <w:rFonts w:eastAsiaTheme="minorEastAsia"/>
        </w:rPr>
        <w:instrText xml:space="preserve"> ADDIN ZOTERO_ITEM CSL_CITATION {"citationID":"29HSfeHs","properties":{"formattedCitation":"[33]","plainCitation":"[33]","noteIndex":0},"citationItems":[{"id":591,"uris":["http://zotero.org/users/12063231/items/BE5BSF4A"],"itemData":{"id":591,"type":"article-journal","abstract":"The typically high temperatures (≥500</w:instrText>
      </w:r>
      <w:r w:rsidR="00CA7A9D">
        <w:rPr>
          <w:rFonts w:ascii="Arial" w:eastAsiaTheme="minorEastAsia" w:hAnsi="Arial" w:cs="Arial"/>
        </w:rPr>
        <w:instrText> </w:instrText>
      </w:r>
      <w:r w:rsidR="00CA7A9D">
        <w:rPr>
          <w:rFonts w:ascii="Aptos" w:eastAsiaTheme="minorEastAsia" w:hAnsi="Aptos" w:cs="Aptos"/>
        </w:rPr>
        <w:instrText>°</w:instrText>
      </w:r>
      <w:r w:rsidR="00CA7A9D">
        <w:rPr>
          <w:rFonts w:eastAsiaTheme="minorEastAsia"/>
        </w:rPr>
        <w:instrText>C) at which ceramic electrochemical cells operate place constraints on device materials and construction. Here Liu and colleagues design reversible proton-conducting electrochemical cells that can operate with high performance at temperatures of 450</w:instrText>
      </w:r>
      <w:r w:rsidR="00CA7A9D">
        <w:rPr>
          <w:rFonts w:ascii="Arial" w:eastAsiaTheme="minorEastAsia" w:hAnsi="Arial" w:cs="Arial"/>
        </w:rPr>
        <w:instrText> </w:instrText>
      </w:r>
      <w:r w:rsidR="00CA7A9D">
        <w:rPr>
          <w:rFonts w:ascii="Aptos" w:eastAsiaTheme="minorEastAsia" w:hAnsi="Aptos" w:cs="Aptos"/>
        </w:rPr>
        <w:instrText>°</w:instrText>
      </w:r>
      <w:r w:rsidR="00CA7A9D">
        <w:rPr>
          <w:rFonts w:eastAsiaTheme="minorEastAsia"/>
        </w:rPr>
        <w:instrText xml:space="preserve">C and below.","container-title":"Nature Energy","DOI":"10.1038/s41560-023-01350-4","ISSN":"2058-7546","issue":"10","journalAbbreviation":"Nat Energy","language":"en","license":"2023 The Author(s), under exclusive licence to Springer Nature Limited","note":"number: 10\npublisher: Nature Publishing Group","page":"1145-1157","source":"www.nature.com","title":"Lowering the operating temperature of protonic ceramic electrochemical cells to &lt;450 </w:instrText>
      </w:r>
      <w:r w:rsidR="00CA7A9D">
        <w:rPr>
          <w:rFonts w:ascii="Aptos" w:eastAsiaTheme="minorEastAsia" w:hAnsi="Aptos" w:cs="Aptos"/>
        </w:rPr>
        <w:instrText>°</w:instrText>
      </w:r>
      <w:r w:rsidR="00CA7A9D">
        <w:rPr>
          <w:rFonts w:eastAsiaTheme="minorEastAsia"/>
        </w:rPr>
        <w:instrText xml:space="preserve">C","volume":"8","author":[{"family":"Liu","given":"Fan"},{"family":"Deng","given":"Hao"},{"family":"Diercks","given":"David"},{"family":"Kumar","given":"Praveen"},{"family":"Jabbar","given":"Mohammed Hussain Abdul"},{"family":"Gumeci","given":"Cenk"},{"family":"Furuya","given":"Yoshihisa"},{"family":"Dale","given":"Nilesh"},{"family":"Oku","given":"Takanori"},{"family":"Usuda","given":"Masahiro"},{"family":"Kazempoor","given":"Pejman"},{"family":"Fang","given":"Liyang"},{"family":"Chen","given":"Di"},{"family":"Liu","given":"Bin"},{"family":"Duan","given":"Chuancheng"}],"issued":{"date-parts":[["2023",10]]}}}],"schema":"https://github.com/citation-style-language/schema/raw/master/csl-citation.json"} </w:instrText>
      </w:r>
      <w:r>
        <w:rPr>
          <w:rFonts w:eastAsiaTheme="minorEastAsia"/>
        </w:rPr>
        <w:fldChar w:fldCharType="separate"/>
      </w:r>
      <w:r w:rsidR="00CA7A9D" w:rsidRPr="00CA7A9D">
        <w:rPr>
          <w:rFonts w:ascii="Aptos" w:hAnsi="Aptos"/>
        </w:rPr>
        <w:t>[33]</w:t>
      </w:r>
      <w:r>
        <w:rPr>
          <w:rFonts w:eastAsiaTheme="minorEastAsia"/>
        </w:rPr>
        <w:fldChar w:fldCharType="end"/>
      </w:r>
      <w:r>
        <w:rPr>
          <w:rFonts w:eastAsiaTheme="minorEastAsia"/>
        </w:rPr>
        <w:t xml:space="preserve">, but these are yet to be tested with MDA applications. </w:t>
      </w:r>
    </w:p>
    <w:p w14:paraId="3A905A93" w14:textId="52917AEA" w:rsidR="00E170BA" w:rsidRDefault="00E170BA" w:rsidP="00E170BA">
      <w:r>
        <w:t xml:space="preserve">MDA is a developing process that continues to improve with further enhancements to the catalyst. As the process continues to be optimized and catalysts developed, there is great potential for industrial application in the future. Zhang et al. even proposed that it could play an integral role in future sustainable carbon circulation systems. </w:t>
      </w:r>
      <w:r>
        <w:fldChar w:fldCharType="begin"/>
      </w:r>
      <w:r w:rsidR="00CA7A9D">
        <w:instrText xml:space="preserve"> ADDIN ZOTERO_ITEM CSL_CITATION {"citationID":"TRDYmr1Q","properties":{"formattedCitation":"[66]","plainCitation":"[66]","noteIndex":0},"citationItems":[{"id":684,"uris":["http://zotero.org/users/12063231/items/9TUZT8V2"],"itemData":{"id":684,"type":"article-journal","abstract":"The Mo/HZSM-5 catalyzed, non-oxidative methane dehydroaromatization reaction provides a promising direct approach for production of benzene as well as naphthalene from CH4 resources and therefore its early industrial application is highly desired. A simplified methane dehydroaromatization process that consists of only one reactor unit and two product separation units is presented, and the factors that could significantly affect the process efficiency are quantitatively analyzed. While efficiently separating and recycling up to 70vol% unreacted CH4 from the stream out of condensable aromatics separation unit might become the main problem in maximizing the process efficiency, increasing the operating temperature as high as possible of the CH4 converter in the reactor unit and raising the system operation pressure to a level somewhat higher than one atmosphere should help maximize the process performance. At process-required high reaction temperatures, however, Mo/HZSM-5 catalyst suffers from vary rapid deactivation due to serious coke formation. Therefore, it becomes necessary to employ a reactor system that enables continuous and simultaneous regeneration of deactivated catalyst so as to maintain the catalytic activity and stability of catalyst over a sufficiently long operation period. Nineteen years of sustained R&amp;D efforts of the author’s team have led to a few applicable technologies related to preparation of a fluidizable binder-free Mo/HZSM-5 catalyst for use in fluidized bed reactors, regeneration of deactivated Mo/HZSM-5 catalyst using H2, and design and operation of a dual-bed circulating fluidized bed reactor system for continuous processing of the Mo/HZSM-5 catalyzed methane dehydroaromatization reaction. Operated at 1073</w:instrText>
      </w:r>
      <w:r w:rsidR="00CA7A9D">
        <w:rPr>
          <w:rFonts w:ascii="Arial" w:hAnsi="Arial" w:cs="Arial"/>
        </w:rPr>
        <w:instrText> </w:instrText>
      </w:r>
      <w:r w:rsidR="00CA7A9D">
        <w:instrText>K and under a continuous regeneration mode, an in-house developed binder-free 6%Mo/HZSM-5 catalyst has proven to be capable of providing a stable benzene yield of approximately 13% over a cumulative period of 1800</w:instrText>
      </w:r>
      <w:r w:rsidR="00CA7A9D">
        <w:rPr>
          <w:rFonts w:ascii="Arial" w:hAnsi="Arial" w:cs="Arial"/>
        </w:rPr>
        <w:instrText> </w:instrText>
      </w:r>
      <w:r w:rsidR="00CA7A9D">
        <w:instrText xml:space="preserve">min. Nevertheless, minimizing the catalyst deactivation by coking and developing a highly effective coke-removal and catalyst regeneration approach have still remained two important issues to be addressed in realization of early application of the Mo/HZSM-5 catalyzed methane dehydroaromatization reaction. While the key to a practical solution to these challenging issues lies in designing an advanced Mo/HZSM-5 catalyst with improved coking resistance and H2-regeneration activity, effective approaches to the design of such a catalyst are presented and discussed based on four possible coke formation routes. In the end, developing a pressurized pilot-scale dual-bed type of circulating fluidized bed reactor system that is capable of providing a yearly production of benzene of approximately 35 tons and naphthalene of 5 tons is visualized to make demonstration of the industrial applicability of the Mo/HZSM-5 catalyzed methane dehydroaromatization reaction.","container-title":"Carbon Resources Conversion","DOI":"10.1016/j.crcon.2019.07.001","ISSN":"2588-9133","issue":"3","journalAbbreviation":"Carbon Resources Conversion","page":"157-174","source":"ScienceDirect","title":"Process, reactor and catalyst design: Towards application of direct conversion of methane to aromatics under nonoxidative conditions","title-short":"Process, reactor and catalyst design","volume":"2","author":[{"family":"Zhang","given":"Zhan-Guo"}],"issued":{"date-parts":[["2019",12,1]]}}}],"schema":"https://github.com/citation-style-language/schema/raw/master/csl-citation.json"} </w:instrText>
      </w:r>
      <w:r>
        <w:fldChar w:fldCharType="separate"/>
      </w:r>
      <w:r w:rsidR="00CA7A9D" w:rsidRPr="00CA7A9D">
        <w:rPr>
          <w:rFonts w:ascii="Aptos" w:hAnsi="Aptos"/>
        </w:rPr>
        <w:t>[66]</w:t>
      </w:r>
      <w:r>
        <w:fldChar w:fldCharType="end"/>
      </w:r>
      <w:r>
        <w:t xml:space="preserve"> More still needs to be learned about the MDA reaction to truly optimize the catalyst, especially regarding confirming intermediates and further studies into the hydrocarbon pooling mechanism </w:t>
      </w:r>
      <w:r>
        <w:fldChar w:fldCharType="begin"/>
      </w:r>
      <w:r w:rsidR="00CA7A9D">
        <w:instrText xml:space="preserve"> ADDIN ZOTERO_ITEM CSL_CITATION {"citationID":"a1hmbl6df7i","properties":{"formattedCitation":"[44], [50], [52], [53], [66]","plainCitation":"[44], [50], [52], [53], [66]","noteIndex":0},"citationItems":[{"id":638,"uris":["http://zotero.org/users/12063231/items/FUNE49BF"],"itemData":{"id":638,"type":"article-journal","abstract":"Non-oxidative dehydroaromatization is arguably the most promising process for the direct upgrading of cheap and abundant methane to liquid hydrocarbons. This reaction has not been commercialized yet because of the suboptimal activity and swift deactivation of benchmark Mo-zeolite catalysts. This progress report represents an elaboration on the recent developments in understanding of zeolite-based catalytic materials for high-temperature non-oxidative dehydroaromatization of methane. It is specifically focused on recent studies, relevant to the materials chemistry and elucidating i) the structure of active species in working catalysts; ii) the complex molecular pathways underlying the mechanism of selective conversion of methane to benzene; iii) structure, evolution and role of coke species; and iv) process intensification strategies to improve the deactivation resistance and overall performance of the catalysts. Finally, unsolved challenges in this field of research are outlined and an outlook is provided on promising directions toward improving the activity, stability, and selectivity of methane dehydroaromatization catalysts.","container-title":"Advanced Materials","DOI":"10.1002/adma.202002565","ISSN":"1521-4095","issue":"44","language":"en","license":"© 2020 The Authors. Published by WILEY-VCH Verlag GmbH &amp; Co. KGaA, Weinheim","note":"_eprint: https://onlinelibrary.wiley.com/doi/pdf/10.1002/adma.202002565","page":"2002565","source":"Wiley Online Library","title":"Reactivity, Selectivity, and Stability of Zeolite-Based Catalysts for Methane Dehydroaromatization","volume":"32","author":[{"family":"Kosinov","given":"Nikolay"},{"family":"Hensen","given":"Emiel J. M."}],"issued":{"date-parts":[["2020"]]}}},{"id":624,"uris":["http://zotero.org/users/12063231/items/YQYI8YM2"],"itemData":{"id":624,"type":"article-journal","abstract":"Methane dehydroaromatization is a promising reaction for the direct conversion of methane to liquid hydrocarbons. The active sites and the mechanism of this reaction remain controversial. This work is focused on the operando X-ray absorption near edge structure spectroscopy analysis of conventional Mo/ZSM-5 catalysts during their whole lifetime. Complemented by other characterization techniques, we derived spectroscopic descriptors of molybdenum precursor decomposition and its exchange with zeolite Brønsted acid sites. We found that the reduction of Mo-species proceeds in two steps and the active sites are of similar nature, regardless of the Mo content. Furthermore, the ZSM-5 unit cell contracts at the beginning of the reaction, which coincides with benzene formation and it is likely related to the formation of hydrocarbon pool intermediates. Finally, although reductive regeneration of used catalysts via methanation is less effective as compared to combustion of coke, it does not affect the structure of the catalysts.","container-title":"Chemistry – A European Journal","DOI":"10.1002/chem.202103894","ISSN":"1521-3765","issue":"5","language":"en","license":"© 2021 The Authors. Chemistry - A European Journal published by Wiley-VCH GmbH","note":"_eprint: https://onlinelibrary.wiley.com/doi/pdf/10.1002/chem.202103894","page":"e202103894","source":"Wiley Online Library","title":"Understanding the Preparation and Reactivity of Mo/ZSM-5 Methane Dehydroaromatization Catalysts","volume":"28","author":[{"family":"Liu","given":"Yujie"},{"family":"Zhang","given":"Hao"},{"family":"Wijpkema","given":"Alexandra S. G."},{"family":"Coumans","given":"Ferdy J. A. G."},{"family":"Meng","given":"Lingqian"},{"family":"Uslamin","given":"Evgeny A."},{"family":"Longo","given":"Alessandro"},{"family":"Hensen","given":"Emiel J. M."},{"family":"Kosinov","given":"Nikolay"}],"issued":{"date-parts":[["2022"]]}}},{"id":670,"uris":["http://zotero.org/users/12063231/items/9EU8XXYV"],"itemData":{"id":670,"type":"article-journal","abstract":"Surface carbon (coke, carbonaceous deposits) is an integral aspect of methane dehydroaromatization catalyzed by Mo/zeolites. We investigated the evolution of surface carbon species from the beginning of the induction period until the complete catalyst deactivation by the pulse reaction technique, TGA, 13C NMR, TEM, and XPS. Isotope labeling was performed to confirm the catalytic role of confined carbon species during MDA. It was found that “hard” and “soft” coke distinction is mainly related to the location of coke species inside the pores and on the external surface, respectively. In addition, MoO3 species act as an active oxidation catalyst, reducing the combustion temperature of a certain fraction of coke. Furthermore, after dissolving the zeolite framework by HF, we found that coke formed during the MDA reaction inside the zeolite pores is essentially a zeolite-templated carbon material. The possibility of preparing zeolite-templated carbons from the most available hydrocarbon feedstock is important for the development of these interesting materials.","container-title":"ACS Catalysis","DOI":"10.1021/acscatal.8b02491","issue":"9","journalAbbreviation":"ACS Catal.","note":"publisher: American Chemical Society","page":"8459-8467","source":"ACS Publications","title":"Structure and Evolution of Confined Carbon Species during Methane Dehydroaromatization over Mo/ZSM-5","volume":"8","author":[{"family":"Kosinov","given":"Nikolay"},{"family":"Uslamin","given":"Evgeny A."},{"family":"Coumans","given":"Ferdy J. A. G."},{"family":"Wijpkema","given":"Alexandra S. G."},{"family":"Rohling","given":"Roderigh Y."},{"family":"Hensen","given":"Emiel J. M."}],"issued":{"date-parts":[["2018",9,7]]}}},{"id":667,"uris":["http://zotero.org/users/12063231/items/ISX52IFF"],"itemData":{"id":667,"type":"article-journal","abstract":"Non-oxidative dehydroaromatization of methane (MDA) is a promising catalytic process for direct valorization of natural gas to liquid hydrocarbons. The application of this reaction in practical technology is hindered by a lack of understanding about the mechanism and nature of the active sites in benchmark zeolite-based Mo/ZSM-5 catalysts, which precludes the solution of problems such as rapid catalyst deactivation. By applying spectroscopy and microscopy, it is shown that the active centers in Mo/ZSM-5 are partially reduced single-atom Mo sites stabilized by the zeolite framework. By combining a pulse reaction technique with isotope labeling of methane, MDA is shown to be governed by a hydrocarbon pool mechanism in which benzene is derived from secondary reactions of confined polyaromatic carbon species with the initial products of methane activation.","container-title":"Angewandte Chemie International Edition","DOI":"10.1002/anie.201711098","ISSN":"1521-3773","issue":"4","language":"en","license":"© 2018 The Authors. Published by Wiley-VCH Verlag GmbH &amp; Co. KGaA.","note":"_eprint: https://onlinelibrary.wiley.com/doi/pdf/10.1002/anie.201711098","page":"1016-1020","source":"Wiley Online Library","title":"Confined Carbon Mediating Dehydroaromatization of Methane over Mo/ZSM-5","volume":"57","author":[{"family":"Kosinov","given":"Nikolay"},{"family":"Wijpkema","given":"Alexandra S. G."},{"family":"Uslamin","given":"Evgeny"},{"family":"Rohling","given":"Roderigh"},{"family":"Coumans","given":"Ferdy J. A. G."},{"family":"Mezari","given":"Brahim"},{"family":"Parastaev","given":"Alexander"},{"family":"Poryvaev","given":"Artem S."},{"family":"Fedin","given":"Matvey V."},{"family":"Pidko","given":"Evgeny A."},{"family":"Hensen","given":"Emiel J. M."}],"issued":{"date-parts":[["2018"]]}}},{"id":684,"uris":["http://zotero.org/users/12063231/items/9TUZT8V2"],"itemData":{"id":684,"type":"article-journal","abstract":"The Mo/HZSM-5 catalyzed, non-oxidative methane dehydroaromatization reaction provides a promising direct approach for production of benzene as well as naphthalene from CH4 resources and therefore its early industrial application is highly desired. A simplified methane dehydroaromatization process that consists of only one reactor unit and two product separation units is presented, and the factors that could significantly affect the process efficiency are quantitatively analyzed. While efficiently separating and recycling up to 70vol% unreacted CH4 from the stream out of condensable aromatics separation unit might become the main problem in maximizing the process efficiency, increasing the operating temperature as high as possible of the CH4 converter in the reactor unit and raising the system operation pressure to a level somewhat higher than one atmosphere should help maximize the process performance. At process-required high reaction temperatures, however, Mo/HZSM-5 catalyst suffers from vary rapid deactivation due to serious coke formation. Therefore, it becomes necessary to employ a reactor system that enables continuous and simultaneous regeneration of deactivated catalyst so as to maintain the catalytic activity and stability of catalyst over a sufficiently long operation period. Nineteen years of sustained R&amp;D efforts of the author’s team have led to a few applicable technologies related to preparation of a fluidizable binder-free Mo/HZSM-5 catalyst for use in fluidized bed reactors, regeneration of deactivated Mo/HZSM-5 catalyst using H2, and design and operation of a dual-bed circulating fluidized bed reactor system for continuous processing of the Mo/HZSM-5 catalyzed methane dehydroaromatization reaction. Operated at 1073</w:instrText>
      </w:r>
      <w:r w:rsidR="00CA7A9D">
        <w:rPr>
          <w:rFonts w:ascii="Arial" w:hAnsi="Arial" w:cs="Arial"/>
        </w:rPr>
        <w:instrText> </w:instrText>
      </w:r>
      <w:r w:rsidR="00CA7A9D">
        <w:instrText>K and under a continuous regeneration mode, an in-house developed binder-free 6%Mo/HZSM-5 catalyst has proven to be capable of providing a stable benzene yield of approximately 13% over a cumulative period of 1800</w:instrText>
      </w:r>
      <w:r w:rsidR="00CA7A9D">
        <w:rPr>
          <w:rFonts w:ascii="Arial" w:hAnsi="Arial" w:cs="Arial"/>
        </w:rPr>
        <w:instrText> </w:instrText>
      </w:r>
      <w:r w:rsidR="00CA7A9D">
        <w:instrText xml:space="preserve">min. Nevertheless, minimizing the catalyst deactivation by coking and developing a highly effective coke-removal and catalyst regeneration approach have still remained two important issues to be addressed in realization of early application of the Mo/HZSM-5 catalyzed methane dehydroaromatization reaction. While the key to a practical solution to these challenging issues lies in designing an advanced Mo/HZSM-5 catalyst with improved coking resistance and H2-regeneration activity, effective approaches to the design of such a catalyst are presented and discussed based on four possible coke formation routes. In the end, developing a pressurized pilot-scale dual-bed type of circulating fluidized bed reactor system that is capable of providing a yearly production of benzene of approximately 35 tons and naphthalene of 5 tons is visualized to make demonstration of the industrial applicability of the Mo/HZSM-5 catalyzed methane dehydroaromatization reaction.","container-title":"Carbon Resources Conversion","DOI":"10.1016/j.crcon.2019.07.001","ISSN":"2588-9133","issue":"3","journalAbbreviation":"Carbon Resources Conversion","page":"157-174","source":"ScienceDirect","title":"Process, reactor and catalyst design: Towards application of direct conversion of methane to aromatics under nonoxidative conditions","title-short":"Process, reactor and catalyst design","volume":"2","author":[{"family":"Zhang","given":"Zhan-Guo"}],"issued":{"date-parts":[["2019",12,1]]}}}],"schema":"https://github.com/citation-style-language/schema/raw/master/csl-citation.json"} </w:instrText>
      </w:r>
      <w:r>
        <w:fldChar w:fldCharType="separate"/>
      </w:r>
      <w:r w:rsidR="00CA7A9D" w:rsidRPr="00CA7A9D">
        <w:rPr>
          <w:rFonts w:ascii="Aptos" w:hAnsi="Aptos"/>
        </w:rPr>
        <w:t>[44], [50], [52], [53], [66]</w:t>
      </w:r>
      <w:r>
        <w:fldChar w:fldCharType="end"/>
      </w:r>
      <w:r>
        <w:t xml:space="preserve">. As these studies take place, it is reasonable to assume that further application avenues could be considered, and small-scale industrial applications will begin to take place. Additionally, there is great potential of MDA implementation with PCERs as the advancements in both categories allow for a synergistic effect resulting in an enhanced conversion rate and selectivity for MDA and increasingly lucrative byproducts from the PCER system. </w:t>
      </w:r>
    </w:p>
    <w:p w14:paraId="4EEF86BA" w14:textId="77777777" w:rsidR="00E170BA" w:rsidRPr="001B5982" w:rsidRDefault="00E170BA" w:rsidP="00E170BA"/>
    <w:p w14:paraId="0E998B20" w14:textId="0DB48A1D" w:rsidR="00E170BA" w:rsidRDefault="00E170BA">
      <w:pPr>
        <w:spacing w:after="160" w:line="259" w:lineRule="auto"/>
        <w:ind w:firstLine="0"/>
      </w:pPr>
      <w:r>
        <w:br w:type="page"/>
      </w:r>
    </w:p>
    <w:p w14:paraId="40FFD644" w14:textId="77777777" w:rsidR="00A93D24" w:rsidRDefault="00A93D24" w:rsidP="00A93D24">
      <w:pPr>
        <w:pStyle w:val="Heading1"/>
      </w:pPr>
      <w:bookmarkStart w:id="56" w:name="_Toc165641064"/>
      <w:r>
        <w:t>Chapter 3: Modelling the Tubular PCFC</w:t>
      </w:r>
      <w:bookmarkEnd w:id="56"/>
    </w:p>
    <w:p w14:paraId="31CBB643" w14:textId="77777777" w:rsidR="00A93D24" w:rsidRPr="000E3A01" w:rsidRDefault="00A93D24" w:rsidP="00A93D24">
      <w:pPr>
        <w:pStyle w:val="Heading2"/>
      </w:pPr>
      <w:bookmarkStart w:id="57" w:name="_Toc165641065"/>
      <w:r>
        <w:t>3.1 Modelling Overview</w:t>
      </w:r>
      <w:bookmarkEnd w:id="57"/>
    </w:p>
    <w:p w14:paraId="6F1BEDB9" w14:textId="77777777" w:rsidR="00A93D24" w:rsidRDefault="00A93D24" w:rsidP="00A93D24">
      <w:r>
        <w:t xml:space="preserve">This chapter provides a detailed walkthrough of the model formulation. To model the PCFC, Engineering Equation Solver (EES) is used. EES is an iterative simultaneous solver that requires effective initial guesses and boundary conditions for all variables </w:t>
      </w:r>
      <w:proofErr w:type="gramStart"/>
      <w:r>
        <w:t>in order to</w:t>
      </w:r>
      <w:proofErr w:type="gramEnd"/>
      <w:r>
        <w:t xml:space="preserve"> converge a proper solution. </w:t>
      </w:r>
    </w:p>
    <w:p w14:paraId="1D7BB3B1" w14:textId="03304E91" w:rsidR="00A93D24" w:rsidRDefault="00A93D24" w:rsidP="00A93D24">
      <w:r>
        <w:t xml:space="preserve">The modeling of PCFC systems is still a rapidly growing field of study </w:t>
      </w:r>
      <w:r>
        <w:fldChar w:fldCharType="begin"/>
      </w:r>
      <w:r w:rsidR="00CA7A9D">
        <w:instrText xml:space="preserve"> ADDIN ZOTERO_ITEM CSL_CITATION {"citationID":"ubQ3e5TE","properties":{"formattedCitation":"[74]","plainCitation":"[74]","noteIndex":0},"citationItems":[{"id":815,"uris":["http://zotero.org/users/12063231/items/FJP9XY27"],"itemData":{"id":815,"type":"article-journal","abstract":"Protonic ceramic fuel cells (PCFCs) are promising electrochemical devices for the efficient and clean conversion of hydrogen and low hydrocarbons into electrical energy. Their intermediate operation temperature (500–800 °C) proffers advantages in terms of greater component compatibility, unnecessity of expensive noble metals for the electrocatalyst, and no dilution of the fuel electrode due to water formation. Nevertheless, the lower operating temperature, in comparison to classic solid oxide fuel cells, places significant demands on the cathode as the reaction kinetics are slower than those related to fuel oxidation in the anode or ion migration in the electrolyte. Cathode design and composition are therefore of crucial importance for the cell performance at low temperature. The different approaches that have been adopted for cathode materials research can be broadly classified into the categories of protonic–electronic conductors, oxide-ionic–electronic conductors, triple-conducting oxides, and composite electrodes composed of oxides from two of the other categories. Here, we review the relatively short history of PCFC cathode research, discussing trends, highlights, and recent progress. Current understanding of reaction mechanisms is also discussed.","container-title":"Applied Sciences","DOI":"10.3390/app11125363","ISSN":"2076-3417","issue":"12","language":"en","license":"http://creativecommons.org/licenses/by/3.0/","note":"number: 12\npublisher: Multidisciplinary Digital Publishing Institute","page":"5363","source":"www.mdpi.com","title":"Perspectives on Cathodes for Protonic Ceramic Fuel Cells","volume":"11","author":[{"family":"Mather","given":"Glenn C."},{"family":"Muñoz-Gil","given":"Daniel"},{"family":"Zamudio-García","given":"Javier"},{"family":"Porras-Vázquez","given":"José M."},{"family":"Marrero-López","given":"David"},{"family":"Pérez-Coll","given":"Domingo"}],"issued":{"date-parts":[["2021",1]]}}}],"schema":"https://github.com/citation-style-language/schema/raw/master/csl-citation.json"} </w:instrText>
      </w:r>
      <w:r>
        <w:fldChar w:fldCharType="separate"/>
      </w:r>
      <w:r w:rsidR="00CA7A9D" w:rsidRPr="00CA7A9D">
        <w:rPr>
          <w:rFonts w:ascii="Aptos" w:hAnsi="Aptos"/>
        </w:rPr>
        <w:t>[74]</w:t>
      </w:r>
      <w:r>
        <w:fldChar w:fldCharType="end"/>
      </w:r>
      <w:r>
        <w:t xml:space="preserve">. Unfortunately, there are relatively few references of studies performed for modeled tubular PCFC systems. </w:t>
      </w:r>
      <w:r>
        <w:rPr>
          <w:kern w:val="0"/>
          <w14:ligatures w14:val="none"/>
        </w:rPr>
        <w:t xml:space="preserve">Experimentally, planar button cells are typically preferred due to their simpler manufacturing process and easier measurement requirements, which is also reflected in modeling studies. Nevertheless, there are numerous successful examples of SOFC models, despite their functional similarity, these models may exhibit significantly different values for various components and reactions. </w:t>
      </w:r>
      <w:r>
        <w:t xml:space="preserve">Of these, the works done by Stiller </w:t>
      </w:r>
      <w:r>
        <w:fldChar w:fldCharType="begin"/>
      </w:r>
      <w:r w:rsidR="00CA7A9D">
        <w:instrText xml:space="preserve"> ADDIN ZOTERO_ITEM CSL_CITATION {"citationID":"CeONqUOB","properties":{"formattedCitation":"[75]","plainCitation":"[75]","noteIndex":0},"citationItems":[{"id":3,"uris":["http://zotero.org/users/12063231/items/3CHVZB3E"],"itemData":{"id":3,"type":"thesis","event-place":"Trondheim, Norway","language":"English","publisher":"Norwegian University of Science and Technology","publisher-place":"Trondheim, Norway","title":"Design, Operation and Control Modelling of SOFC/GT Hybrid Systems","URL":"https://ntnuopen.ntnu.no/ntnu-xmlui/bitstream/handle/11250/231300/125922_FULLTEXT01.pdf?sequence=1","author":[{"family":"Stiller","given":"Christoph"}],"issued":{"date-parts":[["2006",3]]}}}],"schema":"https://github.com/citation-style-language/schema/raw/master/csl-citation.json"} </w:instrText>
      </w:r>
      <w:r>
        <w:fldChar w:fldCharType="separate"/>
      </w:r>
      <w:r w:rsidR="00CA7A9D" w:rsidRPr="00CA7A9D">
        <w:rPr>
          <w:rFonts w:ascii="Aptos" w:hAnsi="Aptos"/>
        </w:rPr>
        <w:t>[75]</w:t>
      </w:r>
      <w:r>
        <w:fldChar w:fldCharType="end"/>
      </w:r>
      <w:r>
        <w:t xml:space="preserve"> and Xi </w:t>
      </w:r>
      <w:r>
        <w:fldChar w:fldCharType="begin"/>
      </w:r>
      <w:r w:rsidR="00CA7A9D">
        <w:instrText xml:space="preserve"> ADDIN ZOTERO_ITEM CSL_CITATION {"citationID":"RAAzLD5g","properties":{"formattedCitation":"[76]","plainCitation":"[76]","noteIndex":0},"citationItems":[{"id":805,"uris":["http://zotero.org/users/12063231/items/IV7WWVFD"],"itemData":{"id":805,"type":"thesis","event-place":"Ann Arbor, MI","language":"English","number-of-pages":"183","publisher":"University of Michigan","publisher-place":"Ann Arbor, MI","title":"Dynamic Modeling and Control of Planar SOFC Power Systems","author":[{"family":"Xi","given":"Handa"}],"issued":{"date-parts":[["2007"]]}}}],"schema":"https://github.com/citation-style-language/schema/raw/master/csl-citation.json"} </w:instrText>
      </w:r>
      <w:r>
        <w:fldChar w:fldCharType="separate"/>
      </w:r>
      <w:r w:rsidR="00CA7A9D" w:rsidRPr="00CA7A9D">
        <w:rPr>
          <w:rFonts w:ascii="Aptos" w:hAnsi="Aptos"/>
        </w:rPr>
        <w:t>[76]</w:t>
      </w:r>
      <w:r>
        <w:fldChar w:fldCharType="end"/>
      </w:r>
      <w:r>
        <w:t xml:space="preserve"> on SOFC modeling </w:t>
      </w:r>
      <w:r w:rsidR="0020124E">
        <w:t>are</w:t>
      </w:r>
      <w:r>
        <w:t xml:space="preserve"> used as the primary examples from which the foundational principles of the model used in this study are derived. Xi’s work provided an exemplary discussion on the energy balance mechanics of fuel cells, while Stiller’s work is one of the most detailed tubular fuel cell models available at the time of this writing. </w:t>
      </w:r>
    </w:p>
    <w:p w14:paraId="2DA94CEB" w14:textId="19687BE7" w:rsidR="00A93D24" w:rsidRDefault="00A93D24" w:rsidP="00A93D24">
      <w:r>
        <w:t xml:space="preserve">The model formulation can be effectively broken into four important functions: reaction mechanisms, mass balance, electrochemical setup, and energy balance. The reaction mechanism setup is arguably the most critical aspect of the model and is responsible for realistically predicting the reaction rates, final selectivity, </w:t>
      </w:r>
      <w:proofErr w:type="gramStart"/>
      <w:r>
        <w:t>and also</w:t>
      </w:r>
      <w:proofErr w:type="gramEnd"/>
      <w:r>
        <w:t xml:space="preserve"> plays a role in the temperature distribution through the cell. The mass balance takes care of the literal mass flow through the system, and accounts for changes in the product makeup as reactions occur in real time. The electrochemical setup is an integral aspect of both the reaction mechanism and the energy </w:t>
      </w:r>
      <w:r w:rsidR="00BA6723">
        <w:t>balance and</w:t>
      </w:r>
      <w:r>
        <w:t xml:space="preserve"> </w:t>
      </w:r>
      <w:r w:rsidR="002F1ED9">
        <w:t>predicts</w:t>
      </w:r>
      <w:r>
        <w:t xml:space="preserve"> the cell voltage and current. These aspects help predict how much hydrogen is removed from the process stream and generate additional heat inside the cell. Lastly, the energy balance directly predicts the temperature distribution, which relies on the </w:t>
      </w:r>
      <w:proofErr w:type="spellStart"/>
      <w:r>
        <w:t>exo</w:t>
      </w:r>
      <w:proofErr w:type="spellEnd"/>
      <w:r>
        <w:t xml:space="preserve"> and endothermic reactions, and the theoretical maximum power output from the cell. Other modelling studies are also considered a momentum balance which calculates the pressure drop through the cell </w:t>
      </w:r>
      <w:r>
        <w:fldChar w:fldCharType="begin"/>
      </w:r>
      <w:r w:rsidR="00CA7A9D">
        <w:instrText xml:space="preserve"> ADDIN ZOTERO_ITEM CSL_CITATION {"citationID":"a240bumj1ab","properties":{"formattedCitation":"[77], [78]","plainCitation":"[77], [78]","noteIndex":0},"citationItems":[{"id":809,"uris":["http://zotero.org/users/12063231/items/86VEYUNF"],"itemData":{"id":809,"type":"article-journal","container-title":"Fuel Cells","DOI":"10.1002/fuce.200900082","issue":"6","language":"English","page":"1074-1094","title":"Modelling and Performance Evaluation of Solid Oxide Fuel Cell for Building Integrated Co- and Polygeneration","volume":"10","author":[{"family":"Kazempoor","given":"Pejman"},{"family":"Dorer","given":"Viktor"},{"family":"Fathollah","given":"Ommi"}],"issued":{"date-parts":[["2010"]]}}},{"id":885,"uris":["http://zotero.org/users/12063231/items/2YPLBP28"],"itemData":{"id":885,"type":"article-journal","abstract":"The need for electrical energy storage (EES) is being driven by the deployment of increasing amounts of intermittent renewable energy resources. In addition to their fuel flexibility, high efficiency, scalability, and long-term cost outlook, reversible (regenerative) solid oxide cell (rSOC) systems have the potential for round-trip efficiencies competitive with the other available energy storage technologies. Accordingly, the focus of the current study is to investigate modeling methods for high temperature rSOCs in order to facilitate future endeavors related to establishing optimal operating conditions and system designs. Previously developed solid oxide fuel cell (SOFC) and solid-oxide electrolytic cell (SOEC) models are integrated to form a general rSOC model. The model is first calibrated and validated based on the available experimental data in the extant literature. The validation results show that the fitting parameters extracted from the calibration study can precisely simulate the cell behavior under various operating conditions. The effects of key operating parameters, such as temperature, gas composition and fuel utilization, on the voltage–current density performance characteristic and thermoneutral voltage are then investigated. It is also observed that the total electrochemical losses of the cell can be significantly different in each operating mode (fuel cell and electrolyzing) under certain operating conditions. Advantages of pressurized operation on thermal management are also discussed.","container-title":"International Journal of Hydrogen Energy","DOI":"10.1016/j.ijhydene.2014.01.186","ISSN":"0360-3199","issue":"11","journalAbbreviation":"International Journal of Hydrogen Energy","page":"5955-5971","source":"ScienceDirect","title":"Model validation and performance analysis of regenerative solid oxide cells for energy storage applications: Reversible operation","title-short":"Model validation and performance analysis of regenerative solid oxide cells for energy storage applications","volume":"39","author":[{"family":"Kazempoor","given":"P."},{"family":"Braun","given":"R. J."}],"issued":{"date-parts":[["2014",4,4]]}}}],"schema":"https://github.com/citation-style-language/schema/raw/master/csl-citation.json"} </w:instrText>
      </w:r>
      <w:r>
        <w:fldChar w:fldCharType="separate"/>
      </w:r>
      <w:r w:rsidR="00CA7A9D" w:rsidRPr="00CA7A9D">
        <w:rPr>
          <w:rFonts w:ascii="Aptos" w:hAnsi="Aptos"/>
        </w:rPr>
        <w:t>[77], [78]</w:t>
      </w:r>
      <w:r>
        <w:fldChar w:fldCharType="end"/>
      </w:r>
      <w:r>
        <w:t xml:space="preserve">. In this study, the momentum balance is replaced with an overall pressure drop of 4 millibars. </w:t>
      </w:r>
    </w:p>
    <w:p w14:paraId="52F88F03" w14:textId="77777777" w:rsidR="00A93D24" w:rsidRDefault="00A93D24" w:rsidP="00A93D24">
      <w:pPr>
        <w:pStyle w:val="Heading2"/>
      </w:pPr>
      <w:bookmarkStart w:id="58" w:name="_Toc165641066"/>
      <w:r>
        <w:t>3.2 Reaction Mechanism</w:t>
      </w:r>
      <w:bookmarkEnd w:id="58"/>
    </w:p>
    <w:p w14:paraId="24935669" w14:textId="77777777" w:rsidR="00A93D24" w:rsidRDefault="00A93D24" w:rsidP="00A93D24">
      <w:pPr>
        <w:pStyle w:val="Heading3"/>
      </w:pPr>
      <w:bookmarkStart w:id="59" w:name="_Toc165641067"/>
      <w:r>
        <w:t>3.2.1 Considered Reactions</w:t>
      </w:r>
      <w:bookmarkEnd w:id="59"/>
    </w:p>
    <w:p w14:paraId="4366B856" w14:textId="4B74CB27" w:rsidR="00A93D24" w:rsidRDefault="00A93D24" w:rsidP="00A93D24">
      <w:r>
        <w:t>As discussed in Chapter 2, the reaction mechanism for the MDA process closely follows the kinetic studies and work of Jeong</w:t>
      </w:r>
      <w:r w:rsidR="001744DF">
        <w:t xml:space="preserve"> et al.</w:t>
      </w:r>
      <w:r>
        <w:t xml:space="preserve"> </w:t>
      </w:r>
      <w:r>
        <w:fldChar w:fldCharType="begin"/>
      </w:r>
      <w:r w:rsidR="00CA7A9D">
        <w:instrText xml:space="preserve"> ADDIN ZOTERO_ITEM CSL_CITATION {"citationID":"3l8S5Grr","properties":{"formattedCitation":"[64]","plainCitation":"[64]","noteIndex":0},"citationItems":[{"id":744,"uris":["http://zotero.org/users/12063231/items/6QIVDYJ5"],"itemData":{"id":744,"type":"article-journal","abstract":"A kinetic model was developed for the methane dehydroaromatization over a Mo2C/H-ZSM5 catalyst. Because the experimental observations show that the reaction and deactivation simultaneously take place in the catalyst activation (carburization) stage, the initial simulation time was specified as the time at which the activation was completed and the initial activities under each operating condition were estimated. The estimated values show that the initial activity of the Mo2C site is low in the early stage of the catalyst bed, which is probably due to the carbonization, while that of the H-ZSM5 site is very low in the later stage of the bed due to the encapsulation of coupled aromatics caused by the low confinement of Mo2C in the zeolite. Kinetic models were developed for the reaction and deactivation and the kinetic parameters were estimated by fitting the experimental data that were obtained after the activation was completed. The simulated results are in good agreement with the experimental data. The deactivation model indicates a higher temperature dependency of the Mo2C site compared with the H-ZSM5 site. In addition, the benzene and toluene yields abruptly decrease at very high temperature, indicating that a too high temperature should be avoided, although high temperatures are favored because of the endothermic characteristics of the production rate.","collection-title":"Special Issue for the 17th Korea-Japan Symposium on Catalysis","container-title":"Catalysis Today","DOI":"10.1016/j.cattod.2019.09.002","ISSN":"0920-5861","journalAbbreviation":"Catalysis Today","page":"140-147","source":"ScienceDirect","title":"Kinetic modeling of methane dehydroaromatization over a Mo2C/H-ZSM5 catalyst: Different deactivation behaviors of the Mo2C and H-ZSM5 sites","title-short":"Kinetic modeling of methane dehydroaromatization over a Mo2C/H-ZSM5 catalyst","volume":"352","author":[{"family":"Jeong","given":"Jaehun"},{"family":"Hwang","given":"Ahron"},{"family":"Kim","given":"Yong Tae"},{"family":"Hong","given":"Do-Young"},{"family":"Park","given":"Myung-June"}],"issued":{"date-parts":[["2020",8,1]]}}}],"schema":"https://github.com/citation-style-language/schema/raw/master/csl-citation.json"} </w:instrText>
      </w:r>
      <w:r>
        <w:fldChar w:fldCharType="separate"/>
      </w:r>
      <w:r w:rsidR="00CA7A9D" w:rsidRPr="00CA7A9D">
        <w:rPr>
          <w:rFonts w:ascii="Aptos" w:hAnsi="Aptos"/>
        </w:rPr>
        <w:t>[64]</w:t>
      </w:r>
      <w:r>
        <w:fldChar w:fldCharType="end"/>
      </w:r>
      <w:r>
        <w:t xml:space="preserve">. However, in a realistic application of natural gas, there </w:t>
      </w:r>
      <w:r w:rsidR="00E9792B">
        <w:t>are</w:t>
      </w:r>
      <w:r>
        <w:t xml:space="preserve"> other side reactions occurring alongside the intended MDA reactions. The side reactions considered in this work are the electrochemically driven formation of water on the air side, partial oxidation of methane, steam reforming, and water gas shift reactions on the fuel side as shown in </w:t>
      </w:r>
      <w:r>
        <w:fldChar w:fldCharType="begin"/>
      </w:r>
      <w:r>
        <w:instrText xml:space="preserve"> REF _Ref163856959 \h </w:instrText>
      </w:r>
      <w:r>
        <w:fldChar w:fldCharType="separate"/>
      </w:r>
      <w:r>
        <w:t>Figure 3.</w:t>
      </w:r>
      <w:r>
        <w:rPr>
          <w:noProof/>
        </w:rPr>
        <w:t>1</w:t>
      </w:r>
      <w:r>
        <w:fldChar w:fldCharType="end"/>
      </w:r>
      <w:r>
        <w:t>.</w:t>
      </w:r>
    </w:p>
    <w:p w14:paraId="56BA8BF0" w14:textId="77777777" w:rsidR="00A93D24" w:rsidRDefault="00A93D24" w:rsidP="00A93D24">
      <w:pPr>
        <w:keepNext/>
        <w:ind w:firstLine="0"/>
        <w:jc w:val="center"/>
      </w:pPr>
      <w:r>
        <w:rPr>
          <w:noProof/>
        </w:rPr>
        <w:drawing>
          <wp:inline distT="0" distB="0" distL="0" distR="0" wp14:anchorId="4059D37D" wp14:editId="0A062C60">
            <wp:extent cx="5031057" cy="2396395"/>
            <wp:effectExtent l="0" t="0" r="0" b="0"/>
            <wp:docPr id="1043510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510082" name="Picture 1"/>
                    <pic:cNvPicPr/>
                  </pic:nvPicPr>
                  <pic:blipFill rotWithShape="1">
                    <a:blip r:embed="rId19" cstate="print">
                      <a:extLst>
                        <a:ext uri="{28A0092B-C50C-407E-A947-70E740481C1C}">
                          <a14:useLocalDpi xmlns:a14="http://schemas.microsoft.com/office/drawing/2010/main" val="0"/>
                        </a:ext>
                      </a:extLst>
                    </a:blip>
                    <a:srcRect l="-337" t="22654" r="337" b="43626"/>
                    <a:stretch/>
                  </pic:blipFill>
                  <pic:spPr bwMode="auto">
                    <a:xfrm>
                      <a:off x="0" y="0"/>
                      <a:ext cx="5031057" cy="2396395"/>
                    </a:xfrm>
                    <a:prstGeom prst="rect">
                      <a:avLst/>
                    </a:prstGeom>
                    <a:ln>
                      <a:noFill/>
                    </a:ln>
                    <a:extLst>
                      <a:ext uri="{53640926-AAD7-44D8-BBD7-CCE9431645EC}">
                        <a14:shadowObscured xmlns:a14="http://schemas.microsoft.com/office/drawing/2010/main"/>
                      </a:ext>
                    </a:extLst>
                  </pic:spPr>
                </pic:pic>
              </a:graphicData>
            </a:graphic>
          </wp:inline>
        </w:drawing>
      </w:r>
    </w:p>
    <w:p w14:paraId="4D976814" w14:textId="77777777" w:rsidR="00A93D24" w:rsidRDefault="00A93D24" w:rsidP="00A93D24">
      <w:pPr>
        <w:pStyle w:val="Caption"/>
      </w:pPr>
      <w:bookmarkStart w:id="60" w:name="_Ref163856959"/>
      <w:bookmarkStart w:id="61" w:name="_Ref163856951"/>
      <w:bookmarkStart w:id="62" w:name="_Toc165641135"/>
      <w:r>
        <w:t>Figure 3.</w:t>
      </w:r>
      <w:r>
        <w:fldChar w:fldCharType="begin"/>
      </w:r>
      <w:r>
        <w:instrText xml:space="preserve"> SEQ Figure \* ARABIC </w:instrText>
      </w:r>
      <w:r>
        <w:fldChar w:fldCharType="separate"/>
      </w:r>
      <w:r>
        <w:rPr>
          <w:noProof/>
        </w:rPr>
        <w:t>1</w:t>
      </w:r>
      <w:r>
        <w:fldChar w:fldCharType="end"/>
      </w:r>
      <w:bookmarkEnd w:id="60"/>
      <w:r>
        <w:t>: Model reaction system</w:t>
      </w:r>
      <w:bookmarkEnd w:id="61"/>
      <w:bookmarkEnd w:id="62"/>
    </w:p>
    <w:p w14:paraId="4480A4B4" w14:textId="61EC5B5D" w:rsidR="00A93D24" w:rsidRDefault="00A93D24" w:rsidP="00A93D24">
      <w:r>
        <w:t xml:space="preserve">In Jeong’s kinetic study, the assumption is that the reactions occur in non-oxidative conditions, which enhances the selectivity of the products </w:t>
      </w:r>
      <w:r>
        <w:fldChar w:fldCharType="begin"/>
      </w:r>
      <w:r w:rsidR="00CA7A9D">
        <w:instrText xml:space="preserve"> ADDIN ZOTERO_ITEM CSL_CITATION {"citationID":"FRPWBVVg","properties":{"formattedCitation":"[43]","plainCitation":"[43]","noteIndex":0},"citationItems":[{"id":608,"uris":["http://zotero.org/users/12063231/items/MLACFGR2"],"itemData":{"id":608,"type":"article-journal","abstract":"The dehydrogenation and aromatization of methane on modified ZSM-5 zeolite catalysts has been studied under non-oxidizing conditions with a fixed bed continuous-flow reactor and with a temperature programmed reactor. The results show that benzene is the only hydrocarbon product of the catalytic conversion of methane at high temperature (973 K). The catalytic activity of ZSM-5 is greatly improved by incorporating a metal cation (Mo or Zn). H2 and ethene have been directly detected in the products with a mass spectrometer during TPAR. A carbenium ion mechanism for the activation of methane is suggested.","container-title":"Catalysis Letters","DOI":"10.1007/BF00767368","ISSN":"1572-879X","issue":"1","journalAbbreviation":"Catal Lett","language":"en","page":"35-41","source":"Springer Link","title":"Dehydrogenation and aromatization of methane under non-oxidizing conditions","volume":"21","author":[{"family":"Wang","given":"Linsheng"},{"family":"Tao","given":"Longxiang"},{"family":"Xie","given":"Maosong"},{"family":"Xu","given":"Guifen"},{"family":"Huang","given":"Jiasheng"},{"family":"Xu","given":"Yide"}],"issued":{"date-parts":[["1993",3,1]]}}}],"schema":"https://github.com/citation-style-language/schema/raw/master/csl-citation.json"} </w:instrText>
      </w:r>
      <w:r>
        <w:fldChar w:fldCharType="separate"/>
      </w:r>
      <w:r w:rsidR="00CA7A9D" w:rsidRPr="00CA7A9D">
        <w:rPr>
          <w:rFonts w:ascii="Aptos" w:hAnsi="Aptos"/>
        </w:rPr>
        <w:t>[43]</w:t>
      </w:r>
      <w:r>
        <w:fldChar w:fldCharType="end"/>
      </w:r>
      <w:r>
        <w:t xml:space="preserve">. This would normally rule out the partial oxidation reaction since there is no pure oxygen in standard natural gas bulk flows. However, Duan et al. has noted that the electrolyte membranes used in PCFCs are not necessarily pure proton conductors, and have a small ability to conduct oxygen ions as well as protons </w:t>
      </w:r>
      <w:r>
        <w:fldChar w:fldCharType="begin"/>
      </w:r>
      <w:r w:rsidR="00CA7A9D">
        <w:instrText xml:space="preserve"> ADDIN ZOTERO_ITEM CSL_CITATION {"citationID":"JPOGwHNJ","properties":{"formattedCitation":"[11], [12], [72]","plainCitation":"[11], [12], [72]","noteIndex":0},"citationItems":[{"id":178,"uris":["http://zotero.org/users/12063231/items/67EFNYYN"],"itemData":{"id":178,"type":"article-journal","abstract":"Protonic ceramic fuel cells, like their higher-temperature solid-oxide fuel cell counterparts, can directly use both hydrogen and hydrocarbon fuels to produce electricity at potentially more than 50 per cent efficiency1,2. Most previous direct-hydrocarbon fuel cell research has focused on solid-oxide fuel cells based on oxygen-ion-conducting electrolytes, but carbon deposition (coking) and sulfur poisoning typically occur when such fuel cells are directly operated on hydrocarbon- and/or sulfur-containing fuels, resulting in severe performance degradation over time3–6. Despite studies suggesting good performance and anti-coking resistance in hydrocarbon-fuelled protonic ceramic fuel cells2,7,8, there have been no systematic studies of long-term durability. Here we present results from long-term testing of protonic ceramic fuel cells using a total of 11 different fuels (hydrogen, methane, domestic natural gas (with and without hydrogen sulfide), propane, n-butane, i-butane, iso-octane, methanol, ethanol and ammonia) at temperatures between 500 and 600 degrees Celsius. Several cells have been tested for over 6,000</w:instrText>
      </w:r>
      <w:r w:rsidR="00CA7A9D">
        <w:rPr>
          <w:rFonts w:ascii="Arial" w:hAnsi="Arial" w:cs="Arial"/>
        </w:rPr>
        <w:instrText> </w:instrText>
      </w:r>
      <w:r w:rsidR="00CA7A9D">
        <w:instrText>hours, and we demonstrate excellent performance and exceptional durability (less than 1.5 per cent degradation per 1,000</w:instrText>
      </w:r>
      <w:r w:rsidR="00CA7A9D">
        <w:rPr>
          <w:rFonts w:ascii="Arial" w:hAnsi="Arial" w:cs="Arial"/>
        </w:rPr>
        <w:instrText> </w:instrText>
      </w:r>
      <w:r w:rsidR="00CA7A9D">
        <w:instrText>hours in most cases) across all fuels without any modifications in the cell composition or architecture. Large fluctuations in temperature are tolerated, and coking is not observed even after thousands of hours of continuous operation. Finally, sulfur, a notorious poison for both low-temperature and high-temperature fuel cells, does not seem to affect the performance of protonic ceramic fuel cells when supplied at levels consistent with commercial fuels. The fuel flexibility and long-term durability demonstrated by the protonic ceramic fuel cell devices highlight the promise of this technology and its potential for commercial application.","container-title":"Nature","DOI":"10.1038/s41586-018-0082-6","ISSN":"1476-4687","issue":"7704","language":"en","license":"2018 Macmillan Publishers Ltd., part of Springer Nature","note":"number: 7704\npublisher: Nature Publishing Group","page":"217-222","source":"www.nature.com","title":"Highly durable, coking and sulfur tolerant, fuel-flexible protonic ceramic fuel cells","volume":"557","author":[{"family":"Duan","given":"Chuancheng"},{"family":"Kee","given":"Robert J."},{"family":"Zhu","given":"Huayang"},{"family":"Karakaya","given":"Canan"},{"family":"Chen","given":"Yachao"},{"family":"Ricote","given":"Sandrine"},{"family":"Jarry","given":"Angelique"},{"family":"Crumlin","given":"Ethan J."},{"family":"Hook","given":"David"},{"family":"Braun","given":"Robert"},{"family":"Sullivan","given":"Neal P."},{"family":"O’Hayre","given":"Ryan"}],"issued":{"date-parts":[["2018",5]]}},"label":"page"},{"id":197,"uris":["http://zotero.org/users/12063231/items/DQWPZNMK"],"itemData":{"id":197,"type":"article-journal","abstract":"Proton-conducting oxides are a class of solid-state ion-conducting ceramic materials that demonstrate significant hydrogen ion (proton) conductivity at intermediate temperatures (e.g., 300–700</w:instrText>
      </w:r>
      <w:r w:rsidR="00CA7A9D">
        <w:rPr>
          <w:rFonts w:ascii="Arial" w:hAnsi="Arial" w:cs="Arial"/>
        </w:rPr>
        <w:instrText> </w:instrText>
      </w:r>
      <w:r w:rsidR="00CA7A9D">
        <w:rPr>
          <w:rFonts w:ascii="Aptos" w:hAnsi="Aptos" w:cs="Aptos"/>
        </w:rPr>
        <w:instrText>°</w:instrText>
      </w:r>
      <w:r w:rsidR="00CA7A9D">
        <w:instrText>C). They are garnering significant attention due to several unique characteristics that distinguish them from both higher temperature oxygen ion conducting oxides and lower temperature proton-conducting polymers. By enabling proton-mediated electrochemistry under both dry and wet environments at moderate temperatures, protonic ceramics provide unique opportunities to enhance or synergize a diverse range of complementary electrochemical and thermochemical processes. Because of this potential, significant efforts have been devoted to advancing numerous energy-related applications using these materials. This review aims to comprehensively summarize these applications and analyze the most up-to-date and future developments of proton-conducting oxides. We aim to bring together this diverse subject matter by integrating the fundamentals of proton-conducting oxides with application-oriented insights. We begin with a historical roadmap, followed by a basic overview of the materials, theories and fundamentals, and fabrication and processing technologies underlying the field. The central section of our review summarizes major applications and developments of proton-conducting ceramics, ranging from maturing applications approaching commercialization to embryonic technologies just now emerging from the lab. These include protonic ceramic fuel cells, protonic ceramic electrolysis cells, reversible protonic ceramic electrochemical cells, protonic ceramic membrane reactors, and protonic ceramic electrochemical reactors. For each application, we analyze both the prospects and challenges and offer recommendations for future research directions so that tomorrow's researchers can continue to advance the development and commercialization of these fascinating materials.","container-title":"Applied Physics Reviews","issue":"1","page":"011314","title":"Proton-conducting oxides for energy conversion and storage","volume":"7","author":[{"family":"Duan","given":"Chuancheng"},{"family":"Huang","given":"Jake"},{"family":"Sullivan","given":"Neal"},{"family":"O’Hayre","given":"Ryan"}],"issued":{"date-parts":[["2020",3]]}},"label":"page"},{"id":198,"uris":["http://zotero.org/users/12063231/items/LUUF8MRS"],"itemData":{"id":198,"type":"article-journal","abstract":"Reversible fuel cells based on both proton exchange membrane fuel cell and solid oxide fuel cell technologies have been proposed to address energy storage and conversion challenges and to provide versatile pathways for renewable fuels production. Both technologies suffer challenges associated with cost, durability, low round-trip efficiency and the need to separate H2O from the product fuel. Here, we present a reversible protonic ceramic electrochemical cell based on an yttrium and ytterbium co-doped barium cerate–zirconate electrolyte and a triple-conducting oxide air/steam (reversible) electrode that addresses many of these issues. Our reversible protonic ceramic electrochemical cell achieves a high Faradaic efficiency (90–98%) and can operate endothermically with a &gt;97% overall electric-to-hydrogen energy conversion efficiency (based on the lower heating value of H2) at a current density of −1,000</w:instrText>
      </w:r>
      <w:r w:rsidR="00CA7A9D">
        <w:rPr>
          <w:rFonts w:ascii="Arial" w:hAnsi="Arial" w:cs="Arial"/>
        </w:rPr>
        <w:instrText> </w:instrText>
      </w:r>
      <w:r w:rsidR="00CA7A9D">
        <w:instrText>mA</w:instrText>
      </w:r>
      <w:r w:rsidR="00CA7A9D">
        <w:rPr>
          <w:rFonts w:ascii="Arial" w:hAnsi="Arial" w:cs="Arial"/>
        </w:rPr>
        <w:instrText> </w:instrText>
      </w:r>
      <w:r w:rsidR="00CA7A9D">
        <w:instrText>cm</w:instrText>
      </w:r>
      <w:r w:rsidR="00CA7A9D">
        <w:rPr>
          <w:rFonts w:ascii="Aptos" w:hAnsi="Aptos" w:cs="Aptos"/>
        </w:rPr>
        <w:instrText>−</w:instrText>
      </w:r>
      <w:r w:rsidR="00CA7A9D">
        <w:instrText>2. Even higher efficiencies are obtained for H2O electrolysis with co-fed CO2 to produce CO and CH4. We demonstrate a repeatable round-trip (electricity-to-hydrogen-to-electricity) efficiency of &gt;75% and stable operation, with a degradation rate of &lt;30</w:instrText>
      </w:r>
      <w:r w:rsidR="00CA7A9D">
        <w:rPr>
          <w:rFonts w:ascii="Arial" w:hAnsi="Arial" w:cs="Arial"/>
        </w:rPr>
        <w:instrText> </w:instrText>
      </w:r>
      <w:r w:rsidR="00CA7A9D">
        <w:instrText>mV over 1,000</w:instrText>
      </w:r>
      <w:r w:rsidR="00CA7A9D">
        <w:rPr>
          <w:rFonts w:ascii="Arial" w:hAnsi="Arial" w:cs="Arial"/>
        </w:rPr>
        <w:instrText> </w:instrText>
      </w:r>
      <w:r w:rsidR="00CA7A9D">
        <w:instrText xml:space="preserve">h.","container-title":"Nature Energy","DOI":"10.1038/s41560-019-0333-2","ISSN":"2058-7546","issue":"3","journalAbbreviation":"Nat Energy","language":"en","license":"2019 The Author(s), under exclusive licence to Springer Nature Limited","note":"number: 3\npublisher: Nature Publishing Group","page":"230-240","source":"www.nature.com","title":"Highly efficient reversible protonic ceramic electrochemical cells for power generation and fuel production","volume":"4","author":[{"family":"Duan","given":"Chuancheng"},{"family":"Kee","given":"Robert"},{"family":"Zhu","given":"Huayang"},{"family":"Sullivan","given":"Neal"},{"family":"Zhu","given":"Liangzhu"},{"family":"Bian","given":"Liuzhen"},{"family":"Jennings","given":"Dylan"},{"family":"O’Hayre","given":"Ryan"}],"issued":{"date-parts":[["2019",3]]}},"label":"page"}],"schema":"https://github.com/citation-style-language/schema/raw/master/csl-citation.json"} </w:instrText>
      </w:r>
      <w:r>
        <w:fldChar w:fldCharType="separate"/>
      </w:r>
      <w:r w:rsidR="00CA7A9D" w:rsidRPr="00CA7A9D">
        <w:rPr>
          <w:rFonts w:ascii="Aptos" w:hAnsi="Aptos"/>
        </w:rPr>
        <w:t>[11], [12], [72]</w:t>
      </w:r>
      <w:r>
        <w:fldChar w:fldCharType="end"/>
      </w:r>
      <w:r>
        <w:t xml:space="preserve">. Liu et al. has hypothesized that designing a PCFC electrolyte or catalyst with this feature in mind could significantly mitigate coking as the conducted oxygen from the air could react with the coke to create CO </w:t>
      </w:r>
      <w:r>
        <w:fldChar w:fldCharType="begin"/>
      </w:r>
      <w:r w:rsidR="008231CC">
        <w:instrText xml:space="preserve"> ADDIN ZOTERO_ITEM CSL_CITATION {"citationID":"rsDfqbjq","properties":{"formattedCitation":"[13]","plainCitation":"[13]","noteIndex":0},"citationItems":[{"id":187,"uris":["http://zotero.org/users/12063231/items/GPTSEBC5"],"itemData":{"id":187,"type":"article-journal","abstract":"Protonic ceramic electrochemical cells (PCECs) have been intensively studied as the technology that can be employed for power generation, energy storage, and sustainable chemical synthesis. Recently, there have been substantial advances in electrolyte and electrode materials for improving the performance of protonic ceramic fuel cells and protonic ceramic electrolyzers. However, the electrocatalytic materials development for synthesizing chemicals in PCECs has gained less attention, and there is a lack of systematic and fundamental understanding of the PCEC reactor design, reaction mechanisms, and electrode materials. This review comprehensively summarizes and critically evaluates the most up-to-date progress in employing PCECs to synthesize a wide range of chemicals, including ammonia, carbon monoxide, methane, light olefins, and aromatics. Factors that impact the conversion, selectivity, product yield, and energy efficiencies are discussed to provide new insights into designing electrochemical cells, developing electrode materials, and achieving economically viable chemical synthesis. The primary challenges associated with producing chemicals in PCECs are highlighted. Approaches to tackle these challenges are then offered, with a particular focus on deliberately designing electrode materials, aiming to achieve practically valuable product yield and energy efficiency. Finally, perspectives on the future development of PCECs for synthesizing sustainable chemicals are provided.","container-title":"Advanced Science","DOI":"10.1002/advs.202206478","ISSN":"2198-3844","issue":"8","language":"en","license":"© 2023 The Authors. Advanced Science published by Wiley-VCH GmbH","note":"_eprint: https://onlinelibrary.wiley.com/doi/pdf/10.1002/advs.202206478","page":"2206478","source":"Wiley Online Library","title":"Protonic Ceramic Electrochemical Cells for Synthesizing Sustainable Chemicals and Fuels","volume":"10","author":[{"family":"Liu","given":"Fan"},{"family":"Ding","given":"Dong"},{"family":"Duan","given":"Chuancheng"}],"issued":{"date-parts":[["2023"]]}}}],"schema":"https://github.com/citation-style-language/schema/raw/master/csl-citation.json"} </w:instrText>
      </w:r>
      <w:r>
        <w:fldChar w:fldCharType="separate"/>
      </w:r>
      <w:r w:rsidR="008231CC" w:rsidRPr="008231CC">
        <w:rPr>
          <w:rFonts w:ascii="Aptos" w:hAnsi="Aptos"/>
        </w:rPr>
        <w:t>[13]</w:t>
      </w:r>
      <w:r>
        <w:fldChar w:fldCharType="end"/>
      </w:r>
      <w:r>
        <w:t xml:space="preserve">. </w:t>
      </w:r>
      <w:r>
        <w:rPr>
          <w:kern w:val="0"/>
          <w14:ligatures w14:val="none"/>
        </w:rPr>
        <w:t>This understanding of the partial oxidation reaction can be characterized by its chemical equation of</w:t>
      </w:r>
    </w:p>
    <w:p w14:paraId="163B5447" w14:textId="77777777" w:rsidR="00A93D24" w:rsidRPr="00ED0DA8" w:rsidRDefault="00A93D24" w:rsidP="00A93D24">
      <w:pPr>
        <w:jc w:val="right"/>
        <w:rPr>
          <w:rFonts w:eastAsiaTheme="minorEastAsia"/>
        </w:rPr>
      </w:pPr>
      <m:oMath>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rPr>
              <m:t>4</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→CO+2</m:t>
        </m:r>
        <m:sSub>
          <m:sSubPr>
            <m:ctrlPr>
              <w:rPr>
                <w:rFonts w:ascii="Cambria Math" w:hAnsi="Cambria Math"/>
                <w:i/>
              </w:rPr>
            </m:ctrlPr>
          </m:sSubPr>
          <m:e>
            <m:r>
              <w:rPr>
                <w:rFonts w:ascii="Cambria Math" w:hAnsi="Cambria Math"/>
              </w:rPr>
              <m:t>H</m:t>
            </m:r>
          </m:e>
          <m:sub>
            <m:r>
              <w:rPr>
                <w:rFonts w:ascii="Cambria Math" w:hAnsi="Cambria Math"/>
              </w:rPr>
              <m:t>2</m:t>
            </m:r>
          </m:sub>
        </m:sSub>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(3.1)</w:t>
      </w:r>
    </w:p>
    <w:p w14:paraId="7D1CD4D2" w14:textId="77777777" w:rsidR="00A93D24" w:rsidRDefault="00A93D24" w:rsidP="00A93D24"/>
    <w:p w14:paraId="561D82DC" w14:textId="09BB9341" w:rsidR="00A93D24" w:rsidRDefault="00A93D24" w:rsidP="00A93D24">
      <w:pPr>
        <w:rPr>
          <w:rFonts w:eastAsiaTheme="minorEastAsia"/>
        </w:rPr>
      </w:pPr>
      <w:r>
        <w:t xml:space="preserve">In most studies where methane </w:t>
      </w:r>
      <w:r w:rsidR="001744DF">
        <w:t>is</w:t>
      </w:r>
      <w:r>
        <w:t xml:space="preserve"> considered as the fuel for a PCFC, water </w:t>
      </w:r>
      <w:r w:rsidR="001744DF">
        <w:t>i</w:t>
      </w:r>
      <w:r>
        <w:t xml:space="preserve">s also mixed in to enhance the results </w:t>
      </w:r>
      <w:r>
        <w:fldChar w:fldCharType="begin"/>
      </w:r>
      <w:r w:rsidR="008231CC">
        <w:instrText xml:space="preserve"> ADDIN ZOTERO_ITEM CSL_CITATION {"citationID":"a0bWvniq","properties":{"formattedCitation":"[12]","plainCitation":"[12]","noteIndex":0},"citationItems":[{"id":178,"uris":["http://zotero.org/users/12063231/items/67EFNYYN"],"itemData":{"id":178,"type":"article-journal","abstract":"Protonic ceramic fuel cells, like their higher-temperature solid-oxide fuel cell counterparts, can directly use both hydrogen and hydrocarbon fuels to produce electricity at potentially more than 50 per cent efficiency1,2. Most previous direct-hydrocarbon fuel cell research has focused on solid-oxide fuel cells based on oxygen-ion-conducting electrolytes, but carbon deposition (coking) and sulfur poisoning typically occur when such fuel cells are directly operated on hydrocarbon- and/or sulfur-containing fuels, resulting in severe performance degradation over time3–6. Despite studies suggesting good performance and anti-coking resistance in hydrocarbon-fuelled protonic ceramic fuel cells2,7,8, there have been no systematic studies of long-term durability. Here we present results from long-term testing of protonic ceramic fuel cells using a total of 11 different fuels (hydrogen, methane, domestic natural gas (with and without hydrogen sulfide), propane, n-butane, i-butane, iso-octane, methanol, ethanol and ammonia) at temperatures between 500 and 600 degrees Celsius. Several cells have been tested for over 6,000</w:instrText>
      </w:r>
      <w:r w:rsidR="008231CC">
        <w:rPr>
          <w:rFonts w:ascii="Arial" w:hAnsi="Arial" w:cs="Arial"/>
        </w:rPr>
        <w:instrText> </w:instrText>
      </w:r>
      <w:r w:rsidR="008231CC">
        <w:instrText>hours, and we demonstrate excellent performance and exceptional durability (less than 1.5 per cent degradation per 1,000</w:instrText>
      </w:r>
      <w:r w:rsidR="008231CC">
        <w:rPr>
          <w:rFonts w:ascii="Arial" w:hAnsi="Arial" w:cs="Arial"/>
        </w:rPr>
        <w:instrText> </w:instrText>
      </w:r>
      <w:r w:rsidR="008231CC">
        <w:instrText xml:space="preserve">hours in most cases) across all fuels without any modifications in the cell composition or architecture. Large fluctuations in temperature are tolerated, and coking is not observed even after thousands of hours of continuous operation. Finally, sulfur, a notorious poison for both low-temperature and high-temperature fuel cells, does not seem to affect the performance of protonic ceramic fuel cells when supplied at levels consistent with commercial fuels. The fuel flexibility and long-term durability demonstrated by the protonic ceramic fuel cell devices highlight the promise of this technology and its potential for commercial application.","container-title":"Nature","DOI":"10.1038/s41586-018-0082-6","ISSN":"1476-4687","issue":"7704","language":"en","license":"2018 Macmillan Publishers Ltd., part of Springer Nature","note":"number: 7704\npublisher: Nature Publishing Group","page":"217-222","source":"www.nature.com","title":"Highly durable, coking and sulfur tolerant, fuel-flexible protonic ceramic fuel cells","volume":"557","author":[{"family":"Duan","given":"Chuancheng"},{"family":"Kee","given":"Robert J."},{"family":"Zhu","given":"Huayang"},{"family":"Karakaya","given":"Canan"},{"family":"Chen","given":"Yachao"},{"family":"Ricote","given":"Sandrine"},{"family":"Jarry","given":"Angelique"},{"family":"Crumlin","given":"Ethan J."},{"family":"Hook","given":"David"},{"family":"Braun","given":"Robert"},{"family":"Sullivan","given":"Neal P."},{"family":"O’Hayre","given":"Ryan"}],"issued":{"date-parts":[["2018",5]]}}}],"schema":"https://github.com/citation-style-language/schema/raw/master/csl-citation.json"} </w:instrText>
      </w:r>
      <w:r>
        <w:fldChar w:fldCharType="separate"/>
      </w:r>
      <w:r w:rsidR="008231CC" w:rsidRPr="008231CC">
        <w:rPr>
          <w:rFonts w:ascii="Aptos" w:hAnsi="Aptos"/>
        </w:rPr>
        <w:t>[12]</w:t>
      </w:r>
      <w:r>
        <w:fldChar w:fldCharType="end"/>
      </w:r>
      <w:r>
        <w:t>. So, a small amount of water is considered in the inlet stream, which naturally induce</w:t>
      </w:r>
      <w:r w:rsidR="00EB20BB">
        <w:t>s</w:t>
      </w:r>
      <w:r>
        <w:t xml:space="preserve"> the steam reforming and water gas shift reactions, especially at the higher operating temperatures like 700</w:t>
      </w:r>
      <m:oMath>
        <m:r>
          <w:rPr>
            <w:rFonts w:ascii="Cambria Math" w:hAnsi="Cambria Math"/>
          </w:rPr>
          <m:t>°</m:t>
        </m:r>
      </m:oMath>
      <w:r>
        <w:rPr>
          <w:rFonts w:eastAsiaTheme="minorEastAsia"/>
        </w:rPr>
        <w:t>C. The steam reforming and water gas shift reactions are given respectively by</w:t>
      </w:r>
    </w:p>
    <w:p w14:paraId="45321474" w14:textId="77777777" w:rsidR="00A93D24" w:rsidRPr="0038019A" w:rsidRDefault="00A93D24" w:rsidP="00A93D24">
      <w:pPr>
        <w:jc w:val="right"/>
        <w:rPr>
          <w:rFonts w:eastAsiaTheme="minorEastAsia"/>
        </w:rPr>
      </w:pPr>
      <m:oMath>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O→CO+3</m:t>
        </m:r>
        <m:sSub>
          <m:sSubPr>
            <m:ctrlPr>
              <w:rPr>
                <w:rFonts w:ascii="Cambria Math" w:hAnsi="Cambria Math"/>
                <w:i/>
              </w:rPr>
            </m:ctrlPr>
          </m:sSubPr>
          <m:e>
            <m:r>
              <w:rPr>
                <w:rFonts w:ascii="Cambria Math" w:hAnsi="Cambria Math"/>
              </w:rPr>
              <m:t>H</m:t>
            </m:r>
          </m:e>
          <m:sub>
            <m:r>
              <w:rPr>
                <w:rFonts w:ascii="Cambria Math" w:hAnsi="Cambria Math"/>
              </w:rPr>
              <m:t>2</m:t>
            </m:r>
          </m:sub>
        </m:sSub>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(3.2)</w:t>
      </w:r>
    </w:p>
    <w:p w14:paraId="2D477A83" w14:textId="77777777" w:rsidR="00A93D24" w:rsidRDefault="00A93D24" w:rsidP="00A93D24">
      <w:pPr>
        <w:jc w:val="right"/>
        <w:rPr>
          <w:rFonts w:eastAsiaTheme="minorEastAsia"/>
        </w:rPr>
      </w:pPr>
      <m:oMath>
        <m:r>
          <w:rPr>
            <w:rFonts w:ascii="Cambria Math" w:hAnsi="Cambria Math"/>
          </w:rPr>
          <m:t>CO+</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O→C</m:t>
        </m:r>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2</m:t>
            </m:r>
          </m:sub>
        </m:sSub>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(3.3)</w:t>
      </w:r>
    </w:p>
    <w:p w14:paraId="2A33BB4C" w14:textId="77777777" w:rsidR="00A93D24" w:rsidRDefault="00A93D24" w:rsidP="00A93D24">
      <w:pPr>
        <w:pStyle w:val="Heading3"/>
      </w:pPr>
      <w:bookmarkStart w:id="63" w:name="_Toc165641068"/>
      <w:r>
        <w:t>3.2.2 Reaction Rates</w:t>
      </w:r>
      <w:bookmarkEnd w:id="63"/>
    </w:p>
    <w:p w14:paraId="1DA525EF" w14:textId="46AC998D" w:rsidR="00A93D24" w:rsidRDefault="00A93D24" w:rsidP="00A93D24">
      <w:pPr>
        <w:rPr>
          <w:color w:val="FF0000"/>
        </w:rPr>
      </w:pPr>
      <w:r>
        <w:t xml:space="preserve">The reaction rates for steam reforming and water gas shift reactions in the presence of a catalyst are well documented. In this study, the work of Timmerman et al. </w:t>
      </w:r>
      <w:r>
        <w:fldChar w:fldCharType="begin"/>
      </w:r>
      <w:r w:rsidR="00CA7A9D">
        <w:instrText xml:space="preserve"> ADDIN ZOTERO_ITEM CSL_CITATION {"citationID":"ssLnRoAx","properties":{"formattedCitation":"[79]","plainCitation":"[79]","noteIndex":0},"citationItems":[{"id":801,"uris":["http://zotero.org/users/12063231/items/8SDENHQE"],"itemData":{"id":801,"type":"article-journal","abstract":"The internal reforming of methane in a solid oxide fuel cell (SOFC) is investigated and modeled for flow conditions relevant to operation. To this end, measurements are performed on anode-supported cells (ASC), thereby varying gas composition (yCO=4–15%, yH2=5−17%, yCO2=6−18%, yH2O=2−30%, yCH4=0.1−20%) and temperature (600–850°C). In this way, operating conditions for both stationary applications (methane-rich pre-reformate) as well as for auxiliary power unit (APU) applications (diesel-POX reformate) are represented. The reforming reaction is monitored in five different positions alongside the anodic gas channel by means of gas chromatography. It is shown that methane is converted in the flow field for methane-rich gas compositions, whereas under operation with diesel reformate the direction of the reaction is reversed for temperatures below 675°C, i.e. (exothermic) methanation occurs along the anode. Using a reaction model, a rate equation for reforming could be derived which is also valid in the case of methanation. By introducing this equation into the reaction model the methane conversion along a catalytically active Ni-YSZ cermet SOFC anode can be simulated for the operating conditions specified above.","container-title":"Journal of Power Sources","DOI":"10.1016/j.jpowsour.2009.07.019","ISSN":"0378-7753","issue":"1","journalAbbreviation":"Journal of Power Sources","page":"214-222","source":"ScienceDirect","title":"Kinetics of (reversible) internal reforming of methane in solid oxide fuel cells under stationary and APU conditions","volume":"195","author":[{"family":"Timmermann","given":"H."},{"family":"Sawady","given":"W."},{"family":"Reimert","given":"R."},{"family":"Ivers-Tiffée","given":"E."}],"issued":{"date-parts":[["2010",1,1]]}}}],"schema":"https://github.com/citation-style-language/schema/raw/master/csl-citation.json"} </w:instrText>
      </w:r>
      <w:r>
        <w:fldChar w:fldCharType="separate"/>
      </w:r>
      <w:r w:rsidR="00CA7A9D" w:rsidRPr="00CA7A9D">
        <w:rPr>
          <w:rFonts w:ascii="Aptos" w:hAnsi="Aptos"/>
        </w:rPr>
        <w:t>[79]</w:t>
      </w:r>
      <w:r>
        <w:fldChar w:fldCharType="end"/>
      </w:r>
      <w:r>
        <w:t xml:space="preserve"> </w:t>
      </w:r>
      <w:r w:rsidR="002A73B8">
        <w:t>is</w:t>
      </w:r>
      <w:r>
        <w:t xml:space="preserve"> used to model the steam reforming, while the water gas shift followed the work of Lehnert </w:t>
      </w:r>
      <w:r>
        <w:fldChar w:fldCharType="begin"/>
      </w:r>
      <w:r w:rsidR="00CA7A9D">
        <w:instrText xml:space="preserve"> ADDIN ZOTERO_ITEM CSL_CITATION {"citationID":"a1puvnvkhod","properties":{"formattedCitation":"[80]","plainCitation":"[80]","noteIndex":0},"citationItems":[{"id":852,"uris":["http://zotero.org/users/12063231/items/R7HEN8CH"],"itemData":{"id":852,"type":"article-journal","abstract":"Internal steam reforming in SOFC cells leads to inhomogeneous temperature distributions according to the fast reforming reaction kinetics. This results in thermal induced stresses and may lead therefor to mechanical failure of the material. A one-dimensional numerical simulation program has been developed to describe the transport of gases inside the SOFC anode due to diffusion and permeation as well as the kinetic of the reforming reaction and the electrochemistry. Simulations with experimentally determined reaction rates and structural properties of the anode materials have been performed. In order to reduce the methane conversion rate, a sensitivity analysis has been performed. It can be shown, e.g., that a reduction of the structural parameter ψ which is the ratio of porosity ε to tortuosity δ of 26.28% compared to standard material leads to a lowering of the methane conversion rate of 12.24%. Finally, produced cermets are screened in view of a conversion lowering effect.","container-title":"Journal of Power Sources","DOI":"10.1016/S0378-7753(99)00356-0","ISSN":"0378-7753","issue":"1","journalAbbreviation":"Journal of Power Sources","page":"57-63","source":"ScienceDirect","title":"Modelling of gas transport phenomena in SOFC anodes","volume":"87","author":[{"family":"Lehnert","given":"W."},{"family":"Meusinger","given":"J."},{"family":"Thom","given":"F."}],"issued":{"date-parts":[["2000",4,1]]}}}],"schema":"https://github.com/citation-style-language/schema/raw/master/csl-citation.json"} </w:instrText>
      </w:r>
      <w:r>
        <w:fldChar w:fldCharType="separate"/>
      </w:r>
      <w:r w:rsidR="00CA7A9D" w:rsidRPr="00CA7A9D">
        <w:rPr>
          <w:rFonts w:ascii="Aptos" w:hAnsi="Aptos"/>
        </w:rPr>
        <w:t>[80]</w:t>
      </w:r>
      <w:r>
        <w:fldChar w:fldCharType="end"/>
      </w:r>
      <w:r>
        <w:t xml:space="preserve">. </w:t>
      </w:r>
      <w:r w:rsidRPr="008B1656">
        <w:t>These yielded the following formulas for the reaction rate:</w:t>
      </w:r>
    </w:p>
    <w:p w14:paraId="63ACF4B3" w14:textId="77777777" w:rsidR="00A93D24" w:rsidRDefault="00A93D24" w:rsidP="00A93D24">
      <w:pPr>
        <w:rPr>
          <w:rFonts w:eastAsiaTheme="minorEastAsia"/>
        </w:rPr>
      </w:pPr>
    </w:p>
    <w:p w14:paraId="7D345DAD" w14:textId="77777777" w:rsidR="00A93D24" w:rsidRDefault="00924E48" w:rsidP="00A93D24">
      <w:pPr>
        <w:jc w:val="right"/>
        <w:rPr>
          <w:rFonts w:eastAsiaTheme="minorEastAsia"/>
        </w:rPr>
      </w:pPr>
      <m:oMath>
        <m:sSub>
          <m:sSubPr>
            <m:ctrlPr>
              <w:rPr>
                <w:rFonts w:ascii="Cambria Math" w:hAnsi="Cambria Math"/>
                <w:i/>
              </w:rPr>
            </m:ctrlPr>
          </m:sSubPr>
          <m:e>
            <m:r>
              <w:rPr>
                <w:rFonts w:ascii="Cambria Math" w:hAnsi="Cambria Math"/>
              </w:rPr>
              <m:t>r</m:t>
            </m:r>
          </m:e>
          <m:sub>
            <m:r>
              <w:rPr>
                <w:rFonts w:ascii="Cambria Math" w:hAnsi="Cambria Math"/>
              </w:rPr>
              <m:t>sr</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sr</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rPr>
                  <m:t>4</m:t>
                </m:r>
              </m:sub>
            </m:sSub>
          </m:sub>
        </m:sSub>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sub>
        </m:sSub>
        <m:r>
          <w:rPr>
            <w:rFonts w:ascii="Cambria Math" w:hAnsi="Cambria Math"/>
          </w:rPr>
          <m:t>*</m:t>
        </m:r>
        <m:d>
          <m:dPr>
            <m:ctrlPr>
              <w:rPr>
                <w:rFonts w:ascii="Cambria Math" w:hAnsi="Cambria Math"/>
                <w:i/>
              </w:rPr>
            </m:ctrlPr>
          </m:dPr>
          <m:e>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CO</m:t>
                    </m:r>
                  </m:sub>
                </m:sSub>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H</m:t>
                        </m:r>
                      </m:e>
                      <m:sub>
                        <m:r>
                          <w:rPr>
                            <w:rFonts w:ascii="Cambria Math" w:hAnsi="Cambria Math"/>
                          </w:rPr>
                          <m:t>2</m:t>
                        </m:r>
                      </m:sub>
                    </m:sSub>
                  </m:sub>
                </m:sSub>
              </m:num>
              <m:den>
                <m:sSub>
                  <m:sSubPr>
                    <m:ctrlPr>
                      <w:rPr>
                        <w:rFonts w:ascii="Cambria Math" w:hAnsi="Cambria Math"/>
                        <w:i/>
                      </w:rPr>
                    </m:ctrlPr>
                  </m:sSubPr>
                  <m:e>
                    <m:r>
                      <w:rPr>
                        <w:rFonts w:ascii="Cambria Math" w:hAnsi="Cambria Math"/>
                      </w:rPr>
                      <m:t>K</m:t>
                    </m:r>
                  </m:e>
                  <m:sub>
                    <m:r>
                      <w:rPr>
                        <w:rFonts w:ascii="Cambria Math" w:hAnsi="Cambria Math"/>
                      </w:rPr>
                      <m:t>eq</m:t>
                    </m:r>
                    <m:r>
                      <w:rPr>
                        <w:rFonts w:ascii="Cambria Math" w:hAnsi="Cambria Math"/>
                      </w:rPr>
                      <m:t>,</m:t>
                    </m:r>
                    <m:r>
                      <w:rPr>
                        <w:rFonts w:ascii="Cambria Math" w:hAnsi="Cambria Math"/>
                      </w:rPr>
                      <m:t>sr</m:t>
                    </m:r>
                  </m:sub>
                </m:sSub>
                <m:sSub>
                  <m:sSubPr>
                    <m:ctrlPr>
                      <w:rPr>
                        <w:rFonts w:ascii="Cambria Math" w:hAnsi="Cambria Math"/>
                        <w:i/>
                      </w:rPr>
                    </m:ctrlPr>
                  </m:sSubPr>
                  <m:e>
                    <m:r>
                      <w:rPr>
                        <w:rFonts w:ascii="Cambria Math" w:hAnsi="Cambria Math"/>
                      </w:rPr>
                      <m:t>P</m:t>
                    </m:r>
                  </m:e>
                  <m:sub>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rPr>
                          <m:t>4</m:t>
                        </m:r>
                      </m:sub>
                    </m:sSub>
                  </m:sub>
                </m:sSub>
                <m:r>
                  <w:rPr>
                    <w:rFonts w:ascii="Cambria Math" w:hAnsi="Cambria Math"/>
                  </w:rPr>
                  <m:t>P</m:t>
                </m:r>
              </m:den>
            </m:f>
          </m:e>
        </m:d>
        <m:r>
          <w:rPr>
            <w:rFonts w:ascii="Cambria Math" w:hAnsi="Cambria Math"/>
          </w:rPr>
          <m:t>*</m:t>
        </m:r>
        <m:r>
          <w:rPr>
            <w:rFonts w:ascii="Cambria Math" w:hAnsi="Cambria Math"/>
          </w:rPr>
          <m:t>A</m:t>
        </m:r>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sr</m:t>
            </m:r>
          </m:sub>
        </m:sSub>
      </m:oMath>
      <w:r w:rsidR="00A93D24">
        <w:rPr>
          <w:rFonts w:eastAsiaTheme="minorEastAsia"/>
        </w:rPr>
        <w:tab/>
      </w:r>
      <w:r w:rsidR="00A93D24">
        <w:rPr>
          <w:rFonts w:eastAsiaTheme="minorEastAsia"/>
        </w:rPr>
        <w:tab/>
      </w:r>
      <w:r w:rsidR="00A93D24">
        <w:rPr>
          <w:rFonts w:eastAsiaTheme="minorEastAsia"/>
        </w:rPr>
        <w:tab/>
        <w:t>(3.4)</w:t>
      </w:r>
    </w:p>
    <w:p w14:paraId="5CFAB034" w14:textId="77777777" w:rsidR="00A93D24" w:rsidRPr="008253F4" w:rsidRDefault="00924E48" w:rsidP="00A93D24">
      <w:pPr>
        <w:ind w:firstLine="0"/>
        <w:jc w:val="right"/>
        <w:rPr>
          <w:rFonts w:eastAsiaTheme="minorEastAsia"/>
        </w:rPr>
      </w:pPr>
      <m:oMath>
        <m:sSub>
          <m:sSubPr>
            <m:ctrlPr>
              <w:rPr>
                <w:rFonts w:ascii="Cambria Math" w:hAnsi="Cambria Math"/>
                <w:i/>
                <w:vertAlign w:val="subscript"/>
              </w:rPr>
            </m:ctrlPr>
          </m:sSubPr>
          <m:e>
            <m:r>
              <w:rPr>
                <w:rFonts w:ascii="Cambria Math" w:hAnsi="Cambria Math"/>
                <w:vertAlign w:val="subscript"/>
              </w:rPr>
              <m:t>r</m:t>
            </m:r>
          </m:e>
          <m:sub>
            <m:r>
              <w:rPr>
                <w:rFonts w:ascii="Cambria Math" w:hAnsi="Cambria Math"/>
                <w:vertAlign w:val="subscript"/>
              </w:rPr>
              <m:t>wgs</m:t>
            </m:r>
          </m:sub>
        </m:sSub>
        <m:r>
          <w:rPr>
            <w:rFonts w:ascii="Cambria Math" w:hAnsi="Cambria Math"/>
            <w:vertAlign w:val="subscript"/>
          </w:rPr>
          <m:t>=</m:t>
        </m:r>
        <m:sSub>
          <m:sSubPr>
            <m:ctrlPr>
              <w:rPr>
                <w:rFonts w:ascii="Cambria Math" w:hAnsi="Cambria Math"/>
                <w:i/>
                <w:vertAlign w:val="subscript"/>
              </w:rPr>
            </m:ctrlPr>
          </m:sSubPr>
          <m:e>
            <m:r>
              <w:rPr>
                <w:rFonts w:ascii="Cambria Math" w:hAnsi="Cambria Math"/>
                <w:vertAlign w:val="subscript"/>
              </w:rPr>
              <m:t>k</m:t>
            </m:r>
          </m:e>
          <m:sub>
            <m:r>
              <w:rPr>
                <w:rFonts w:ascii="Cambria Math" w:hAnsi="Cambria Math"/>
                <w:vertAlign w:val="subscript"/>
              </w:rPr>
              <m:t>wgs</m:t>
            </m:r>
          </m:sub>
        </m:sSub>
        <m:sSub>
          <m:sSubPr>
            <m:ctrlPr>
              <w:rPr>
                <w:rFonts w:ascii="Cambria Math" w:hAnsi="Cambria Math"/>
                <w:i/>
                <w:vertAlign w:val="subscript"/>
              </w:rPr>
            </m:ctrlPr>
          </m:sSubPr>
          <m:e>
            <m:r>
              <w:rPr>
                <w:rFonts w:ascii="Cambria Math" w:hAnsi="Cambria Math"/>
                <w:vertAlign w:val="subscript"/>
              </w:rPr>
              <m:t>P</m:t>
            </m:r>
          </m:e>
          <m:sub>
            <m:r>
              <w:rPr>
                <w:rFonts w:ascii="Cambria Math" w:hAnsi="Cambria Math"/>
                <w:vertAlign w:val="subscript"/>
              </w:rPr>
              <m:t>CO</m:t>
            </m:r>
          </m:sub>
        </m:sSub>
        <m:sSub>
          <m:sSubPr>
            <m:ctrlPr>
              <w:rPr>
                <w:rFonts w:ascii="Cambria Math" w:hAnsi="Cambria Math"/>
                <w:i/>
                <w:vertAlign w:val="subscript"/>
              </w:rPr>
            </m:ctrlPr>
          </m:sSubPr>
          <m:e>
            <m:r>
              <w:rPr>
                <w:rFonts w:ascii="Cambria Math" w:hAnsi="Cambria Math"/>
                <w:vertAlign w:val="subscript"/>
              </w:rPr>
              <m:t>P</m:t>
            </m:r>
          </m:e>
          <m:sub>
            <m:sSub>
              <m:sSubPr>
                <m:ctrlPr>
                  <w:rPr>
                    <w:rFonts w:ascii="Cambria Math" w:hAnsi="Cambria Math"/>
                    <w:i/>
                    <w:vertAlign w:val="subscript"/>
                  </w:rPr>
                </m:ctrlPr>
              </m:sSubPr>
              <m:e>
                <m:r>
                  <w:rPr>
                    <w:rFonts w:ascii="Cambria Math" w:hAnsi="Cambria Math"/>
                    <w:vertAlign w:val="subscript"/>
                  </w:rPr>
                  <m:t>H</m:t>
                </m:r>
              </m:e>
              <m:sub>
                <m:r>
                  <w:rPr>
                    <w:rFonts w:ascii="Cambria Math" w:hAnsi="Cambria Math"/>
                    <w:vertAlign w:val="subscript"/>
                  </w:rPr>
                  <m:t>2</m:t>
                </m:r>
              </m:sub>
            </m:sSub>
            <m:r>
              <w:rPr>
                <w:rFonts w:ascii="Cambria Math" w:hAnsi="Cambria Math"/>
                <w:vertAlign w:val="subscript"/>
              </w:rPr>
              <m:t>O</m:t>
            </m:r>
          </m:sub>
        </m:sSub>
        <m:r>
          <w:rPr>
            <w:rFonts w:ascii="Cambria Math" w:hAnsi="Cambria Math"/>
            <w:vertAlign w:val="subscript"/>
          </w:rPr>
          <m:t>*</m:t>
        </m:r>
        <m:r>
          <w:rPr>
            <w:rFonts w:ascii="Cambria Math" w:hAnsi="Cambria Math"/>
            <w:vertAlign w:val="subscript"/>
          </w:rPr>
          <m:t>A</m:t>
        </m:r>
        <m:r>
          <w:rPr>
            <w:rFonts w:ascii="Cambria Math" w:hAnsi="Cambria Math"/>
            <w:vertAlign w:val="subscript"/>
          </w:rPr>
          <m:t>*</m:t>
        </m:r>
        <m:sSub>
          <m:sSubPr>
            <m:ctrlPr>
              <w:rPr>
                <w:rFonts w:ascii="Cambria Math" w:hAnsi="Cambria Math"/>
                <w:i/>
                <w:vertAlign w:val="subscript"/>
              </w:rPr>
            </m:ctrlPr>
          </m:sSubPr>
          <m:e>
            <m:r>
              <w:rPr>
                <w:rFonts w:ascii="Cambria Math" w:hAnsi="Cambria Math"/>
                <w:vertAlign w:val="subscript"/>
              </w:rPr>
              <m:t>α</m:t>
            </m:r>
          </m:e>
          <m:sub>
            <m:r>
              <w:rPr>
                <w:rFonts w:ascii="Cambria Math" w:hAnsi="Cambria Math"/>
                <w:vertAlign w:val="subscript"/>
              </w:rPr>
              <m:t>wgs</m:t>
            </m:r>
          </m:sub>
        </m:sSub>
      </m:oMath>
      <w:r w:rsidR="00A93D24">
        <w:rPr>
          <w:rFonts w:eastAsiaTheme="minorEastAsia"/>
          <w:vertAlign w:val="subscript"/>
        </w:rPr>
        <w:tab/>
      </w:r>
      <w:r w:rsidR="00A93D24">
        <w:rPr>
          <w:rFonts w:eastAsiaTheme="minorEastAsia"/>
        </w:rPr>
        <w:tab/>
      </w:r>
      <w:r w:rsidR="00A93D24">
        <w:rPr>
          <w:rFonts w:eastAsiaTheme="minorEastAsia"/>
        </w:rPr>
        <w:tab/>
      </w:r>
      <w:r w:rsidR="00A93D24">
        <w:rPr>
          <w:rFonts w:eastAsiaTheme="minorEastAsia"/>
        </w:rPr>
        <w:tab/>
        <w:t>(3.5)</w:t>
      </w:r>
    </w:p>
    <w:p w14:paraId="1846AC8F" w14:textId="387C34CA" w:rsidR="00A93D24" w:rsidRDefault="00A93D24" w:rsidP="00A93D24">
      <w:pPr>
        <w:ind w:firstLine="0"/>
        <w:rPr>
          <w:rFonts w:eastAsiaTheme="minorEastAsia"/>
        </w:rPr>
      </w:pPr>
      <w:r>
        <w:rPr>
          <w:rFonts w:eastAsiaTheme="minorEastAsia"/>
        </w:rPr>
        <w:t xml:space="preserve">where </w:t>
      </w:r>
      <m:oMath>
        <m:r>
          <w:rPr>
            <w:rFonts w:ascii="Cambria Math" w:eastAsiaTheme="minorEastAsia" w:hAnsi="Cambria Math"/>
          </w:rPr>
          <m:t>r</m:t>
        </m:r>
      </m:oMath>
      <w:r>
        <w:rPr>
          <w:rFonts w:eastAsiaTheme="minorEastAsia"/>
        </w:rPr>
        <w:t xml:space="preserve"> is the reaction rate for the corresponding reaction, </w:t>
      </w:r>
      <m:oMath>
        <m:r>
          <w:rPr>
            <w:rFonts w:ascii="Cambria Math" w:eastAsiaTheme="minorEastAsia" w:hAnsi="Cambria Math"/>
          </w:rPr>
          <m:t>k</m:t>
        </m:r>
      </m:oMath>
      <w:r>
        <w:rPr>
          <w:rFonts w:eastAsiaTheme="minorEastAsia"/>
        </w:rPr>
        <w:t xml:space="preserve"> is the rate constant,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s</m:t>
            </m:r>
          </m:sub>
        </m:sSub>
      </m:oMath>
      <w:r>
        <w:rPr>
          <w:rFonts w:eastAsiaTheme="minorEastAsia"/>
        </w:rPr>
        <w:t xml:space="preserve"> is the partial pressure of species </w:t>
      </w:r>
      <m:oMath>
        <m:r>
          <w:rPr>
            <w:rFonts w:ascii="Cambria Math" w:eastAsiaTheme="minorEastAsia" w:hAnsi="Cambria Math"/>
          </w:rPr>
          <m:t>s</m:t>
        </m:r>
      </m:oMath>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eq,sr</m:t>
            </m:r>
          </m:sub>
        </m:sSub>
      </m:oMath>
      <w:r>
        <w:rPr>
          <w:rFonts w:eastAsiaTheme="minorEastAsia"/>
        </w:rPr>
        <w:t xml:space="preserve"> is the equilibrium constant for steam reforming, </w:t>
      </w:r>
      <m:oMath>
        <m:r>
          <w:rPr>
            <w:rFonts w:ascii="Cambria Math" w:eastAsiaTheme="minorEastAsia" w:hAnsi="Cambria Math"/>
          </w:rPr>
          <m:t>A</m:t>
        </m:r>
      </m:oMath>
      <w:r>
        <w:rPr>
          <w:rFonts w:eastAsiaTheme="minorEastAsia"/>
        </w:rPr>
        <w:t xml:space="preserve"> is the active area for the reaction, and </w:t>
      </w:r>
      <m:oMath>
        <m:r>
          <w:rPr>
            <w:rFonts w:ascii="Cambria Math" w:eastAsiaTheme="minorEastAsia" w:hAnsi="Cambria Math"/>
          </w:rPr>
          <m:t>α</m:t>
        </m:r>
      </m:oMath>
      <w:r>
        <w:rPr>
          <w:rFonts w:eastAsiaTheme="minorEastAsia"/>
        </w:rPr>
        <w:t xml:space="preserve"> is an arbitrary value that compensates for adjustments in the catalyst used between Timmerman and Lehnert’s studies and the intended catalyst for this model. The water gas shift reaction stands out from the others considered in the model since the equilibrium constant is not included in the reaction rate. This is due to the extremely fast kinetics of the water gas shift reaction leading to a negligible reverse reaction taking place </w:t>
      </w:r>
      <w:r>
        <w:rPr>
          <w:rFonts w:eastAsiaTheme="minorEastAsia"/>
        </w:rPr>
        <w:fldChar w:fldCharType="begin"/>
      </w:r>
      <w:r w:rsidR="00CA7A9D">
        <w:rPr>
          <w:rFonts w:eastAsiaTheme="minorEastAsia"/>
        </w:rPr>
        <w:instrText xml:space="preserve"> ADDIN ZOTERO_ITEM CSL_CITATION {"citationID":"a4juhsvi33","properties":{"formattedCitation":"[77]","plainCitation":"[77]","noteIndex":0},"citationItems":[{"id":809,"uris":["http://zotero.org/users/12063231/items/86VEYUNF"],"itemData":{"id":809,"type":"article-journal","container-title":"Fuel Cells","DOI":"10.1002/fuce.200900082","issue":"6","language":"English","page":"1074-1094","title":"Modelling and Performance Evaluation of Solid Oxide Fuel Cell for Building Integrated Co- and Polygeneration","volume":"10","author":[{"family":"Kazempoor","given":"Pejman"},{"family":"Dorer","given":"Viktor"},{"family":"Fathollah","given":"Ommi"}],"issued":{"date-parts":[["2010"]]}}}],"schema":"https://github.com/citation-style-language/schema/raw/master/csl-citation.json"} </w:instrText>
      </w:r>
      <w:r>
        <w:rPr>
          <w:rFonts w:eastAsiaTheme="minorEastAsia"/>
        </w:rPr>
        <w:fldChar w:fldCharType="separate"/>
      </w:r>
      <w:r w:rsidR="00CA7A9D" w:rsidRPr="00CA7A9D">
        <w:rPr>
          <w:rFonts w:ascii="Aptos" w:hAnsi="Aptos"/>
        </w:rPr>
        <w:t>[77]</w:t>
      </w:r>
      <w:r>
        <w:rPr>
          <w:rFonts w:eastAsiaTheme="minorEastAsia"/>
        </w:rPr>
        <w:fldChar w:fldCharType="end"/>
      </w:r>
      <w:r>
        <w:rPr>
          <w:rFonts w:eastAsiaTheme="minorEastAsia"/>
        </w:rPr>
        <w:t>.</w:t>
      </w:r>
    </w:p>
    <w:p w14:paraId="6A56B27A" w14:textId="0DA5FE52" w:rsidR="00A93D24" w:rsidRDefault="00A93D24" w:rsidP="00A93D24">
      <w:r>
        <w:t xml:space="preserve">The MDA reactions consider the methane conversion to ethylene, ethylene to benzene, and benzene to toluene. While Jeong’s work also includes naphthalene formation, this reaction </w:t>
      </w:r>
      <w:r w:rsidR="009A5726">
        <w:t>is</w:t>
      </w:r>
      <w:r>
        <w:t xml:space="preserve"> omitted due to no naphthalene being recorded in the experimental validation data. These MDA reactions, along with the partial oxidation of methane reaction, are modeled with a Langmuir-Hinshelwood expression that simulates the bifunctional nature of the catalyst. The reaction rates are as follows:</w:t>
      </w:r>
    </w:p>
    <w:p w14:paraId="1B09EBEE" w14:textId="77777777" w:rsidR="00A93D24" w:rsidRPr="00BA7823" w:rsidRDefault="00924E48" w:rsidP="00A93D24">
      <w:pPr>
        <w:jc w:val="right"/>
      </w:pPr>
      <m:oMath>
        <m:sSub>
          <m:sSubPr>
            <m:ctrlPr>
              <w:rPr>
                <w:rFonts w:ascii="Cambria Math" w:hAnsi="Cambria Math"/>
                <w:i/>
              </w:rPr>
            </m:ctrlPr>
          </m:sSubPr>
          <m:e>
            <m:r>
              <w:rPr>
                <w:rFonts w:ascii="Cambria Math" w:hAnsi="Cambria Math"/>
              </w:rPr>
              <m:t>r</m:t>
            </m:r>
          </m:e>
          <m:sub>
            <m:r>
              <w:rPr>
                <w:rFonts w:ascii="Cambria Math" w:hAnsi="Cambria Math"/>
              </w:rPr>
              <m:t>me</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me</m:t>
                </m:r>
              </m:sub>
            </m:sSub>
            <m:d>
              <m:dPr>
                <m:ctrlPr>
                  <w:rPr>
                    <w:rFonts w:ascii="Cambria Math" w:hAnsi="Cambria Math"/>
                    <w:i/>
                  </w:rPr>
                </m:ctrlPr>
              </m:dPr>
              <m:e>
                <m:sSubSup>
                  <m:sSubSupPr>
                    <m:ctrlPr>
                      <w:rPr>
                        <w:rFonts w:ascii="Cambria Math" w:eastAsiaTheme="minorEastAsia" w:hAnsi="Cambria Math"/>
                        <w:i/>
                      </w:rPr>
                    </m:ctrlPr>
                  </m:sSubSupPr>
                  <m:e>
                    <m:r>
                      <w:rPr>
                        <w:rFonts w:ascii="Cambria Math" w:hAnsi="Cambria Math"/>
                      </w:rPr>
                      <m:t>P</m:t>
                    </m:r>
                    <m:ctrlPr>
                      <w:rPr>
                        <w:rFonts w:ascii="Cambria Math" w:hAnsi="Cambria Math"/>
                        <w:i/>
                      </w:rPr>
                    </m:ctrlPr>
                  </m:e>
                  <m:sub>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4</m:t>
                        </m:r>
                      </m:sub>
                    </m:sSub>
                  </m:sub>
                  <m:sup>
                    <m:r>
                      <w:rPr>
                        <w:rFonts w:ascii="Cambria Math" w:hAnsi="Cambria Math"/>
                      </w:rPr>
                      <m:t>2</m:t>
                    </m:r>
                    <m:ctrlPr>
                      <w:rPr>
                        <w:rFonts w:ascii="Cambria Math" w:hAnsi="Cambria Math"/>
                        <w:i/>
                      </w:rPr>
                    </m:ctrlPr>
                  </m:sup>
                </m:sSub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C</m:t>
                            </m:r>
                          </m:e>
                          <m:sub>
                            <m:r>
                              <w:rPr>
                                <w:rFonts w:ascii="Cambria Math" w:hAnsi="Cambria Math"/>
                              </w:rPr>
                              <m:t>2</m:t>
                            </m:r>
                          </m:sub>
                        </m:sSub>
                        <m:sSub>
                          <m:sSubPr>
                            <m:ctrlPr>
                              <w:rPr>
                                <w:rFonts w:ascii="Cambria Math" w:hAnsi="Cambria Math"/>
                                <w:i/>
                              </w:rPr>
                            </m:ctrlPr>
                          </m:sSubPr>
                          <m:e>
                            <m:r>
                              <w:rPr>
                                <w:rFonts w:ascii="Cambria Math" w:hAnsi="Cambria Math"/>
                              </w:rPr>
                              <m:t>H</m:t>
                            </m:r>
                          </m:e>
                          <m:sub>
                            <m:r>
                              <w:rPr>
                                <w:rFonts w:ascii="Cambria Math" w:hAnsi="Cambria Math"/>
                              </w:rPr>
                              <m:t>4</m:t>
                            </m:r>
                          </m:sub>
                        </m:sSub>
                      </m:sub>
                    </m:sSub>
                    <m:sSubSup>
                      <m:sSubSupPr>
                        <m:ctrlPr>
                          <w:rPr>
                            <w:rFonts w:ascii="Cambria Math" w:hAnsi="Cambria Math"/>
                            <w:i/>
                          </w:rPr>
                        </m:ctrlPr>
                      </m:sSubSupPr>
                      <m:e>
                        <m:r>
                          <w:rPr>
                            <w:rFonts w:ascii="Cambria Math" w:hAnsi="Cambria Math"/>
                          </w:rPr>
                          <m:t>P</m:t>
                        </m:r>
                      </m:e>
                      <m:sub>
                        <m:sSub>
                          <m:sSubPr>
                            <m:ctrlPr>
                              <w:rPr>
                                <w:rFonts w:ascii="Cambria Math" w:hAnsi="Cambria Math"/>
                                <w:i/>
                              </w:rPr>
                            </m:ctrlPr>
                          </m:sSubPr>
                          <m:e>
                            <m:r>
                              <w:rPr>
                                <w:rFonts w:ascii="Cambria Math" w:hAnsi="Cambria Math"/>
                              </w:rPr>
                              <m:t>H</m:t>
                            </m:r>
                          </m:e>
                          <m:sub>
                            <m:r>
                              <w:rPr>
                                <w:rFonts w:ascii="Cambria Math" w:hAnsi="Cambria Math"/>
                              </w:rPr>
                              <m:t>2</m:t>
                            </m:r>
                          </m:sub>
                        </m:sSub>
                      </m:sub>
                      <m:sup>
                        <m:r>
                          <w:rPr>
                            <w:rFonts w:ascii="Cambria Math" w:hAnsi="Cambria Math"/>
                          </w:rPr>
                          <m:t>2</m:t>
                        </m:r>
                      </m:sup>
                    </m:sSubSup>
                  </m:num>
                  <m:den>
                    <m:sSub>
                      <m:sSubPr>
                        <m:ctrlPr>
                          <w:rPr>
                            <w:rFonts w:ascii="Cambria Math" w:hAnsi="Cambria Math"/>
                            <w:i/>
                          </w:rPr>
                        </m:ctrlPr>
                      </m:sSubPr>
                      <m:e>
                        <m:r>
                          <w:rPr>
                            <w:rFonts w:ascii="Cambria Math" w:hAnsi="Cambria Math"/>
                          </w:rPr>
                          <m:t>K</m:t>
                        </m:r>
                      </m:e>
                      <m:sub>
                        <m:r>
                          <w:rPr>
                            <w:rFonts w:ascii="Cambria Math" w:hAnsi="Cambria Math"/>
                          </w:rPr>
                          <m:t>eq</m:t>
                        </m:r>
                        <m:r>
                          <w:rPr>
                            <w:rFonts w:ascii="Cambria Math" w:hAnsi="Cambria Math"/>
                          </w:rPr>
                          <m:t>,</m:t>
                        </m:r>
                        <m:r>
                          <w:rPr>
                            <w:rFonts w:ascii="Cambria Math" w:hAnsi="Cambria Math"/>
                          </w:rPr>
                          <m:t>me</m:t>
                        </m:r>
                      </m:sub>
                    </m:sSub>
                  </m:den>
                </m:f>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cat</m:t>
                </m:r>
              </m:sub>
            </m:sSub>
          </m:num>
          <m:den>
            <m:r>
              <w:rPr>
                <w:rFonts w:ascii="Cambria Math" w:hAnsi="Cambria Math"/>
              </w:rPr>
              <m:t>1+</m:t>
            </m:r>
            <m:d>
              <m:dPr>
                <m:ctrlPr>
                  <w:rPr>
                    <w:rFonts w:ascii="Cambria Math" w:hAnsi="Cambria Math"/>
                    <w:i/>
                  </w:rPr>
                </m:ctrlPr>
              </m:dPr>
              <m:e>
                <m:sSubSup>
                  <m:sSubSupPr>
                    <m:ctrlPr>
                      <w:rPr>
                        <w:rFonts w:ascii="Cambria Math" w:hAnsi="Cambria Math"/>
                        <w:i/>
                      </w:rPr>
                    </m:ctrlPr>
                  </m:sSubSupPr>
                  <m:e>
                    <m:r>
                      <w:rPr>
                        <w:rFonts w:ascii="Cambria Math" w:hAnsi="Cambria Math"/>
                      </w:rPr>
                      <m:t>K</m:t>
                    </m:r>
                  </m:e>
                  <m:sub>
                    <m:sSub>
                      <m:sSubPr>
                        <m:ctrlPr>
                          <w:rPr>
                            <w:rFonts w:ascii="Cambria Math" w:hAnsi="Cambria Math"/>
                            <w:i/>
                          </w:rPr>
                        </m:ctrlPr>
                      </m:sSubPr>
                      <m:e>
                        <m:r>
                          <w:rPr>
                            <w:rFonts w:ascii="Cambria Math" w:hAnsi="Cambria Math"/>
                          </w:rPr>
                          <m:t>H</m:t>
                        </m:r>
                      </m:e>
                      <m:sub>
                        <m:r>
                          <w:rPr>
                            <w:rFonts w:ascii="Cambria Math" w:hAnsi="Cambria Math"/>
                          </w:rPr>
                          <m:t>2</m:t>
                        </m:r>
                      </m:sub>
                    </m:sSub>
                  </m:sub>
                  <m:sup>
                    <m:r>
                      <w:rPr>
                        <w:rFonts w:ascii="Cambria Math" w:hAnsi="Cambria Math"/>
                      </w:rPr>
                      <m:t>a</m:t>
                    </m:r>
                    <m:sSub>
                      <m:sSubPr>
                        <m:ctrlPr>
                          <w:rPr>
                            <w:rFonts w:ascii="Cambria Math" w:hAnsi="Cambria Math"/>
                            <w:i/>
                          </w:rPr>
                        </m:ctrlPr>
                      </m:sSubPr>
                      <m:e>
                        <m:r>
                          <w:rPr>
                            <w:rFonts w:ascii="Cambria Math" w:hAnsi="Cambria Math"/>
                          </w:rPr>
                          <m:t>d</m:t>
                        </m:r>
                      </m:e>
                      <m:sub>
                        <m:r>
                          <w:rPr>
                            <w:rFonts w:ascii="Cambria Math" w:hAnsi="Cambria Math"/>
                          </w:rPr>
                          <m:t>1</m:t>
                        </m:r>
                      </m:sub>
                    </m:sSub>
                  </m:sup>
                </m:sSubSup>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H</m:t>
                        </m:r>
                      </m:e>
                      <m:sub>
                        <m:r>
                          <w:rPr>
                            <w:rFonts w:ascii="Cambria Math" w:hAnsi="Cambria Math"/>
                          </w:rPr>
                          <m:t>2</m:t>
                        </m:r>
                      </m:sub>
                    </m:sSub>
                  </m:sub>
                </m:sSub>
                <m:r>
                  <w:rPr>
                    <w:rFonts w:ascii="Cambria Math" w:hAnsi="Cambria Math"/>
                  </w:rPr>
                  <m:t>+</m:t>
                </m:r>
                <m:sSubSup>
                  <m:sSubSupPr>
                    <m:ctrlPr>
                      <w:rPr>
                        <w:rFonts w:ascii="Cambria Math" w:hAnsi="Cambria Math"/>
                        <w:i/>
                      </w:rPr>
                    </m:ctrlPr>
                  </m:sSubSupPr>
                  <m:e>
                    <m:r>
                      <w:rPr>
                        <w:rFonts w:ascii="Cambria Math" w:hAnsi="Cambria Math"/>
                      </w:rPr>
                      <m:t>K</m:t>
                    </m:r>
                  </m:e>
                  <m:sub>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rPr>
                          <m:t>4</m:t>
                        </m:r>
                      </m:sub>
                    </m:sSub>
                  </m:sub>
                  <m:sup>
                    <m:r>
                      <w:rPr>
                        <w:rFonts w:ascii="Cambria Math" w:hAnsi="Cambria Math"/>
                      </w:rPr>
                      <m:t>a</m:t>
                    </m:r>
                    <m:sSub>
                      <m:sSubPr>
                        <m:ctrlPr>
                          <w:rPr>
                            <w:rFonts w:ascii="Cambria Math" w:hAnsi="Cambria Math"/>
                            <w:i/>
                          </w:rPr>
                        </m:ctrlPr>
                      </m:sSubPr>
                      <m:e>
                        <m:r>
                          <w:rPr>
                            <w:rFonts w:ascii="Cambria Math" w:hAnsi="Cambria Math"/>
                          </w:rPr>
                          <m:t>d</m:t>
                        </m:r>
                      </m:e>
                      <m:sub>
                        <m:r>
                          <w:rPr>
                            <w:rFonts w:ascii="Cambria Math" w:hAnsi="Cambria Math"/>
                          </w:rPr>
                          <m:t>1</m:t>
                        </m:r>
                      </m:sub>
                    </m:sSub>
                  </m:sup>
                </m:sSubSup>
                <m:sSub>
                  <m:sSubPr>
                    <m:ctrlPr>
                      <w:rPr>
                        <w:rFonts w:ascii="Cambria Math" w:hAnsi="Cambria Math"/>
                        <w:i/>
                      </w:rPr>
                    </m:ctrlPr>
                  </m:sSubPr>
                  <m:e>
                    <m:r>
                      <w:rPr>
                        <w:rFonts w:ascii="Cambria Math" w:hAnsi="Cambria Math"/>
                      </w:rPr>
                      <m:t>P</m:t>
                    </m:r>
                  </m:e>
                  <m:sub>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rPr>
                          <m:t>4</m:t>
                        </m:r>
                      </m:sub>
                    </m:sSub>
                  </m:sub>
                </m:sSub>
                <m:r>
                  <w:rPr>
                    <w:rFonts w:ascii="Cambria Math" w:hAnsi="Cambria Math"/>
                  </w:rPr>
                  <m:t>+</m:t>
                </m:r>
                <m:sSubSup>
                  <m:sSubSupPr>
                    <m:ctrlPr>
                      <w:rPr>
                        <w:rFonts w:ascii="Cambria Math" w:hAnsi="Cambria Math"/>
                        <w:i/>
                      </w:rPr>
                    </m:ctrlPr>
                  </m:sSubSupPr>
                  <m:e>
                    <m:r>
                      <w:rPr>
                        <w:rFonts w:ascii="Cambria Math" w:hAnsi="Cambria Math"/>
                      </w:rPr>
                      <m:t>K</m:t>
                    </m:r>
                  </m:e>
                  <m:sub>
                    <m:sSub>
                      <m:sSubPr>
                        <m:ctrlPr>
                          <w:rPr>
                            <w:rFonts w:ascii="Cambria Math" w:hAnsi="Cambria Math"/>
                            <w:i/>
                          </w:rPr>
                        </m:ctrlPr>
                      </m:sSubPr>
                      <m:e>
                        <m:r>
                          <w:rPr>
                            <w:rFonts w:ascii="Cambria Math" w:hAnsi="Cambria Math"/>
                          </w:rPr>
                          <m:t>C</m:t>
                        </m:r>
                      </m:e>
                      <m:sub>
                        <m:r>
                          <w:rPr>
                            <w:rFonts w:ascii="Cambria Math" w:hAnsi="Cambria Math"/>
                          </w:rPr>
                          <m:t>2</m:t>
                        </m:r>
                      </m:sub>
                    </m:sSub>
                    <m:sSub>
                      <m:sSubPr>
                        <m:ctrlPr>
                          <w:rPr>
                            <w:rFonts w:ascii="Cambria Math" w:hAnsi="Cambria Math"/>
                            <w:i/>
                          </w:rPr>
                        </m:ctrlPr>
                      </m:sSubPr>
                      <m:e>
                        <m:r>
                          <w:rPr>
                            <w:rFonts w:ascii="Cambria Math" w:hAnsi="Cambria Math"/>
                          </w:rPr>
                          <m:t>H</m:t>
                        </m:r>
                      </m:e>
                      <m:sub>
                        <m:r>
                          <w:rPr>
                            <w:rFonts w:ascii="Cambria Math" w:hAnsi="Cambria Math"/>
                          </w:rPr>
                          <m:t>4</m:t>
                        </m:r>
                      </m:sub>
                    </m:sSub>
                  </m:sub>
                  <m:sup>
                    <m:r>
                      <w:rPr>
                        <w:rFonts w:ascii="Cambria Math" w:hAnsi="Cambria Math"/>
                      </w:rPr>
                      <m:t>a</m:t>
                    </m:r>
                    <m:sSub>
                      <m:sSubPr>
                        <m:ctrlPr>
                          <w:rPr>
                            <w:rFonts w:ascii="Cambria Math" w:hAnsi="Cambria Math"/>
                            <w:i/>
                          </w:rPr>
                        </m:ctrlPr>
                      </m:sSubPr>
                      <m:e>
                        <m:r>
                          <w:rPr>
                            <w:rFonts w:ascii="Cambria Math" w:hAnsi="Cambria Math"/>
                          </w:rPr>
                          <m:t>d</m:t>
                        </m:r>
                      </m:e>
                      <m:sub>
                        <m:r>
                          <w:rPr>
                            <w:rFonts w:ascii="Cambria Math" w:hAnsi="Cambria Math"/>
                          </w:rPr>
                          <m:t>1</m:t>
                        </m:r>
                      </m:sub>
                    </m:sSub>
                  </m:sup>
                </m:sSubSup>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C</m:t>
                        </m:r>
                      </m:e>
                      <m:sub>
                        <m:r>
                          <w:rPr>
                            <w:rFonts w:ascii="Cambria Math" w:hAnsi="Cambria Math"/>
                          </w:rPr>
                          <m:t>2</m:t>
                        </m:r>
                      </m:sub>
                    </m:sSub>
                    <m:sSub>
                      <m:sSubPr>
                        <m:ctrlPr>
                          <w:rPr>
                            <w:rFonts w:ascii="Cambria Math" w:hAnsi="Cambria Math"/>
                            <w:i/>
                          </w:rPr>
                        </m:ctrlPr>
                      </m:sSubPr>
                      <m:e>
                        <m:r>
                          <w:rPr>
                            <w:rFonts w:ascii="Cambria Math" w:hAnsi="Cambria Math"/>
                          </w:rPr>
                          <m:t>H</m:t>
                        </m:r>
                      </m:e>
                      <m:sub>
                        <m:r>
                          <w:rPr>
                            <w:rFonts w:ascii="Cambria Math" w:hAnsi="Cambria Math"/>
                          </w:rPr>
                          <m:t>4</m:t>
                        </m:r>
                      </m:sub>
                    </m:sSub>
                  </m:sub>
                </m:sSub>
                <m:r>
                  <w:rPr>
                    <w:rFonts w:ascii="Cambria Math" w:hAnsi="Cambria Math"/>
                    <w:sz w:val="18"/>
                    <w:szCs w:val="18"/>
                  </w:rPr>
                  <m:t>+</m:t>
                </m:r>
                <m:sSubSup>
                  <m:sSubSupPr>
                    <m:ctrlPr>
                      <w:rPr>
                        <w:rFonts w:ascii="Cambria Math" w:hAnsi="Cambria Math"/>
                        <w:i/>
                        <w:sz w:val="18"/>
                        <w:szCs w:val="18"/>
                      </w:rPr>
                    </m:ctrlPr>
                  </m:sSubSupPr>
                  <m:e>
                    <m:r>
                      <w:rPr>
                        <w:rFonts w:ascii="Cambria Math" w:hAnsi="Cambria Math"/>
                        <w:sz w:val="18"/>
                        <w:szCs w:val="18"/>
                      </w:rPr>
                      <m:t>K</m:t>
                    </m:r>
                  </m:e>
                  <m:sub>
                    <m:r>
                      <w:rPr>
                        <w:rFonts w:ascii="Cambria Math" w:hAnsi="Cambria Math"/>
                        <w:sz w:val="18"/>
                        <w:szCs w:val="18"/>
                      </w:rPr>
                      <m:t>CO</m:t>
                    </m:r>
                  </m:sub>
                  <m:sup>
                    <m:r>
                      <w:rPr>
                        <w:rFonts w:ascii="Cambria Math" w:hAnsi="Cambria Math"/>
                        <w:sz w:val="18"/>
                        <w:szCs w:val="18"/>
                      </w:rPr>
                      <m:t>a</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1</m:t>
                        </m:r>
                      </m:sub>
                    </m:sSub>
                  </m:sup>
                </m:sSubSup>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CO</m:t>
                    </m:r>
                  </m:sub>
                </m:sSub>
                <m:r>
                  <w:rPr>
                    <w:rFonts w:ascii="Cambria Math" w:hAnsi="Cambria Math"/>
                    <w:sz w:val="18"/>
                    <w:szCs w:val="18"/>
                  </w:rPr>
                  <m:t>+</m:t>
                </m:r>
                <m:sSubSup>
                  <m:sSubSupPr>
                    <m:ctrlPr>
                      <w:rPr>
                        <w:rFonts w:ascii="Cambria Math" w:hAnsi="Cambria Math"/>
                        <w:i/>
                        <w:sz w:val="18"/>
                        <w:szCs w:val="18"/>
                      </w:rPr>
                    </m:ctrlPr>
                  </m:sSubSupPr>
                  <m:e>
                    <m:r>
                      <w:rPr>
                        <w:rFonts w:ascii="Cambria Math" w:hAnsi="Cambria Math"/>
                        <w:sz w:val="18"/>
                        <w:szCs w:val="18"/>
                      </w:rPr>
                      <m:t>K</m:t>
                    </m:r>
                  </m:e>
                  <m:sub>
                    <m:r>
                      <w:rPr>
                        <w:rFonts w:ascii="Cambria Math" w:hAnsi="Cambria Math"/>
                        <w:sz w:val="18"/>
                        <w:szCs w:val="18"/>
                      </w:rPr>
                      <m:t>C</m:t>
                    </m:r>
                    <m:sSub>
                      <m:sSubPr>
                        <m:ctrlPr>
                          <w:rPr>
                            <w:rFonts w:ascii="Cambria Math" w:hAnsi="Cambria Math"/>
                            <w:i/>
                            <w:sz w:val="18"/>
                            <w:szCs w:val="18"/>
                          </w:rPr>
                        </m:ctrlPr>
                      </m:sSubPr>
                      <m:e>
                        <m:r>
                          <w:rPr>
                            <w:rFonts w:ascii="Cambria Math" w:hAnsi="Cambria Math"/>
                            <w:sz w:val="18"/>
                            <w:szCs w:val="18"/>
                          </w:rPr>
                          <m:t>O</m:t>
                        </m:r>
                      </m:e>
                      <m:sub>
                        <m:r>
                          <w:rPr>
                            <w:rFonts w:ascii="Cambria Math" w:hAnsi="Cambria Math"/>
                            <w:sz w:val="18"/>
                            <w:szCs w:val="18"/>
                          </w:rPr>
                          <m:t>2</m:t>
                        </m:r>
                      </m:sub>
                    </m:sSub>
                  </m:sub>
                  <m:sup>
                    <m:r>
                      <w:rPr>
                        <w:rFonts w:ascii="Cambria Math" w:hAnsi="Cambria Math"/>
                        <w:sz w:val="18"/>
                        <w:szCs w:val="18"/>
                      </w:rPr>
                      <m:t>a</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1</m:t>
                        </m:r>
                      </m:sub>
                    </m:sSub>
                  </m:sup>
                </m:sSubSup>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C</m:t>
                    </m:r>
                    <m:sSub>
                      <m:sSubPr>
                        <m:ctrlPr>
                          <w:rPr>
                            <w:rFonts w:ascii="Cambria Math" w:hAnsi="Cambria Math"/>
                            <w:i/>
                            <w:sz w:val="18"/>
                            <w:szCs w:val="18"/>
                          </w:rPr>
                        </m:ctrlPr>
                      </m:sSubPr>
                      <m:e>
                        <m:r>
                          <w:rPr>
                            <w:rFonts w:ascii="Cambria Math" w:hAnsi="Cambria Math"/>
                            <w:sz w:val="18"/>
                            <w:szCs w:val="18"/>
                          </w:rPr>
                          <m:t>O</m:t>
                        </m:r>
                      </m:e>
                      <m:sub>
                        <m:r>
                          <w:rPr>
                            <w:rFonts w:ascii="Cambria Math" w:hAnsi="Cambria Math"/>
                            <w:sz w:val="18"/>
                            <w:szCs w:val="18"/>
                          </w:rPr>
                          <m:t>2</m:t>
                        </m:r>
                      </m:sub>
                    </m:sSub>
                  </m:sub>
                </m:sSub>
                <m:r>
                  <w:rPr>
                    <w:rFonts w:ascii="Cambria Math" w:hAnsi="Cambria Math"/>
                    <w:sz w:val="18"/>
                    <w:szCs w:val="18"/>
                  </w:rPr>
                  <m:t>+</m:t>
                </m:r>
                <m:sSubSup>
                  <m:sSubSupPr>
                    <m:ctrlPr>
                      <w:rPr>
                        <w:rFonts w:ascii="Cambria Math" w:hAnsi="Cambria Math"/>
                        <w:i/>
                        <w:sz w:val="18"/>
                        <w:szCs w:val="18"/>
                      </w:rPr>
                    </m:ctrlPr>
                  </m:sSubSupPr>
                  <m:e>
                    <m:r>
                      <w:rPr>
                        <w:rFonts w:ascii="Cambria Math" w:hAnsi="Cambria Math"/>
                        <w:sz w:val="18"/>
                        <w:szCs w:val="18"/>
                      </w:rPr>
                      <m:t>K</m:t>
                    </m:r>
                  </m:e>
                  <m:sub>
                    <m:sSub>
                      <m:sSubPr>
                        <m:ctrlPr>
                          <w:rPr>
                            <w:rFonts w:ascii="Cambria Math" w:hAnsi="Cambria Math"/>
                            <w:i/>
                            <w:sz w:val="18"/>
                            <w:szCs w:val="18"/>
                          </w:rPr>
                        </m:ctrlPr>
                      </m:sSubPr>
                      <m:e>
                        <m:r>
                          <w:rPr>
                            <w:rFonts w:ascii="Cambria Math" w:hAnsi="Cambria Math"/>
                            <w:sz w:val="18"/>
                            <w:szCs w:val="18"/>
                          </w:rPr>
                          <m:t>H</m:t>
                        </m:r>
                      </m:e>
                      <m:sub>
                        <m:r>
                          <w:rPr>
                            <w:rFonts w:ascii="Cambria Math" w:hAnsi="Cambria Math"/>
                            <w:sz w:val="18"/>
                            <w:szCs w:val="18"/>
                          </w:rPr>
                          <m:t>2</m:t>
                        </m:r>
                      </m:sub>
                    </m:sSub>
                    <m:r>
                      <w:rPr>
                        <w:rFonts w:ascii="Cambria Math" w:hAnsi="Cambria Math"/>
                        <w:sz w:val="18"/>
                        <w:szCs w:val="18"/>
                      </w:rPr>
                      <m:t>O</m:t>
                    </m:r>
                  </m:sub>
                  <m:sup>
                    <m:r>
                      <w:rPr>
                        <w:rFonts w:ascii="Cambria Math" w:hAnsi="Cambria Math"/>
                        <w:sz w:val="18"/>
                        <w:szCs w:val="18"/>
                      </w:rPr>
                      <m:t>a</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1</m:t>
                        </m:r>
                      </m:sub>
                    </m:sSub>
                  </m:sup>
                </m:sSubSup>
                <m:sSub>
                  <m:sSubPr>
                    <m:ctrlPr>
                      <w:rPr>
                        <w:rFonts w:ascii="Cambria Math" w:hAnsi="Cambria Math"/>
                        <w:i/>
                        <w:sz w:val="18"/>
                        <w:szCs w:val="18"/>
                      </w:rPr>
                    </m:ctrlPr>
                  </m:sSubPr>
                  <m:e>
                    <m:r>
                      <w:rPr>
                        <w:rFonts w:ascii="Cambria Math" w:hAnsi="Cambria Math"/>
                        <w:sz w:val="18"/>
                        <w:szCs w:val="18"/>
                      </w:rPr>
                      <m:t>P</m:t>
                    </m:r>
                  </m:e>
                  <m:sub>
                    <m:sSub>
                      <m:sSubPr>
                        <m:ctrlPr>
                          <w:rPr>
                            <w:rFonts w:ascii="Cambria Math" w:hAnsi="Cambria Math"/>
                            <w:i/>
                            <w:sz w:val="18"/>
                            <w:szCs w:val="18"/>
                          </w:rPr>
                        </m:ctrlPr>
                      </m:sSubPr>
                      <m:e>
                        <m:r>
                          <w:rPr>
                            <w:rFonts w:ascii="Cambria Math" w:hAnsi="Cambria Math"/>
                            <w:sz w:val="18"/>
                            <w:szCs w:val="18"/>
                          </w:rPr>
                          <m:t>H</m:t>
                        </m:r>
                      </m:e>
                      <m:sub>
                        <m:r>
                          <w:rPr>
                            <w:rFonts w:ascii="Cambria Math" w:hAnsi="Cambria Math"/>
                            <w:sz w:val="18"/>
                            <w:szCs w:val="18"/>
                          </w:rPr>
                          <m:t>2</m:t>
                        </m:r>
                      </m:sub>
                    </m:sSub>
                    <m:r>
                      <w:rPr>
                        <w:rFonts w:ascii="Cambria Math" w:hAnsi="Cambria Math"/>
                        <w:sz w:val="18"/>
                        <w:szCs w:val="18"/>
                      </w:rPr>
                      <m:t>O</m:t>
                    </m:r>
                  </m:sub>
                </m:sSub>
              </m:e>
            </m:d>
          </m:den>
        </m:f>
      </m:oMath>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t>(3.6)</w:t>
      </w:r>
    </w:p>
    <w:p w14:paraId="66ACDBBB" w14:textId="77777777" w:rsidR="00A93D24" w:rsidRPr="003574A7" w:rsidRDefault="00924E48" w:rsidP="00A93D24">
      <w:pPr>
        <w:jc w:val="right"/>
        <w:rPr>
          <w:rFonts w:eastAsiaTheme="minorEastAsia"/>
          <w:sz w:val="20"/>
          <w:szCs w:val="20"/>
        </w:rPr>
      </w:pPr>
      <m:oMath>
        <m:sSub>
          <m:sSubPr>
            <m:ctrlPr>
              <w:rPr>
                <w:rFonts w:ascii="Cambria Math" w:hAnsi="Cambria Math"/>
                <w:i/>
                <w:sz w:val="18"/>
                <w:szCs w:val="18"/>
              </w:rPr>
            </m:ctrlPr>
          </m:sSubPr>
          <m:e>
            <m:r>
              <w:rPr>
                <w:rFonts w:ascii="Cambria Math" w:hAnsi="Cambria Math"/>
                <w:sz w:val="18"/>
                <w:szCs w:val="18"/>
              </w:rPr>
              <m:t>r</m:t>
            </m:r>
          </m:e>
          <m:sub>
            <m:r>
              <w:rPr>
                <w:rFonts w:ascii="Cambria Math" w:hAnsi="Cambria Math"/>
                <w:sz w:val="18"/>
                <w:szCs w:val="18"/>
              </w:rPr>
              <m:t>eb</m:t>
            </m:r>
          </m:sub>
        </m:sSub>
        <m:r>
          <w:rPr>
            <w:rFonts w:ascii="Cambria Math" w:hAnsi="Cambria Math"/>
            <w:sz w:val="18"/>
            <w:szCs w:val="18"/>
          </w:rPr>
          <m:t>=</m:t>
        </m:r>
        <m:f>
          <m:fPr>
            <m:ctrlPr>
              <w:rPr>
                <w:rFonts w:ascii="Cambria Math" w:eastAsiaTheme="minorEastAsia" w:hAnsi="Cambria Math"/>
                <w:i/>
                <w:sz w:val="18"/>
                <w:szCs w:val="18"/>
              </w:rPr>
            </m:ctrlPr>
          </m:fPr>
          <m:num>
            <m:sSub>
              <m:sSubPr>
                <m:ctrlPr>
                  <w:rPr>
                    <w:rFonts w:ascii="Cambria Math" w:eastAsiaTheme="minorEastAsia" w:hAnsi="Cambria Math"/>
                    <w:i/>
                    <w:sz w:val="18"/>
                    <w:szCs w:val="18"/>
                  </w:rPr>
                </m:ctrlPr>
              </m:sSubPr>
              <m:e>
                <m:r>
                  <w:rPr>
                    <w:rFonts w:ascii="Cambria Math" w:eastAsiaTheme="minorEastAsia" w:hAnsi="Cambria Math"/>
                    <w:sz w:val="18"/>
                    <w:szCs w:val="18"/>
                  </w:rPr>
                  <m:t>k</m:t>
                </m:r>
              </m:e>
              <m:sub>
                <m:r>
                  <w:rPr>
                    <w:rFonts w:ascii="Cambria Math" w:eastAsiaTheme="minorEastAsia" w:hAnsi="Cambria Math"/>
                    <w:sz w:val="18"/>
                    <w:szCs w:val="18"/>
                  </w:rPr>
                  <m:t>eb</m:t>
                </m:r>
              </m:sub>
            </m:sSub>
            <m:d>
              <m:dPr>
                <m:ctrlPr>
                  <w:rPr>
                    <w:rFonts w:ascii="Cambria Math" w:eastAsiaTheme="minorEastAsia" w:hAnsi="Cambria Math"/>
                    <w:i/>
                    <w:sz w:val="18"/>
                    <w:szCs w:val="18"/>
                  </w:rPr>
                </m:ctrlPr>
              </m:dPr>
              <m:e>
                <m:sSubSup>
                  <m:sSubSupPr>
                    <m:ctrlPr>
                      <w:rPr>
                        <w:rFonts w:ascii="Cambria Math" w:eastAsiaTheme="minorEastAsia" w:hAnsi="Cambria Math"/>
                        <w:i/>
                        <w:sz w:val="18"/>
                        <w:szCs w:val="18"/>
                      </w:rPr>
                    </m:ctrlPr>
                  </m:sSubSupPr>
                  <m:e>
                    <m:r>
                      <w:rPr>
                        <w:rFonts w:ascii="Cambria Math" w:eastAsiaTheme="minorEastAsia" w:hAnsi="Cambria Math"/>
                        <w:sz w:val="18"/>
                        <w:szCs w:val="18"/>
                      </w:rPr>
                      <m:t>P</m:t>
                    </m:r>
                  </m:e>
                  <m:sub>
                    <m:sSub>
                      <m:sSubPr>
                        <m:ctrlPr>
                          <w:rPr>
                            <w:rFonts w:ascii="Cambria Math" w:eastAsiaTheme="minorEastAsia" w:hAnsi="Cambria Math"/>
                            <w:i/>
                            <w:sz w:val="18"/>
                            <w:szCs w:val="18"/>
                          </w:rPr>
                        </m:ctrlPr>
                      </m:sSubPr>
                      <m:e>
                        <m:r>
                          <w:rPr>
                            <w:rFonts w:ascii="Cambria Math" w:eastAsiaTheme="minorEastAsia" w:hAnsi="Cambria Math"/>
                            <w:sz w:val="18"/>
                            <w:szCs w:val="18"/>
                          </w:rPr>
                          <m:t>C</m:t>
                        </m:r>
                      </m:e>
                      <m:sub>
                        <m:r>
                          <w:rPr>
                            <w:rFonts w:ascii="Cambria Math" w:eastAsiaTheme="minorEastAsia" w:hAnsi="Cambria Math"/>
                            <w:sz w:val="18"/>
                            <w:szCs w:val="18"/>
                          </w:rPr>
                          <m:t>2</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H</m:t>
                        </m:r>
                      </m:e>
                      <m:sub>
                        <m:r>
                          <w:rPr>
                            <w:rFonts w:ascii="Cambria Math" w:eastAsiaTheme="minorEastAsia" w:hAnsi="Cambria Math"/>
                            <w:sz w:val="18"/>
                            <w:szCs w:val="18"/>
                          </w:rPr>
                          <m:t>4</m:t>
                        </m:r>
                      </m:sub>
                    </m:sSub>
                  </m:sub>
                  <m:sup>
                    <m:r>
                      <w:rPr>
                        <w:rFonts w:ascii="Cambria Math" w:eastAsiaTheme="minorEastAsia" w:hAnsi="Cambria Math"/>
                        <w:sz w:val="18"/>
                        <w:szCs w:val="18"/>
                      </w:rPr>
                      <m:t>3</m:t>
                    </m:r>
                  </m:sup>
                </m:sSubSup>
                <m:r>
                  <w:rPr>
                    <w:rFonts w:ascii="Cambria Math" w:eastAsiaTheme="minorEastAsia" w:hAnsi="Cambria Math"/>
                    <w:sz w:val="18"/>
                    <w:szCs w:val="18"/>
                  </w:rPr>
                  <m:t>-</m:t>
                </m:r>
                <m:f>
                  <m:fPr>
                    <m:ctrlPr>
                      <w:rPr>
                        <w:rFonts w:ascii="Cambria Math" w:eastAsiaTheme="minorEastAsia" w:hAnsi="Cambria Math"/>
                        <w:i/>
                        <w:sz w:val="18"/>
                        <w:szCs w:val="18"/>
                      </w:rPr>
                    </m:ctrlPr>
                  </m:fPr>
                  <m:num>
                    <m:sSub>
                      <m:sSubPr>
                        <m:ctrlPr>
                          <w:rPr>
                            <w:rFonts w:ascii="Cambria Math" w:eastAsiaTheme="minorEastAsia" w:hAnsi="Cambria Math"/>
                            <w:i/>
                            <w:sz w:val="18"/>
                            <w:szCs w:val="18"/>
                          </w:rPr>
                        </m:ctrlPr>
                      </m:sSubPr>
                      <m:e>
                        <m:r>
                          <w:rPr>
                            <w:rFonts w:ascii="Cambria Math" w:eastAsiaTheme="minorEastAsia" w:hAnsi="Cambria Math"/>
                            <w:sz w:val="18"/>
                            <w:szCs w:val="18"/>
                          </w:rPr>
                          <m:t>P</m:t>
                        </m:r>
                      </m:e>
                      <m:sub>
                        <m:sSub>
                          <m:sSubPr>
                            <m:ctrlPr>
                              <w:rPr>
                                <w:rFonts w:ascii="Cambria Math" w:eastAsiaTheme="minorEastAsia" w:hAnsi="Cambria Math"/>
                                <w:i/>
                                <w:sz w:val="18"/>
                                <w:szCs w:val="18"/>
                              </w:rPr>
                            </m:ctrlPr>
                          </m:sSubPr>
                          <m:e>
                            <m:r>
                              <w:rPr>
                                <w:rFonts w:ascii="Cambria Math" w:eastAsiaTheme="minorEastAsia" w:hAnsi="Cambria Math"/>
                                <w:sz w:val="18"/>
                                <w:szCs w:val="18"/>
                              </w:rPr>
                              <m:t>C</m:t>
                            </m:r>
                          </m:e>
                          <m:sub>
                            <m:r>
                              <w:rPr>
                                <w:rFonts w:ascii="Cambria Math" w:eastAsiaTheme="minorEastAsia" w:hAnsi="Cambria Math"/>
                                <w:sz w:val="18"/>
                                <w:szCs w:val="18"/>
                              </w:rPr>
                              <m:t>6</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H</m:t>
                            </m:r>
                          </m:e>
                          <m:sub>
                            <m:r>
                              <w:rPr>
                                <w:rFonts w:ascii="Cambria Math" w:eastAsiaTheme="minorEastAsia" w:hAnsi="Cambria Math"/>
                                <w:sz w:val="18"/>
                                <w:szCs w:val="18"/>
                              </w:rPr>
                              <m:t>6</m:t>
                            </m:r>
                          </m:sub>
                        </m:sSub>
                      </m:sub>
                    </m:sSub>
                    <m:sSubSup>
                      <m:sSubSupPr>
                        <m:ctrlPr>
                          <w:rPr>
                            <w:rFonts w:ascii="Cambria Math" w:eastAsiaTheme="minorEastAsia" w:hAnsi="Cambria Math"/>
                            <w:i/>
                            <w:sz w:val="18"/>
                            <w:szCs w:val="18"/>
                          </w:rPr>
                        </m:ctrlPr>
                      </m:sSubSupPr>
                      <m:e>
                        <m:r>
                          <w:rPr>
                            <w:rFonts w:ascii="Cambria Math" w:eastAsiaTheme="minorEastAsia" w:hAnsi="Cambria Math"/>
                            <w:sz w:val="18"/>
                            <w:szCs w:val="18"/>
                          </w:rPr>
                          <m:t>P</m:t>
                        </m:r>
                      </m:e>
                      <m:sub>
                        <m:sSub>
                          <m:sSubPr>
                            <m:ctrlPr>
                              <w:rPr>
                                <w:rFonts w:ascii="Cambria Math" w:eastAsiaTheme="minorEastAsia" w:hAnsi="Cambria Math"/>
                                <w:i/>
                                <w:sz w:val="18"/>
                                <w:szCs w:val="18"/>
                              </w:rPr>
                            </m:ctrlPr>
                          </m:sSubPr>
                          <m:e>
                            <m:r>
                              <w:rPr>
                                <w:rFonts w:ascii="Cambria Math" w:eastAsiaTheme="minorEastAsia" w:hAnsi="Cambria Math"/>
                                <w:sz w:val="18"/>
                                <w:szCs w:val="18"/>
                              </w:rPr>
                              <m:t>H</m:t>
                            </m:r>
                          </m:e>
                          <m:sub>
                            <m:r>
                              <w:rPr>
                                <w:rFonts w:ascii="Cambria Math" w:eastAsiaTheme="minorEastAsia" w:hAnsi="Cambria Math"/>
                                <w:sz w:val="18"/>
                                <w:szCs w:val="18"/>
                              </w:rPr>
                              <m:t>2</m:t>
                            </m:r>
                          </m:sub>
                        </m:sSub>
                      </m:sub>
                      <m:sup>
                        <m:r>
                          <w:rPr>
                            <w:rFonts w:ascii="Cambria Math" w:eastAsiaTheme="minorEastAsia" w:hAnsi="Cambria Math"/>
                            <w:sz w:val="18"/>
                            <w:szCs w:val="18"/>
                          </w:rPr>
                          <m:t>3</m:t>
                        </m:r>
                      </m:sup>
                    </m:sSubSup>
                  </m:num>
                  <m:den>
                    <m:sSub>
                      <m:sSubPr>
                        <m:ctrlPr>
                          <w:rPr>
                            <w:rFonts w:ascii="Cambria Math" w:eastAsiaTheme="minorEastAsia" w:hAnsi="Cambria Math"/>
                            <w:i/>
                            <w:sz w:val="18"/>
                            <w:szCs w:val="18"/>
                          </w:rPr>
                        </m:ctrlPr>
                      </m:sSubPr>
                      <m:e>
                        <m:r>
                          <w:rPr>
                            <w:rFonts w:ascii="Cambria Math" w:eastAsiaTheme="minorEastAsia" w:hAnsi="Cambria Math"/>
                            <w:sz w:val="18"/>
                            <w:szCs w:val="18"/>
                          </w:rPr>
                          <m:t>K</m:t>
                        </m:r>
                      </m:e>
                      <m:sub>
                        <m:r>
                          <w:rPr>
                            <w:rFonts w:ascii="Cambria Math" w:eastAsiaTheme="minorEastAsia" w:hAnsi="Cambria Math"/>
                            <w:sz w:val="18"/>
                            <w:szCs w:val="18"/>
                          </w:rPr>
                          <m:t>eq</m:t>
                        </m:r>
                        <m:r>
                          <w:rPr>
                            <w:rFonts w:ascii="Cambria Math" w:eastAsiaTheme="minorEastAsia" w:hAnsi="Cambria Math"/>
                            <w:sz w:val="18"/>
                            <w:szCs w:val="18"/>
                          </w:rPr>
                          <m:t>,</m:t>
                        </m:r>
                        <m:r>
                          <w:rPr>
                            <w:rFonts w:ascii="Cambria Math" w:eastAsiaTheme="minorEastAsia" w:hAnsi="Cambria Math"/>
                            <w:sz w:val="18"/>
                            <w:szCs w:val="18"/>
                          </w:rPr>
                          <m:t>eb</m:t>
                        </m:r>
                      </m:sub>
                    </m:sSub>
                  </m:den>
                </m:f>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cat</m:t>
                </m:r>
              </m:sub>
            </m:sSub>
            <m:ctrlPr>
              <w:rPr>
                <w:rFonts w:ascii="Cambria Math" w:hAnsi="Cambria Math"/>
                <w:i/>
                <w:sz w:val="18"/>
                <w:szCs w:val="18"/>
              </w:rPr>
            </m:ctrlPr>
          </m:num>
          <m:den>
            <m:r>
              <w:rPr>
                <w:rFonts w:ascii="Cambria Math" w:hAnsi="Cambria Math"/>
                <w:sz w:val="18"/>
                <w:szCs w:val="18"/>
              </w:rPr>
              <m:t>1+</m:t>
            </m:r>
            <m:d>
              <m:dPr>
                <m:ctrlPr>
                  <w:rPr>
                    <w:rFonts w:ascii="Cambria Math" w:hAnsi="Cambria Math"/>
                    <w:i/>
                    <w:sz w:val="18"/>
                    <w:szCs w:val="18"/>
                  </w:rPr>
                </m:ctrlPr>
              </m:dPr>
              <m:e>
                <m:sSubSup>
                  <m:sSubSupPr>
                    <m:ctrlPr>
                      <w:rPr>
                        <w:rFonts w:ascii="Cambria Math" w:hAnsi="Cambria Math"/>
                        <w:i/>
                        <w:sz w:val="18"/>
                        <w:szCs w:val="18"/>
                      </w:rPr>
                    </m:ctrlPr>
                  </m:sSubSupPr>
                  <m:e>
                    <m:r>
                      <w:rPr>
                        <w:rFonts w:ascii="Cambria Math" w:hAnsi="Cambria Math"/>
                        <w:sz w:val="18"/>
                        <w:szCs w:val="18"/>
                      </w:rPr>
                      <m:t>K</m:t>
                    </m:r>
                  </m:e>
                  <m:sub>
                    <m:sSub>
                      <m:sSubPr>
                        <m:ctrlPr>
                          <w:rPr>
                            <w:rFonts w:ascii="Cambria Math" w:hAnsi="Cambria Math"/>
                            <w:i/>
                            <w:sz w:val="18"/>
                            <w:szCs w:val="18"/>
                          </w:rPr>
                        </m:ctrlPr>
                      </m:sSubPr>
                      <m:e>
                        <m:r>
                          <w:rPr>
                            <w:rFonts w:ascii="Cambria Math" w:hAnsi="Cambria Math"/>
                            <w:sz w:val="18"/>
                            <w:szCs w:val="18"/>
                          </w:rPr>
                          <m:t>H</m:t>
                        </m:r>
                      </m:e>
                      <m:sub>
                        <m:r>
                          <w:rPr>
                            <w:rFonts w:ascii="Cambria Math" w:hAnsi="Cambria Math"/>
                            <w:sz w:val="18"/>
                            <w:szCs w:val="18"/>
                          </w:rPr>
                          <m:t>2</m:t>
                        </m:r>
                      </m:sub>
                    </m:sSub>
                  </m:sub>
                  <m:sup>
                    <m:r>
                      <w:rPr>
                        <w:rFonts w:ascii="Cambria Math" w:hAnsi="Cambria Math"/>
                        <w:sz w:val="18"/>
                        <w:szCs w:val="18"/>
                      </w:rPr>
                      <m:t>a</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2</m:t>
                        </m:r>
                      </m:sub>
                    </m:sSub>
                  </m:sup>
                </m:sSubSup>
                <m:sSub>
                  <m:sSubPr>
                    <m:ctrlPr>
                      <w:rPr>
                        <w:rFonts w:ascii="Cambria Math" w:hAnsi="Cambria Math"/>
                        <w:i/>
                        <w:sz w:val="18"/>
                        <w:szCs w:val="18"/>
                      </w:rPr>
                    </m:ctrlPr>
                  </m:sSubPr>
                  <m:e>
                    <m:r>
                      <w:rPr>
                        <w:rFonts w:ascii="Cambria Math" w:hAnsi="Cambria Math"/>
                        <w:sz w:val="18"/>
                        <w:szCs w:val="18"/>
                      </w:rPr>
                      <m:t>P</m:t>
                    </m:r>
                  </m:e>
                  <m:sub>
                    <m:sSub>
                      <m:sSubPr>
                        <m:ctrlPr>
                          <w:rPr>
                            <w:rFonts w:ascii="Cambria Math" w:hAnsi="Cambria Math"/>
                            <w:i/>
                            <w:sz w:val="18"/>
                            <w:szCs w:val="18"/>
                          </w:rPr>
                        </m:ctrlPr>
                      </m:sSubPr>
                      <m:e>
                        <m:r>
                          <w:rPr>
                            <w:rFonts w:ascii="Cambria Math" w:hAnsi="Cambria Math"/>
                            <w:sz w:val="18"/>
                            <w:szCs w:val="18"/>
                          </w:rPr>
                          <m:t>H</m:t>
                        </m:r>
                      </m:e>
                      <m:sub>
                        <m:r>
                          <w:rPr>
                            <w:rFonts w:ascii="Cambria Math" w:hAnsi="Cambria Math"/>
                            <w:sz w:val="18"/>
                            <w:szCs w:val="18"/>
                          </w:rPr>
                          <m:t>2</m:t>
                        </m:r>
                      </m:sub>
                    </m:sSub>
                  </m:sub>
                </m:sSub>
                <m:r>
                  <w:rPr>
                    <w:rFonts w:ascii="Cambria Math" w:hAnsi="Cambria Math"/>
                    <w:sz w:val="18"/>
                    <w:szCs w:val="18"/>
                  </w:rPr>
                  <m:t>+</m:t>
                </m:r>
                <m:sSubSup>
                  <m:sSubSupPr>
                    <m:ctrlPr>
                      <w:rPr>
                        <w:rFonts w:ascii="Cambria Math" w:hAnsi="Cambria Math"/>
                        <w:i/>
                        <w:sz w:val="18"/>
                        <w:szCs w:val="18"/>
                      </w:rPr>
                    </m:ctrlPr>
                  </m:sSubSupPr>
                  <m:e>
                    <m:r>
                      <w:rPr>
                        <w:rFonts w:ascii="Cambria Math" w:hAnsi="Cambria Math"/>
                        <w:sz w:val="18"/>
                        <w:szCs w:val="18"/>
                      </w:rPr>
                      <m:t>K</m:t>
                    </m:r>
                  </m:e>
                  <m:sub>
                    <m:r>
                      <w:rPr>
                        <w:rFonts w:ascii="Cambria Math" w:hAnsi="Cambria Math"/>
                        <w:sz w:val="18"/>
                        <w:szCs w:val="18"/>
                      </w:rPr>
                      <m:t>C</m:t>
                    </m:r>
                    <m:sSub>
                      <m:sSubPr>
                        <m:ctrlPr>
                          <w:rPr>
                            <w:rFonts w:ascii="Cambria Math" w:hAnsi="Cambria Math"/>
                            <w:i/>
                            <w:sz w:val="18"/>
                            <w:szCs w:val="18"/>
                          </w:rPr>
                        </m:ctrlPr>
                      </m:sSubPr>
                      <m:e>
                        <m:r>
                          <w:rPr>
                            <w:rFonts w:ascii="Cambria Math" w:hAnsi="Cambria Math"/>
                            <w:sz w:val="18"/>
                            <w:szCs w:val="18"/>
                          </w:rPr>
                          <m:t>H</m:t>
                        </m:r>
                      </m:e>
                      <m:sub>
                        <m:r>
                          <w:rPr>
                            <w:rFonts w:ascii="Cambria Math" w:hAnsi="Cambria Math"/>
                            <w:sz w:val="18"/>
                            <w:szCs w:val="18"/>
                          </w:rPr>
                          <m:t>4</m:t>
                        </m:r>
                      </m:sub>
                    </m:sSub>
                  </m:sub>
                  <m:sup>
                    <m:r>
                      <w:rPr>
                        <w:rFonts w:ascii="Cambria Math" w:hAnsi="Cambria Math"/>
                        <w:sz w:val="18"/>
                        <w:szCs w:val="18"/>
                      </w:rPr>
                      <m:t>a</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2</m:t>
                        </m:r>
                      </m:sub>
                    </m:sSub>
                  </m:sup>
                </m:sSubSup>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C</m:t>
                    </m:r>
                    <m:sSub>
                      <m:sSubPr>
                        <m:ctrlPr>
                          <w:rPr>
                            <w:rFonts w:ascii="Cambria Math" w:hAnsi="Cambria Math"/>
                            <w:i/>
                            <w:sz w:val="18"/>
                            <w:szCs w:val="18"/>
                          </w:rPr>
                        </m:ctrlPr>
                      </m:sSubPr>
                      <m:e>
                        <m:r>
                          <w:rPr>
                            <w:rFonts w:ascii="Cambria Math" w:hAnsi="Cambria Math"/>
                            <w:sz w:val="18"/>
                            <w:szCs w:val="18"/>
                          </w:rPr>
                          <m:t>H</m:t>
                        </m:r>
                      </m:e>
                      <m:sub>
                        <m:r>
                          <w:rPr>
                            <w:rFonts w:ascii="Cambria Math" w:hAnsi="Cambria Math"/>
                            <w:sz w:val="18"/>
                            <w:szCs w:val="18"/>
                          </w:rPr>
                          <m:t>4</m:t>
                        </m:r>
                      </m:sub>
                    </m:sSub>
                  </m:sub>
                </m:sSub>
                <m:r>
                  <w:rPr>
                    <w:rFonts w:ascii="Cambria Math" w:hAnsi="Cambria Math"/>
                    <w:sz w:val="18"/>
                    <w:szCs w:val="18"/>
                  </w:rPr>
                  <m:t>+</m:t>
                </m:r>
                <m:sSubSup>
                  <m:sSubSupPr>
                    <m:ctrlPr>
                      <w:rPr>
                        <w:rFonts w:ascii="Cambria Math" w:hAnsi="Cambria Math"/>
                        <w:i/>
                        <w:sz w:val="18"/>
                        <w:szCs w:val="18"/>
                      </w:rPr>
                    </m:ctrlPr>
                  </m:sSubSupPr>
                  <m:e>
                    <m:r>
                      <w:rPr>
                        <w:rFonts w:ascii="Cambria Math" w:hAnsi="Cambria Math"/>
                        <w:sz w:val="18"/>
                        <w:szCs w:val="18"/>
                      </w:rPr>
                      <m:t>K</m:t>
                    </m:r>
                  </m:e>
                  <m:sub>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2</m:t>
                        </m:r>
                      </m:sub>
                    </m:sSub>
                    <m:sSub>
                      <m:sSubPr>
                        <m:ctrlPr>
                          <w:rPr>
                            <w:rFonts w:ascii="Cambria Math" w:hAnsi="Cambria Math"/>
                            <w:i/>
                            <w:sz w:val="18"/>
                            <w:szCs w:val="18"/>
                          </w:rPr>
                        </m:ctrlPr>
                      </m:sSubPr>
                      <m:e>
                        <m:r>
                          <w:rPr>
                            <w:rFonts w:ascii="Cambria Math" w:hAnsi="Cambria Math"/>
                            <w:sz w:val="18"/>
                            <w:szCs w:val="18"/>
                          </w:rPr>
                          <m:t>H</m:t>
                        </m:r>
                      </m:e>
                      <m:sub>
                        <m:r>
                          <w:rPr>
                            <w:rFonts w:ascii="Cambria Math" w:hAnsi="Cambria Math"/>
                            <w:sz w:val="18"/>
                            <w:szCs w:val="18"/>
                          </w:rPr>
                          <m:t>4</m:t>
                        </m:r>
                      </m:sub>
                    </m:sSub>
                  </m:sub>
                  <m:sup>
                    <m:r>
                      <w:rPr>
                        <w:rFonts w:ascii="Cambria Math" w:hAnsi="Cambria Math"/>
                        <w:sz w:val="18"/>
                        <w:szCs w:val="18"/>
                      </w:rPr>
                      <m:t>a</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2</m:t>
                        </m:r>
                      </m:sub>
                    </m:sSub>
                  </m:sup>
                </m:sSubSup>
                <m:sSub>
                  <m:sSubPr>
                    <m:ctrlPr>
                      <w:rPr>
                        <w:rFonts w:ascii="Cambria Math" w:hAnsi="Cambria Math"/>
                        <w:i/>
                        <w:sz w:val="18"/>
                        <w:szCs w:val="18"/>
                      </w:rPr>
                    </m:ctrlPr>
                  </m:sSubPr>
                  <m:e>
                    <m:r>
                      <w:rPr>
                        <w:rFonts w:ascii="Cambria Math" w:hAnsi="Cambria Math"/>
                        <w:sz w:val="18"/>
                        <w:szCs w:val="18"/>
                      </w:rPr>
                      <m:t>P</m:t>
                    </m:r>
                  </m:e>
                  <m:sub>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2</m:t>
                        </m:r>
                      </m:sub>
                    </m:sSub>
                    <m:sSub>
                      <m:sSubPr>
                        <m:ctrlPr>
                          <w:rPr>
                            <w:rFonts w:ascii="Cambria Math" w:hAnsi="Cambria Math"/>
                            <w:i/>
                            <w:sz w:val="18"/>
                            <w:szCs w:val="18"/>
                          </w:rPr>
                        </m:ctrlPr>
                      </m:sSubPr>
                      <m:e>
                        <m:r>
                          <w:rPr>
                            <w:rFonts w:ascii="Cambria Math" w:hAnsi="Cambria Math"/>
                            <w:sz w:val="18"/>
                            <w:szCs w:val="18"/>
                          </w:rPr>
                          <m:t>H</m:t>
                        </m:r>
                      </m:e>
                      <m:sub>
                        <m:r>
                          <w:rPr>
                            <w:rFonts w:ascii="Cambria Math" w:hAnsi="Cambria Math"/>
                            <w:sz w:val="18"/>
                            <w:szCs w:val="18"/>
                          </w:rPr>
                          <m:t>4</m:t>
                        </m:r>
                      </m:sub>
                    </m:sSub>
                  </m:sub>
                </m:sSub>
                <m:r>
                  <w:rPr>
                    <w:rFonts w:ascii="Cambria Math" w:hAnsi="Cambria Math"/>
                    <w:sz w:val="18"/>
                    <w:szCs w:val="18"/>
                  </w:rPr>
                  <m:t>+</m:t>
                </m:r>
                <m:sSubSup>
                  <m:sSubSupPr>
                    <m:ctrlPr>
                      <w:rPr>
                        <w:rFonts w:ascii="Cambria Math" w:hAnsi="Cambria Math"/>
                        <w:i/>
                        <w:sz w:val="18"/>
                        <w:szCs w:val="18"/>
                      </w:rPr>
                    </m:ctrlPr>
                  </m:sSubSupPr>
                  <m:e>
                    <m:r>
                      <w:rPr>
                        <w:rFonts w:ascii="Cambria Math" w:hAnsi="Cambria Math"/>
                        <w:sz w:val="18"/>
                        <w:szCs w:val="18"/>
                      </w:rPr>
                      <m:t>K</m:t>
                    </m:r>
                  </m:e>
                  <m:sub>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6</m:t>
                        </m:r>
                      </m:sub>
                    </m:sSub>
                    <m:sSub>
                      <m:sSubPr>
                        <m:ctrlPr>
                          <w:rPr>
                            <w:rFonts w:ascii="Cambria Math" w:hAnsi="Cambria Math"/>
                            <w:i/>
                            <w:sz w:val="18"/>
                            <w:szCs w:val="18"/>
                          </w:rPr>
                        </m:ctrlPr>
                      </m:sSubPr>
                      <m:e>
                        <m:r>
                          <w:rPr>
                            <w:rFonts w:ascii="Cambria Math" w:hAnsi="Cambria Math"/>
                            <w:sz w:val="18"/>
                            <w:szCs w:val="18"/>
                          </w:rPr>
                          <m:t>H</m:t>
                        </m:r>
                      </m:e>
                      <m:sub>
                        <m:r>
                          <w:rPr>
                            <w:rFonts w:ascii="Cambria Math" w:hAnsi="Cambria Math"/>
                            <w:sz w:val="18"/>
                            <w:szCs w:val="18"/>
                          </w:rPr>
                          <m:t>6</m:t>
                        </m:r>
                      </m:sub>
                    </m:sSub>
                  </m:sub>
                  <m:sup>
                    <m:r>
                      <w:rPr>
                        <w:rFonts w:ascii="Cambria Math" w:hAnsi="Cambria Math"/>
                        <w:sz w:val="18"/>
                        <w:szCs w:val="18"/>
                      </w:rPr>
                      <m:t>a</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2</m:t>
                        </m:r>
                      </m:sub>
                    </m:sSub>
                  </m:sup>
                </m:sSubSup>
                <m:sSub>
                  <m:sSubPr>
                    <m:ctrlPr>
                      <w:rPr>
                        <w:rFonts w:ascii="Cambria Math" w:hAnsi="Cambria Math"/>
                        <w:i/>
                        <w:sz w:val="18"/>
                        <w:szCs w:val="18"/>
                      </w:rPr>
                    </m:ctrlPr>
                  </m:sSubPr>
                  <m:e>
                    <m:r>
                      <w:rPr>
                        <w:rFonts w:ascii="Cambria Math" w:hAnsi="Cambria Math"/>
                        <w:sz w:val="18"/>
                        <w:szCs w:val="18"/>
                      </w:rPr>
                      <m:t>P</m:t>
                    </m:r>
                  </m:e>
                  <m:sub>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6</m:t>
                        </m:r>
                      </m:sub>
                    </m:sSub>
                    <m:sSub>
                      <m:sSubPr>
                        <m:ctrlPr>
                          <w:rPr>
                            <w:rFonts w:ascii="Cambria Math" w:hAnsi="Cambria Math"/>
                            <w:i/>
                            <w:sz w:val="18"/>
                            <w:szCs w:val="18"/>
                          </w:rPr>
                        </m:ctrlPr>
                      </m:sSubPr>
                      <m:e>
                        <m:r>
                          <w:rPr>
                            <w:rFonts w:ascii="Cambria Math" w:hAnsi="Cambria Math"/>
                            <w:sz w:val="18"/>
                            <w:szCs w:val="18"/>
                          </w:rPr>
                          <m:t>H</m:t>
                        </m:r>
                      </m:e>
                      <m:sub>
                        <m:r>
                          <w:rPr>
                            <w:rFonts w:ascii="Cambria Math" w:hAnsi="Cambria Math"/>
                            <w:sz w:val="18"/>
                            <w:szCs w:val="18"/>
                          </w:rPr>
                          <m:t>6</m:t>
                        </m:r>
                      </m:sub>
                    </m:sSub>
                  </m:sub>
                </m:sSub>
                <m:r>
                  <w:rPr>
                    <w:rFonts w:ascii="Cambria Math" w:hAnsi="Cambria Math"/>
                    <w:sz w:val="18"/>
                    <w:szCs w:val="18"/>
                  </w:rPr>
                  <m:t>+</m:t>
                </m:r>
                <m:sSubSup>
                  <m:sSubSupPr>
                    <m:ctrlPr>
                      <w:rPr>
                        <w:rFonts w:ascii="Cambria Math" w:hAnsi="Cambria Math"/>
                        <w:i/>
                        <w:sz w:val="18"/>
                        <w:szCs w:val="18"/>
                      </w:rPr>
                    </m:ctrlPr>
                  </m:sSubSupPr>
                  <m:e>
                    <m:r>
                      <w:rPr>
                        <w:rFonts w:ascii="Cambria Math" w:hAnsi="Cambria Math"/>
                        <w:sz w:val="18"/>
                        <w:szCs w:val="18"/>
                      </w:rPr>
                      <m:t>K</m:t>
                    </m:r>
                  </m:e>
                  <m:sub>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7</m:t>
                        </m:r>
                      </m:sub>
                    </m:sSub>
                    <m:sSub>
                      <m:sSubPr>
                        <m:ctrlPr>
                          <w:rPr>
                            <w:rFonts w:ascii="Cambria Math" w:hAnsi="Cambria Math"/>
                            <w:i/>
                            <w:sz w:val="18"/>
                            <w:szCs w:val="18"/>
                          </w:rPr>
                        </m:ctrlPr>
                      </m:sSubPr>
                      <m:e>
                        <m:r>
                          <w:rPr>
                            <w:rFonts w:ascii="Cambria Math" w:hAnsi="Cambria Math"/>
                            <w:sz w:val="18"/>
                            <w:szCs w:val="18"/>
                          </w:rPr>
                          <m:t>H</m:t>
                        </m:r>
                      </m:e>
                      <m:sub>
                        <m:r>
                          <w:rPr>
                            <w:rFonts w:ascii="Cambria Math" w:hAnsi="Cambria Math"/>
                            <w:sz w:val="18"/>
                            <w:szCs w:val="18"/>
                          </w:rPr>
                          <m:t>8</m:t>
                        </m:r>
                      </m:sub>
                    </m:sSub>
                  </m:sub>
                  <m:sup>
                    <m:r>
                      <w:rPr>
                        <w:rFonts w:ascii="Cambria Math" w:hAnsi="Cambria Math"/>
                        <w:sz w:val="18"/>
                        <w:szCs w:val="18"/>
                      </w:rPr>
                      <m:t>a</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2</m:t>
                        </m:r>
                      </m:sub>
                    </m:sSub>
                  </m:sup>
                </m:sSubSup>
                <m:sSub>
                  <m:sSubPr>
                    <m:ctrlPr>
                      <w:rPr>
                        <w:rFonts w:ascii="Cambria Math" w:hAnsi="Cambria Math"/>
                        <w:i/>
                        <w:sz w:val="18"/>
                        <w:szCs w:val="18"/>
                      </w:rPr>
                    </m:ctrlPr>
                  </m:sSubPr>
                  <m:e>
                    <m:r>
                      <w:rPr>
                        <w:rFonts w:ascii="Cambria Math" w:hAnsi="Cambria Math"/>
                        <w:sz w:val="18"/>
                        <w:szCs w:val="18"/>
                      </w:rPr>
                      <m:t>P</m:t>
                    </m:r>
                  </m:e>
                  <m:sub>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7</m:t>
                        </m:r>
                      </m:sub>
                    </m:sSub>
                    <m:sSub>
                      <m:sSubPr>
                        <m:ctrlPr>
                          <w:rPr>
                            <w:rFonts w:ascii="Cambria Math" w:hAnsi="Cambria Math"/>
                            <w:i/>
                            <w:sz w:val="18"/>
                            <w:szCs w:val="18"/>
                          </w:rPr>
                        </m:ctrlPr>
                      </m:sSubPr>
                      <m:e>
                        <m:r>
                          <w:rPr>
                            <w:rFonts w:ascii="Cambria Math" w:hAnsi="Cambria Math"/>
                            <w:sz w:val="18"/>
                            <w:szCs w:val="18"/>
                          </w:rPr>
                          <m:t>H</m:t>
                        </m:r>
                      </m:e>
                      <m:sub>
                        <m:r>
                          <w:rPr>
                            <w:rFonts w:ascii="Cambria Math" w:hAnsi="Cambria Math"/>
                            <w:sz w:val="18"/>
                            <w:szCs w:val="18"/>
                          </w:rPr>
                          <m:t>8</m:t>
                        </m:r>
                      </m:sub>
                    </m:sSub>
                  </m:sub>
                </m:sSub>
              </m:e>
            </m:d>
          </m:den>
        </m:f>
      </m:oMath>
      <w:r w:rsidR="00A93D24">
        <w:rPr>
          <w:rFonts w:eastAsiaTheme="minorEastAsia"/>
          <w:sz w:val="18"/>
          <w:szCs w:val="18"/>
        </w:rPr>
        <w:tab/>
      </w:r>
      <w:r w:rsidR="00A93D24">
        <w:rPr>
          <w:rFonts w:eastAsiaTheme="minorEastAsia"/>
          <w:sz w:val="18"/>
          <w:szCs w:val="18"/>
        </w:rPr>
        <w:tab/>
      </w:r>
      <w:r w:rsidR="00A93D24">
        <w:rPr>
          <w:rFonts w:eastAsiaTheme="minorEastAsia"/>
          <w:sz w:val="18"/>
          <w:szCs w:val="18"/>
        </w:rPr>
        <w:tab/>
      </w:r>
      <w:r w:rsidR="00A93D24">
        <w:rPr>
          <w:rFonts w:eastAsiaTheme="minorEastAsia"/>
          <w:sz w:val="18"/>
          <w:szCs w:val="18"/>
        </w:rPr>
        <w:tab/>
      </w:r>
      <w:r w:rsidR="00A93D24" w:rsidRPr="003574A7">
        <w:rPr>
          <w:rFonts w:eastAsiaTheme="minorEastAsia"/>
        </w:rPr>
        <w:t>(3.7)</w:t>
      </w:r>
    </w:p>
    <w:p w14:paraId="10767FB6" w14:textId="77777777" w:rsidR="00A93D24" w:rsidRPr="00E97167" w:rsidRDefault="00924E48" w:rsidP="00A93D24">
      <w:pPr>
        <w:jc w:val="right"/>
        <w:rPr>
          <w:rFonts w:eastAsiaTheme="minorEastAsia"/>
          <w:sz w:val="18"/>
          <w:szCs w:val="18"/>
        </w:rPr>
      </w:pPr>
      <m:oMath>
        <m:sSub>
          <m:sSubPr>
            <m:ctrlPr>
              <w:rPr>
                <w:rFonts w:ascii="Cambria Math" w:eastAsiaTheme="minorEastAsia" w:hAnsi="Cambria Math"/>
                <w:i/>
                <w:sz w:val="18"/>
                <w:szCs w:val="18"/>
              </w:rPr>
            </m:ctrlPr>
          </m:sSubPr>
          <m:e>
            <m:r>
              <w:rPr>
                <w:rFonts w:ascii="Cambria Math" w:eastAsiaTheme="minorEastAsia" w:hAnsi="Cambria Math"/>
                <w:sz w:val="18"/>
                <w:szCs w:val="18"/>
              </w:rPr>
              <m:t>r</m:t>
            </m:r>
          </m:e>
          <m:sub>
            <m:r>
              <w:rPr>
                <w:rFonts w:ascii="Cambria Math" w:eastAsiaTheme="minorEastAsia" w:hAnsi="Cambria Math"/>
                <w:sz w:val="18"/>
                <w:szCs w:val="18"/>
              </w:rPr>
              <m:t>bt</m:t>
            </m:r>
          </m:sub>
        </m:sSub>
        <m:r>
          <w:rPr>
            <w:rFonts w:ascii="Cambria Math" w:eastAsiaTheme="minorEastAsia" w:hAnsi="Cambria Math"/>
            <w:sz w:val="18"/>
            <w:szCs w:val="18"/>
          </w:rPr>
          <m:t>=</m:t>
        </m:r>
        <m:f>
          <m:fPr>
            <m:ctrlPr>
              <w:rPr>
                <w:rFonts w:ascii="Cambria Math" w:eastAsiaTheme="minorEastAsia" w:hAnsi="Cambria Math"/>
                <w:i/>
                <w:sz w:val="18"/>
                <w:szCs w:val="18"/>
              </w:rPr>
            </m:ctrlPr>
          </m:fPr>
          <m:num>
            <m:sSub>
              <m:sSubPr>
                <m:ctrlPr>
                  <w:rPr>
                    <w:rFonts w:ascii="Cambria Math" w:eastAsiaTheme="minorEastAsia" w:hAnsi="Cambria Math"/>
                    <w:i/>
                    <w:sz w:val="18"/>
                    <w:szCs w:val="18"/>
                  </w:rPr>
                </m:ctrlPr>
              </m:sSubPr>
              <m:e>
                <m:r>
                  <w:rPr>
                    <w:rFonts w:ascii="Cambria Math" w:eastAsiaTheme="minorEastAsia" w:hAnsi="Cambria Math"/>
                    <w:sz w:val="18"/>
                    <w:szCs w:val="18"/>
                  </w:rPr>
                  <m:t>k</m:t>
                </m:r>
              </m:e>
              <m:sub>
                <m:r>
                  <w:rPr>
                    <w:rFonts w:ascii="Cambria Math" w:eastAsiaTheme="minorEastAsia" w:hAnsi="Cambria Math"/>
                    <w:sz w:val="18"/>
                    <w:szCs w:val="18"/>
                  </w:rPr>
                  <m:t>bt</m:t>
                </m:r>
              </m:sub>
            </m:sSub>
            <m:d>
              <m:dPr>
                <m:ctrlPr>
                  <w:rPr>
                    <w:rFonts w:ascii="Cambria Math" w:eastAsiaTheme="minorEastAsia" w:hAnsi="Cambria Math"/>
                    <w:i/>
                    <w:sz w:val="18"/>
                    <w:szCs w:val="18"/>
                  </w:rPr>
                </m:ctrlPr>
              </m:dPr>
              <m:e>
                <m:sSub>
                  <m:sSubPr>
                    <m:ctrlPr>
                      <w:rPr>
                        <w:rFonts w:ascii="Cambria Math" w:eastAsiaTheme="minorEastAsia" w:hAnsi="Cambria Math"/>
                        <w:i/>
                        <w:sz w:val="18"/>
                        <w:szCs w:val="18"/>
                      </w:rPr>
                    </m:ctrlPr>
                  </m:sSubPr>
                  <m:e>
                    <m:r>
                      <w:rPr>
                        <w:rFonts w:ascii="Cambria Math" w:eastAsiaTheme="minorEastAsia" w:hAnsi="Cambria Math"/>
                        <w:sz w:val="18"/>
                        <w:szCs w:val="18"/>
                      </w:rPr>
                      <m:t>P</m:t>
                    </m:r>
                  </m:e>
                  <m:sub>
                    <m:sSub>
                      <m:sSubPr>
                        <m:ctrlPr>
                          <w:rPr>
                            <w:rFonts w:ascii="Cambria Math" w:eastAsiaTheme="minorEastAsia" w:hAnsi="Cambria Math"/>
                            <w:i/>
                            <w:sz w:val="18"/>
                            <w:szCs w:val="18"/>
                          </w:rPr>
                        </m:ctrlPr>
                      </m:sSubPr>
                      <m:e>
                        <m:r>
                          <w:rPr>
                            <w:rFonts w:ascii="Cambria Math" w:eastAsiaTheme="minorEastAsia" w:hAnsi="Cambria Math"/>
                            <w:sz w:val="18"/>
                            <w:szCs w:val="18"/>
                          </w:rPr>
                          <m:t>C</m:t>
                        </m:r>
                      </m:e>
                      <m:sub>
                        <m:r>
                          <w:rPr>
                            <w:rFonts w:ascii="Cambria Math" w:eastAsiaTheme="minorEastAsia" w:hAnsi="Cambria Math"/>
                            <w:sz w:val="18"/>
                            <w:szCs w:val="18"/>
                          </w:rPr>
                          <m:t>6</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H</m:t>
                        </m:r>
                      </m:e>
                      <m:sub>
                        <m:r>
                          <w:rPr>
                            <w:rFonts w:ascii="Cambria Math" w:eastAsiaTheme="minorEastAsia" w:hAnsi="Cambria Math"/>
                            <w:sz w:val="18"/>
                            <w:szCs w:val="18"/>
                          </w:rPr>
                          <m:t>6</m:t>
                        </m:r>
                      </m:sub>
                    </m:sSub>
                  </m:sub>
                </m:sSub>
                <m:sSub>
                  <m:sSubPr>
                    <m:ctrlPr>
                      <w:rPr>
                        <w:rFonts w:ascii="Cambria Math" w:eastAsiaTheme="minorEastAsia" w:hAnsi="Cambria Math"/>
                        <w:i/>
                        <w:sz w:val="18"/>
                        <w:szCs w:val="18"/>
                      </w:rPr>
                    </m:ctrlPr>
                  </m:sSubPr>
                  <m:e>
                    <m:r>
                      <w:rPr>
                        <w:rFonts w:ascii="Cambria Math" w:eastAsiaTheme="minorEastAsia" w:hAnsi="Cambria Math"/>
                        <w:sz w:val="18"/>
                        <w:szCs w:val="18"/>
                      </w:rPr>
                      <m:t>P</m:t>
                    </m:r>
                  </m:e>
                  <m:sub>
                    <m:r>
                      <w:rPr>
                        <w:rFonts w:ascii="Cambria Math" w:eastAsiaTheme="minorEastAsia" w:hAnsi="Cambria Math"/>
                        <w:sz w:val="18"/>
                        <w:szCs w:val="18"/>
                      </w:rPr>
                      <m:t>C</m:t>
                    </m:r>
                    <m:sSub>
                      <m:sSubPr>
                        <m:ctrlPr>
                          <w:rPr>
                            <w:rFonts w:ascii="Cambria Math" w:eastAsiaTheme="minorEastAsia" w:hAnsi="Cambria Math"/>
                            <w:i/>
                            <w:sz w:val="18"/>
                            <w:szCs w:val="18"/>
                          </w:rPr>
                        </m:ctrlPr>
                      </m:sSubPr>
                      <m:e>
                        <m:r>
                          <w:rPr>
                            <w:rFonts w:ascii="Cambria Math" w:eastAsiaTheme="minorEastAsia" w:hAnsi="Cambria Math"/>
                            <w:sz w:val="18"/>
                            <w:szCs w:val="18"/>
                          </w:rPr>
                          <m:t>H</m:t>
                        </m:r>
                      </m:e>
                      <m:sub>
                        <m:r>
                          <w:rPr>
                            <w:rFonts w:ascii="Cambria Math" w:eastAsiaTheme="minorEastAsia" w:hAnsi="Cambria Math"/>
                            <w:sz w:val="18"/>
                            <w:szCs w:val="18"/>
                          </w:rPr>
                          <m:t>4</m:t>
                        </m:r>
                      </m:sub>
                    </m:sSub>
                  </m:sub>
                </m:sSub>
                <m:r>
                  <w:rPr>
                    <w:rFonts w:ascii="Cambria Math" w:eastAsiaTheme="minorEastAsia" w:hAnsi="Cambria Math"/>
                    <w:sz w:val="18"/>
                    <w:szCs w:val="18"/>
                  </w:rPr>
                  <m:t>-</m:t>
                </m:r>
                <m:f>
                  <m:fPr>
                    <m:ctrlPr>
                      <w:rPr>
                        <w:rFonts w:ascii="Cambria Math" w:eastAsiaTheme="minorEastAsia" w:hAnsi="Cambria Math"/>
                        <w:i/>
                        <w:sz w:val="18"/>
                        <w:szCs w:val="18"/>
                      </w:rPr>
                    </m:ctrlPr>
                  </m:fPr>
                  <m:num>
                    <m:sSub>
                      <m:sSubPr>
                        <m:ctrlPr>
                          <w:rPr>
                            <w:rFonts w:ascii="Cambria Math" w:eastAsiaTheme="minorEastAsia" w:hAnsi="Cambria Math"/>
                            <w:i/>
                            <w:sz w:val="18"/>
                            <w:szCs w:val="18"/>
                          </w:rPr>
                        </m:ctrlPr>
                      </m:sSubPr>
                      <m:e>
                        <m:r>
                          <w:rPr>
                            <w:rFonts w:ascii="Cambria Math" w:eastAsiaTheme="minorEastAsia" w:hAnsi="Cambria Math"/>
                            <w:sz w:val="18"/>
                            <w:szCs w:val="18"/>
                          </w:rPr>
                          <m:t>P</m:t>
                        </m:r>
                      </m:e>
                      <m:sub>
                        <m:sSub>
                          <m:sSubPr>
                            <m:ctrlPr>
                              <w:rPr>
                                <w:rFonts w:ascii="Cambria Math" w:eastAsiaTheme="minorEastAsia" w:hAnsi="Cambria Math"/>
                                <w:i/>
                                <w:sz w:val="18"/>
                                <w:szCs w:val="18"/>
                              </w:rPr>
                            </m:ctrlPr>
                          </m:sSubPr>
                          <m:e>
                            <m:r>
                              <w:rPr>
                                <w:rFonts w:ascii="Cambria Math" w:eastAsiaTheme="minorEastAsia" w:hAnsi="Cambria Math"/>
                                <w:sz w:val="18"/>
                                <w:szCs w:val="18"/>
                              </w:rPr>
                              <m:t>C</m:t>
                            </m:r>
                          </m:e>
                          <m:sub>
                            <m:r>
                              <w:rPr>
                                <w:rFonts w:ascii="Cambria Math" w:eastAsiaTheme="minorEastAsia" w:hAnsi="Cambria Math"/>
                                <w:sz w:val="18"/>
                                <w:szCs w:val="18"/>
                              </w:rPr>
                              <m:t>7</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H</m:t>
                            </m:r>
                          </m:e>
                          <m:sub>
                            <m:r>
                              <w:rPr>
                                <w:rFonts w:ascii="Cambria Math" w:eastAsiaTheme="minorEastAsia" w:hAnsi="Cambria Math"/>
                                <w:sz w:val="18"/>
                                <w:szCs w:val="18"/>
                              </w:rPr>
                              <m:t>8</m:t>
                            </m:r>
                          </m:sub>
                        </m:sSub>
                      </m:sub>
                    </m:sSub>
                    <m:sSub>
                      <m:sSubPr>
                        <m:ctrlPr>
                          <w:rPr>
                            <w:rFonts w:ascii="Cambria Math" w:eastAsiaTheme="minorEastAsia" w:hAnsi="Cambria Math"/>
                            <w:i/>
                            <w:sz w:val="18"/>
                            <w:szCs w:val="18"/>
                          </w:rPr>
                        </m:ctrlPr>
                      </m:sSubPr>
                      <m:e>
                        <m:r>
                          <w:rPr>
                            <w:rFonts w:ascii="Cambria Math" w:eastAsiaTheme="minorEastAsia" w:hAnsi="Cambria Math"/>
                            <w:sz w:val="18"/>
                            <w:szCs w:val="18"/>
                          </w:rPr>
                          <m:t>P</m:t>
                        </m:r>
                      </m:e>
                      <m:sub>
                        <m:sSub>
                          <m:sSubPr>
                            <m:ctrlPr>
                              <w:rPr>
                                <w:rFonts w:ascii="Cambria Math" w:eastAsiaTheme="minorEastAsia" w:hAnsi="Cambria Math"/>
                                <w:i/>
                                <w:sz w:val="18"/>
                                <w:szCs w:val="18"/>
                              </w:rPr>
                            </m:ctrlPr>
                          </m:sSubPr>
                          <m:e>
                            <m:r>
                              <w:rPr>
                                <w:rFonts w:ascii="Cambria Math" w:eastAsiaTheme="minorEastAsia" w:hAnsi="Cambria Math"/>
                                <w:sz w:val="18"/>
                                <w:szCs w:val="18"/>
                              </w:rPr>
                              <m:t>H</m:t>
                            </m:r>
                          </m:e>
                          <m:sub>
                            <m:r>
                              <w:rPr>
                                <w:rFonts w:ascii="Cambria Math" w:eastAsiaTheme="minorEastAsia" w:hAnsi="Cambria Math"/>
                                <w:sz w:val="18"/>
                                <w:szCs w:val="18"/>
                              </w:rPr>
                              <m:t>2</m:t>
                            </m:r>
                          </m:sub>
                        </m:sSub>
                      </m:sub>
                    </m:sSub>
                  </m:num>
                  <m:den>
                    <m:sSub>
                      <m:sSubPr>
                        <m:ctrlPr>
                          <w:rPr>
                            <w:rFonts w:ascii="Cambria Math" w:eastAsiaTheme="minorEastAsia" w:hAnsi="Cambria Math"/>
                            <w:i/>
                            <w:sz w:val="18"/>
                            <w:szCs w:val="18"/>
                          </w:rPr>
                        </m:ctrlPr>
                      </m:sSubPr>
                      <m:e>
                        <m:r>
                          <w:rPr>
                            <w:rFonts w:ascii="Cambria Math" w:eastAsiaTheme="minorEastAsia" w:hAnsi="Cambria Math"/>
                            <w:sz w:val="18"/>
                            <w:szCs w:val="18"/>
                          </w:rPr>
                          <m:t>K</m:t>
                        </m:r>
                      </m:e>
                      <m:sub>
                        <m:r>
                          <w:rPr>
                            <w:rFonts w:ascii="Cambria Math" w:eastAsiaTheme="minorEastAsia" w:hAnsi="Cambria Math"/>
                            <w:sz w:val="18"/>
                            <w:szCs w:val="18"/>
                          </w:rPr>
                          <m:t>eq</m:t>
                        </m:r>
                        <m:r>
                          <w:rPr>
                            <w:rFonts w:ascii="Cambria Math" w:eastAsiaTheme="minorEastAsia" w:hAnsi="Cambria Math"/>
                            <w:sz w:val="18"/>
                            <w:szCs w:val="18"/>
                          </w:rPr>
                          <m:t>,</m:t>
                        </m:r>
                        <m:r>
                          <w:rPr>
                            <w:rFonts w:ascii="Cambria Math" w:eastAsiaTheme="minorEastAsia" w:hAnsi="Cambria Math"/>
                            <w:sz w:val="18"/>
                            <w:szCs w:val="18"/>
                          </w:rPr>
                          <m:t>bt</m:t>
                        </m:r>
                      </m:sub>
                    </m:sSub>
                  </m:den>
                </m:f>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cat</m:t>
                </m:r>
              </m:sub>
            </m:sSub>
            <m:ctrlPr>
              <w:rPr>
                <w:rFonts w:ascii="Cambria Math" w:hAnsi="Cambria Math"/>
                <w:i/>
                <w:sz w:val="18"/>
                <w:szCs w:val="18"/>
              </w:rPr>
            </m:ctrlPr>
          </m:num>
          <m:den>
            <m:r>
              <w:rPr>
                <w:rFonts w:ascii="Cambria Math" w:hAnsi="Cambria Math"/>
                <w:sz w:val="18"/>
                <w:szCs w:val="18"/>
              </w:rPr>
              <m:t>1+</m:t>
            </m:r>
            <m:d>
              <m:dPr>
                <m:ctrlPr>
                  <w:rPr>
                    <w:rFonts w:ascii="Cambria Math" w:hAnsi="Cambria Math"/>
                    <w:i/>
                    <w:sz w:val="18"/>
                    <w:szCs w:val="18"/>
                  </w:rPr>
                </m:ctrlPr>
              </m:dPr>
              <m:e>
                <m:sSubSup>
                  <m:sSubSupPr>
                    <m:ctrlPr>
                      <w:rPr>
                        <w:rFonts w:ascii="Cambria Math" w:hAnsi="Cambria Math"/>
                        <w:i/>
                        <w:sz w:val="18"/>
                        <w:szCs w:val="18"/>
                      </w:rPr>
                    </m:ctrlPr>
                  </m:sSubSupPr>
                  <m:e>
                    <m:r>
                      <w:rPr>
                        <w:rFonts w:ascii="Cambria Math" w:hAnsi="Cambria Math"/>
                        <w:sz w:val="18"/>
                        <w:szCs w:val="18"/>
                      </w:rPr>
                      <m:t>K</m:t>
                    </m:r>
                  </m:e>
                  <m:sub>
                    <m:sSub>
                      <m:sSubPr>
                        <m:ctrlPr>
                          <w:rPr>
                            <w:rFonts w:ascii="Cambria Math" w:hAnsi="Cambria Math"/>
                            <w:i/>
                            <w:sz w:val="18"/>
                            <w:szCs w:val="18"/>
                          </w:rPr>
                        </m:ctrlPr>
                      </m:sSubPr>
                      <m:e>
                        <m:r>
                          <w:rPr>
                            <w:rFonts w:ascii="Cambria Math" w:hAnsi="Cambria Math"/>
                            <w:sz w:val="18"/>
                            <w:szCs w:val="18"/>
                          </w:rPr>
                          <m:t>H</m:t>
                        </m:r>
                      </m:e>
                      <m:sub>
                        <m:r>
                          <w:rPr>
                            <w:rFonts w:ascii="Cambria Math" w:hAnsi="Cambria Math"/>
                            <w:sz w:val="18"/>
                            <w:szCs w:val="18"/>
                          </w:rPr>
                          <m:t>2</m:t>
                        </m:r>
                      </m:sub>
                    </m:sSub>
                  </m:sub>
                  <m:sup>
                    <m:r>
                      <w:rPr>
                        <w:rFonts w:ascii="Cambria Math" w:hAnsi="Cambria Math"/>
                        <w:sz w:val="18"/>
                        <w:szCs w:val="18"/>
                      </w:rPr>
                      <m:t>a</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2</m:t>
                        </m:r>
                      </m:sub>
                    </m:sSub>
                  </m:sup>
                </m:sSubSup>
                <m:sSub>
                  <m:sSubPr>
                    <m:ctrlPr>
                      <w:rPr>
                        <w:rFonts w:ascii="Cambria Math" w:hAnsi="Cambria Math"/>
                        <w:i/>
                        <w:sz w:val="18"/>
                        <w:szCs w:val="18"/>
                      </w:rPr>
                    </m:ctrlPr>
                  </m:sSubPr>
                  <m:e>
                    <m:r>
                      <w:rPr>
                        <w:rFonts w:ascii="Cambria Math" w:hAnsi="Cambria Math"/>
                        <w:sz w:val="18"/>
                        <w:szCs w:val="18"/>
                      </w:rPr>
                      <m:t>P</m:t>
                    </m:r>
                  </m:e>
                  <m:sub>
                    <m:sSub>
                      <m:sSubPr>
                        <m:ctrlPr>
                          <w:rPr>
                            <w:rFonts w:ascii="Cambria Math" w:hAnsi="Cambria Math"/>
                            <w:i/>
                            <w:sz w:val="18"/>
                            <w:szCs w:val="18"/>
                          </w:rPr>
                        </m:ctrlPr>
                      </m:sSubPr>
                      <m:e>
                        <m:r>
                          <w:rPr>
                            <w:rFonts w:ascii="Cambria Math" w:hAnsi="Cambria Math"/>
                            <w:sz w:val="18"/>
                            <w:szCs w:val="18"/>
                          </w:rPr>
                          <m:t>H</m:t>
                        </m:r>
                      </m:e>
                      <m:sub>
                        <m:r>
                          <w:rPr>
                            <w:rFonts w:ascii="Cambria Math" w:hAnsi="Cambria Math"/>
                            <w:sz w:val="18"/>
                            <w:szCs w:val="18"/>
                          </w:rPr>
                          <m:t>2</m:t>
                        </m:r>
                      </m:sub>
                    </m:sSub>
                  </m:sub>
                </m:sSub>
                <m:r>
                  <w:rPr>
                    <w:rFonts w:ascii="Cambria Math" w:hAnsi="Cambria Math"/>
                    <w:sz w:val="18"/>
                    <w:szCs w:val="18"/>
                  </w:rPr>
                  <m:t>+</m:t>
                </m:r>
                <m:sSubSup>
                  <m:sSubSupPr>
                    <m:ctrlPr>
                      <w:rPr>
                        <w:rFonts w:ascii="Cambria Math" w:hAnsi="Cambria Math"/>
                        <w:i/>
                        <w:sz w:val="18"/>
                        <w:szCs w:val="18"/>
                      </w:rPr>
                    </m:ctrlPr>
                  </m:sSubSupPr>
                  <m:e>
                    <m:r>
                      <w:rPr>
                        <w:rFonts w:ascii="Cambria Math" w:hAnsi="Cambria Math"/>
                        <w:sz w:val="18"/>
                        <w:szCs w:val="18"/>
                      </w:rPr>
                      <m:t>K</m:t>
                    </m:r>
                  </m:e>
                  <m:sub>
                    <m:r>
                      <w:rPr>
                        <w:rFonts w:ascii="Cambria Math" w:hAnsi="Cambria Math"/>
                        <w:sz w:val="18"/>
                        <w:szCs w:val="18"/>
                      </w:rPr>
                      <m:t>C</m:t>
                    </m:r>
                    <m:sSub>
                      <m:sSubPr>
                        <m:ctrlPr>
                          <w:rPr>
                            <w:rFonts w:ascii="Cambria Math" w:hAnsi="Cambria Math"/>
                            <w:i/>
                            <w:sz w:val="18"/>
                            <w:szCs w:val="18"/>
                          </w:rPr>
                        </m:ctrlPr>
                      </m:sSubPr>
                      <m:e>
                        <m:r>
                          <w:rPr>
                            <w:rFonts w:ascii="Cambria Math" w:hAnsi="Cambria Math"/>
                            <w:sz w:val="18"/>
                            <w:szCs w:val="18"/>
                          </w:rPr>
                          <m:t>H</m:t>
                        </m:r>
                      </m:e>
                      <m:sub>
                        <m:r>
                          <w:rPr>
                            <w:rFonts w:ascii="Cambria Math" w:hAnsi="Cambria Math"/>
                            <w:sz w:val="18"/>
                            <w:szCs w:val="18"/>
                          </w:rPr>
                          <m:t>4</m:t>
                        </m:r>
                      </m:sub>
                    </m:sSub>
                  </m:sub>
                  <m:sup>
                    <m:r>
                      <w:rPr>
                        <w:rFonts w:ascii="Cambria Math" w:hAnsi="Cambria Math"/>
                        <w:sz w:val="18"/>
                        <w:szCs w:val="18"/>
                      </w:rPr>
                      <m:t>a</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2</m:t>
                        </m:r>
                      </m:sub>
                    </m:sSub>
                  </m:sup>
                </m:sSubSup>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C</m:t>
                    </m:r>
                    <m:sSub>
                      <m:sSubPr>
                        <m:ctrlPr>
                          <w:rPr>
                            <w:rFonts w:ascii="Cambria Math" w:hAnsi="Cambria Math"/>
                            <w:i/>
                            <w:sz w:val="18"/>
                            <w:szCs w:val="18"/>
                          </w:rPr>
                        </m:ctrlPr>
                      </m:sSubPr>
                      <m:e>
                        <m:r>
                          <w:rPr>
                            <w:rFonts w:ascii="Cambria Math" w:hAnsi="Cambria Math"/>
                            <w:sz w:val="18"/>
                            <w:szCs w:val="18"/>
                          </w:rPr>
                          <m:t>H</m:t>
                        </m:r>
                      </m:e>
                      <m:sub>
                        <m:r>
                          <w:rPr>
                            <w:rFonts w:ascii="Cambria Math" w:hAnsi="Cambria Math"/>
                            <w:sz w:val="18"/>
                            <w:szCs w:val="18"/>
                          </w:rPr>
                          <m:t>4</m:t>
                        </m:r>
                      </m:sub>
                    </m:sSub>
                  </m:sub>
                </m:sSub>
                <m:r>
                  <w:rPr>
                    <w:rFonts w:ascii="Cambria Math" w:hAnsi="Cambria Math"/>
                    <w:sz w:val="18"/>
                    <w:szCs w:val="18"/>
                  </w:rPr>
                  <m:t>+</m:t>
                </m:r>
                <m:sSubSup>
                  <m:sSubSupPr>
                    <m:ctrlPr>
                      <w:rPr>
                        <w:rFonts w:ascii="Cambria Math" w:hAnsi="Cambria Math"/>
                        <w:i/>
                        <w:sz w:val="18"/>
                        <w:szCs w:val="18"/>
                      </w:rPr>
                    </m:ctrlPr>
                  </m:sSubSupPr>
                  <m:e>
                    <m:r>
                      <w:rPr>
                        <w:rFonts w:ascii="Cambria Math" w:hAnsi="Cambria Math"/>
                        <w:sz w:val="18"/>
                        <w:szCs w:val="18"/>
                      </w:rPr>
                      <m:t>K</m:t>
                    </m:r>
                  </m:e>
                  <m:sub>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2</m:t>
                        </m:r>
                      </m:sub>
                    </m:sSub>
                    <m:sSub>
                      <m:sSubPr>
                        <m:ctrlPr>
                          <w:rPr>
                            <w:rFonts w:ascii="Cambria Math" w:hAnsi="Cambria Math"/>
                            <w:i/>
                            <w:sz w:val="18"/>
                            <w:szCs w:val="18"/>
                          </w:rPr>
                        </m:ctrlPr>
                      </m:sSubPr>
                      <m:e>
                        <m:r>
                          <w:rPr>
                            <w:rFonts w:ascii="Cambria Math" w:hAnsi="Cambria Math"/>
                            <w:sz w:val="18"/>
                            <w:szCs w:val="18"/>
                          </w:rPr>
                          <m:t>H</m:t>
                        </m:r>
                      </m:e>
                      <m:sub>
                        <m:r>
                          <w:rPr>
                            <w:rFonts w:ascii="Cambria Math" w:hAnsi="Cambria Math"/>
                            <w:sz w:val="18"/>
                            <w:szCs w:val="18"/>
                          </w:rPr>
                          <m:t>4</m:t>
                        </m:r>
                      </m:sub>
                    </m:sSub>
                  </m:sub>
                  <m:sup>
                    <m:r>
                      <w:rPr>
                        <w:rFonts w:ascii="Cambria Math" w:hAnsi="Cambria Math"/>
                        <w:sz w:val="18"/>
                        <w:szCs w:val="18"/>
                      </w:rPr>
                      <m:t>a</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2</m:t>
                        </m:r>
                      </m:sub>
                    </m:sSub>
                  </m:sup>
                </m:sSubSup>
                <m:sSub>
                  <m:sSubPr>
                    <m:ctrlPr>
                      <w:rPr>
                        <w:rFonts w:ascii="Cambria Math" w:hAnsi="Cambria Math"/>
                        <w:i/>
                        <w:sz w:val="18"/>
                        <w:szCs w:val="18"/>
                      </w:rPr>
                    </m:ctrlPr>
                  </m:sSubPr>
                  <m:e>
                    <m:r>
                      <w:rPr>
                        <w:rFonts w:ascii="Cambria Math" w:hAnsi="Cambria Math"/>
                        <w:sz w:val="18"/>
                        <w:szCs w:val="18"/>
                      </w:rPr>
                      <m:t>P</m:t>
                    </m:r>
                  </m:e>
                  <m:sub>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2</m:t>
                        </m:r>
                      </m:sub>
                    </m:sSub>
                    <m:sSub>
                      <m:sSubPr>
                        <m:ctrlPr>
                          <w:rPr>
                            <w:rFonts w:ascii="Cambria Math" w:hAnsi="Cambria Math"/>
                            <w:i/>
                            <w:sz w:val="18"/>
                            <w:szCs w:val="18"/>
                          </w:rPr>
                        </m:ctrlPr>
                      </m:sSubPr>
                      <m:e>
                        <m:r>
                          <w:rPr>
                            <w:rFonts w:ascii="Cambria Math" w:hAnsi="Cambria Math"/>
                            <w:sz w:val="18"/>
                            <w:szCs w:val="18"/>
                          </w:rPr>
                          <m:t>H</m:t>
                        </m:r>
                      </m:e>
                      <m:sub>
                        <m:r>
                          <w:rPr>
                            <w:rFonts w:ascii="Cambria Math" w:hAnsi="Cambria Math"/>
                            <w:sz w:val="18"/>
                            <w:szCs w:val="18"/>
                          </w:rPr>
                          <m:t>4</m:t>
                        </m:r>
                      </m:sub>
                    </m:sSub>
                  </m:sub>
                </m:sSub>
                <m:r>
                  <w:rPr>
                    <w:rFonts w:ascii="Cambria Math" w:hAnsi="Cambria Math"/>
                    <w:sz w:val="18"/>
                    <w:szCs w:val="18"/>
                  </w:rPr>
                  <m:t>+</m:t>
                </m:r>
                <m:sSubSup>
                  <m:sSubSupPr>
                    <m:ctrlPr>
                      <w:rPr>
                        <w:rFonts w:ascii="Cambria Math" w:hAnsi="Cambria Math"/>
                        <w:i/>
                        <w:sz w:val="18"/>
                        <w:szCs w:val="18"/>
                      </w:rPr>
                    </m:ctrlPr>
                  </m:sSubSupPr>
                  <m:e>
                    <m:r>
                      <w:rPr>
                        <w:rFonts w:ascii="Cambria Math" w:hAnsi="Cambria Math"/>
                        <w:sz w:val="18"/>
                        <w:szCs w:val="18"/>
                      </w:rPr>
                      <m:t>K</m:t>
                    </m:r>
                  </m:e>
                  <m:sub>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6</m:t>
                        </m:r>
                      </m:sub>
                    </m:sSub>
                    <m:sSub>
                      <m:sSubPr>
                        <m:ctrlPr>
                          <w:rPr>
                            <w:rFonts w:ascii="Cambria Math" w:hAnsi="Cambria Math"/>
                            <w:i/>
                            <w:sz w:val="18"/>
                            <w:szCs w:val="18"/>
                          </w:rPr>
                        </m:ctrlPr>
                      </m:sSubPr>
                      <m:e>
                        <m:r>
                          <w:rPr>
                            <w:rFonts w:ascii="Cambria Math" w:hAnsi="Cambria Math"/>
                            <w:sz w:val="18"/>
                            <w:szCs w:val="18"/>
                          </w:rPr>
                          <m:t>H</m:t>
                        </m:r>
                      </m:e>
                      <m:sub>
                        <m:r>
                          <w:rPr>
                            <w:rFonts w:ascii="Cambria Math" w:hAnsi="Cambria Math"/>
                            <w:sz w:val="18"/>
                            <w:szCs w:val="18"/>
                          </w:rPr>
                          <m:t>6</m:t>
                        </m:r>
                      </m:sub>
                    </m:sSub>
                  </m:sub>
                  <m:sup>
                    <m:r>
                      <w:rPr>
                        <w:rFonts w:ascii="Cambria Math" w:hAnsi="Cambria Math"/>
                        <w:sz w:val="18"/>
                        <w:szCs w:val="18"/>
                      </w:rPr>
                      <m:t>a</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2</m:t>
                        </m:r>
                      </m:sub>
                    </m:sSub>
                  </m:sup>
                </m:sSubSup>
                <m:sSub>
                  <m:sSubPr>
                    <m:ctrlPr>
                      <w:rPr>
                        <w:rFonts w:ascii="Cambria Math" w:hAnsi="Cambria Math"/>
                        <w:i/>
                        <w:sz w:val="18"/>
                        <w:szCs w:val="18"/>
                      </w:rPr>
                    </m:ctrlPr>
                  </m:sSubPr>
                  <m:e>
                    <m:r>
                      <w:rPr>
                        <w:rFonts w:ascii="Cambria Math" w:hAnsi="Cambria Math"/>
                        <w:sz w:val="18"/>
                        <w:szCs w:val="18"/>
                      </w:rPr>
                      <m:t>P</m:t>
                    </m:r>
                  </m:e>
                  <m:sub>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6</m:t>
                        </m:r>
                      </m:sub>
                    </m:sSub>
                    <m:sSub>
                      <m:sSubPr>
                        <m:ctrlPr>
                          <w:rPr>
                            <w:rFonts w:ascii="Cambria Math" w:hAnsi="Cambria Math"/>
                            <w:i/>
                            <w:sz w:val="18"/>
                            <w:szCs w:val="18"/>
                          </w:rPr>
                        </m:ctrlPr>
                      </m:sSubPr>
                      <m:e>
                        <m:r>
                          <w:rPr>
                            <w:rFonts w:ascii="Cambria Math" w:hAnsi="Cambria Math"/>
                            <w:sz w:val="18"/>
                            <w:szCs w:val="18"/>
                          </w:rPr>
                          <m:t>H</m:t>
                        </m:r>
                      </m:e>
                      <m:sub>
                        <m:r>
                          <w:rPr>
                            <w:rFonts w:ascii="Cambria Math" w:hAnsi="Cambria Math"/>
                            <w:sz w:val="18"/>
                            <w:szCs w:val="18"/>
                          </w:rPr>
                          <m:t>6</m:t>
                        </m:r>
                      </m:sub>
                    </m:sSub>
                  </m:sub>
                </m:sSub>
                <m:r>
                  <w:rPr>
                    <w:rFonts w:ascii="Cambria Math" w:hAnsi="Cambria Math"/>
                    <w:sz w:val="18"/>
                    <w:szCs w:val="18"/>
                  </w:rPr>
                  <m:t>+</m:t>
                </m:r>
                <m:sSubSup>
                  <m:sSubSupPr>
                    <m:ctrlPr>
                      <w:rPr>
                        <w:rFonts w:ascii="Cambria Math" w:hAnsi="Cambria Math"/>
                        <w:i/>
                        <w:sz w:val="18"/>
                        <w:szCs w:val="18"/>
                      </w:rPr>
                    </m:ctrlPr>
                  </m:sSubSupPr>
                  <m:e>
                    <m:r>
                      <w:rPr>
                        <w:rFonts w:ascii="Cambria Math" w:hAnsi="Cambria Math"/>
                        <w:sz w:val="18"/>
                        <w:szCs w:val="18"/>
                      </w:rPr>
                      <m:t>K</m:t>
                    </m:r>
                  </m:e>
                  <m:sub>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7</m:t>
                        </m:r>
                      </m:sub>
                    </m:sSub>
                    <m:sSub>
                      <m:sSubPr>
                        <m:ctrlPr>
                          <w:rPr>
                            <w:rFonts w:ascii="Cambria Math" w:hAnsi="Cambria Math"/>
                            <w:i/>
                            <w:sz w:val="18"/>
                            <w:szCs w:val="18"/>
                          </w:rPr>
                        </m:ctrlPr>
                      </m:sSubPr>
                      <m:e>
                        <m:r>
                          <w:rPr>
                            <w:rFonts w:ascii="Cambria Math" w:hAnsi="Cambria Math"/>
                            <w:sz w:val="18"/>
                            <w:szCs w:val="18"/>
                          </w:rPr>
                          <m:t>H</m:t>
                        </m:r>
                      </m:e>
                      <m:sub>
                        <m:r>
                          <w:rPr>
                            <w:rFonts w:ascii="Cambria Math" w:hAnsi="Cambria Math"/>
                            <w:sz w:val="18"/>
                            <w:szCs w:val="18"/>
                          </w:rPr>
                          <m:t>8</m:t>
                        </m:r>
                      </m:sub>
                    </m:sSub>
                  </m:sub>
                  <m:sup>
                    <m:r>
                      <w:rPr>
                        <w:rFonts w:ascii="Cambria Math" w:hAnsi="Cambria Math"/>
                        <w:sz w:val="18"/>
                        <w:szCs w:val="18"/>
                      </w:rPr>
                      <m:t>a</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2</m:t>
                        </m:r>
                      </m:sub>
                    </m:sSub>
                  </m:sup>
                </m:sSubSup>
                <m:sSub>
                  <m:sSubPr>
                    <m:ctrlPr>
                      <w:rPr>
                        <w:rFonts w:ascii="Cambria Math" w:hAnsi="Cambria Math"/>
                        <w:i/>
                        <w:sz w:val="18"/>
                        <w:szCs w:val="18"/>
                      </w:rPr>
                    </m:ctrlPr>
                  </m:sSubPr>
                  <m:e>
                    <m:r>
                      <w:rPr>
                        <w:rFonts w:ascii="Cambria Math" w:hAnsi="Cambria Math"/>
                        <w:sz w:val="18"/>
                        <w:szCs w:val="18"/>
                      </w:rPr>
                      <m:t>P</m:t>
                    </m:r>
                  </m:e>
                  <m:sub>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7</m:t>
                        </m:r>
                      </m:sub>
                    </m:sSub>
                    <m:sSub>
                      <m:sSubPr>
                        <m:ctrlPr>
                          <w:rPr>
                            <w:rFonts w:ascii="Cambria Math" w:hAnsi="Cambria Math"/>
                            <w:i/>
                            <w:sz w:val="18"/>
                            <w:szCs w:val="18"/>
                          </w:rPr>
                        </m:ctrlPr>
                      </m:sSubPr>
                      <m:e>
                        <m:r>
                          <w:rPr>
                            <w:rFonts w:ascii="Cambria Math" w:hAnsi="Cambria Math"/>
                            <w:sz w:val="18"/>
                            <w:szCs w:val="18"/>
                          </w:rPr>
                          <m:t>H</m:t>
                        </m:r>
                      </m:e>
                      <m:sub>
                        <m:r>
                          <w:rPr>
                            <w:rFonts w:ascii="Cambria Math" w:hAnsi="Cambria Math"/>
                            <w:sz w:val="18"/>
                            <w:szCs w:val="18"/>
                          </w:rPr>
                          <m:t>8</m:t>
                        </m:r>
                      </m:sub>
                    </m:sSub>
                  </m:sub>
                </m:sSub>
              </m:e>
            </m:d>
          </m:den>
        </m:f>
      </m:oMath>
      <w:r w:rsidR="00A93D24">
        <w:rPr>
          <w:rFonts w:eastAsiaTheme="minorEastAsia"/>
          <w:sz w:val="18"/>
          <w:szCs w:val="18"/>
        </w:rPr>
        <w:t xml:space="preserve"> </w:t>
      </w:r>
      <w:r w:rsidR="00A93D24">
        <w:rPr>
          <w:rFonts w:eastAsiaTheme="minorEastAsia"/>
          <w:sz w:val="18"/>
          <w:szCs w:val="18"/>
        </w:rPr>
        <w:tab/>
      </w:r>
      <w:r w:rsidR="00A93D24">
        <w:rPr>
          <w:rFonts w:eastAsiaTheme="minorEastAsia"/>
          <w:sz w:val="18"/>
          <w:szCs w:val="18"/>
        </w:rPr>
        <w:tab/>
      </w:r>
      <w:r w:rsidR="00A93D24">
        <w:rPr>
          <w:rFonts w:eastAsiaTheme="minorEastAsia"/>
          <w:sz w:val="18"/>
          <w:szCs w:val="18"/>
        </w:rPr>
        <w:tab/>
      </w:r>
      <w:r w:rsidR="00A93D24">
        <w:rPr>
          <w:rFonts w:eastAsiaTheme="minorEastAsia"/>
          <w:sz w:val="18"/>
          <w:szCs w:val="18"/>
        </w:rPr>
        <w:tab/>
      </w:r>
      <w:r w:rsidR="00A93D24" w:rsidRPr="00E30DC2">
        <w:rPr>
          <w:rFonts w:eastAsiaTheme="minorEastAsia"/>
        </w:rPr>
        <w:t>(3.8)</w:t>
      </w:r>
    </w:p>
    <w:p w14:paraId="2D0E1660" w14:textId="4C23068D" w:rsidR="00A93D24" w:rsidRPr="004309E8" w:rsidRDefault="00924E48" w:rsidP="00A93D24">
      <w:pPr>
        <w:jc w:val="right"/>
        <w:rPr>
          <w:rFonts w:eastAsiaTheme="minorEastAsia"/>
          <w:sz w:val="18"/>
          <w:szCs w:val="18"/>
        </w:rPr>
      </w:pPr>
      <m:oMath>
        <m:sSub>
          <m:sSubPr>
            <m:ctrlPr>
              <w:rPr>
                <w:rFonts w:ascii="Cambria Math" w:eastAsiaTheme="minorEastAsia" w:hAnsi="Cambria Math"/>
                <w:i/>
                <w:sz w:val="18"/>
                <w:szCs w:val="18"/>
              </w:rPr>
            </m:ctrlPr>
          </m:sSubPr>
          <m:e>
            <m:r>
              <w:rPr>
                <w:rFonts w:ascii="Cambria Math" w:eastAsiaTheme="minorEastAsia" w:hAnsi="Cambria Math"/>
                <w:sz w:val="18"/>
                <w:szCs w:val="18"/>
              </w:rPr>
              <m:t>r</m:t>
            </m:r>
          </m:e>
          <m:sub>
            <m:r>
              <w:rPr>
                <w:rFonts w:ascii="Cambria Math" w:eastAsiaTheme="minorEastAsia" w:hAnsi="Cambria Math"/>
                <w:sz w:val="18"/>
                <w:szCs w:val="18"/>
              </w:rPr>
              <m:t>po</m:t>
            </m:r>
          </m:sub>
        </m:sSub>
        <m:r>
          <w:rPr>
            <w:rFonts w:ascii="Cambria Math" w:eastAsiaTheme="minorEastAsia" w:hAnsi="Cambria Math"/>
            <w:sz w:val="18"/>
            <w:szCs w:val="18"/>
          </w:rPr>
          <m:t>=</m:t>
        </m:r>
        <m:f>
          <m:fPr>
            <m:ctrlPr>
              <w:rPr>
                <w:rFonts w:ascii="Cambria Math" w:eastAsiaTheme="minorEastAsia" w:hAnsi="Cambria Math"/>
                <w:i/>
                <w:sz w:val="18"/>
                <w:szCs w:val="18"/>
              </w:rPr>
            </m:ctrlPr>
          </m:fPr>
          <m:num>
            <m:sSub>
              <m:sSubPr>
                <m:ctrlPr>
                  <w:rPr>
                    <w:rFonts w:ascii="Cambria Math" w:eastAsiaTheme="minorEastAsia" w:hAnsi="Cambria Math"/>
                    <w:i/>
                    <w:sz w:val="18"/>
                    <w:szCs w:val="18"/>
                  </w:rPr>
                </m:ctrlPr>
              </m:sSubPr>
              <m:e>
                <m:r>
                  <w:rPr>
                    <w:rFonts w:ascii="Cambria Math" w:eastAsiaTheme="minorEastAsia" w:hAnsi="Cambria Math"/>
                    <w:sz w:val="18"/>
                    <w:szCs w:val="18"/>
                  </w:rPr>
                  <m:t>k</m:t>
                </m:r>
              </m:e>
              <m:sub>
                <m:r>
                  <w:rPr>
                    <w:rFonts w:ascii="Cambria Math" w:eastAsiaTheme="minorEastAsia" w:hAnsi="Cambria Math"/>
                    <w:sz w:val="18"/>
                    <w:szCs w:val="18"/>
                  </w:rPr>
                  <m:t>co</m:t>
                </m:r>
              </m:sub>
            </m:sSub>
            <m:d>
              <m:dPr>
                <m:ctrlPr>
                  <w:rPr>
                    <w:rFonts w:ascii="Cambria Math" w:eastAsiaTheme="minorEastAsia" w:hAnsi="Cambria Math"/>
                    <w:i/>
                    <w:sz w:val="18"/>
                    <w:szCs w:val="18"/>
                  </w:rPr>
                </m:ctrlPr>
              </m:dPr>
              <m:e>
                <m:sSub>
                  <m:sSubPr>
                    <m:ctrlPr>
                      <w:rPr>
                        <w:rFonts w:ascii="Cambria Math" w:eastAsiaTheme="minorEastAsia" w:hAnsi="Cambria Math"/>
                        <w:i/>
                        <w:sz w:val="18"/>
                        <w:szCs w:val="18"/>
                      </w:rPr>
                    </m:ctrlPr>
                  </m:sSubPr>
                  <m:e>
                    <m:r>
                      <w:rPr>
                        <w:rFonts w:ascii="Cambria Math" w:eastAsiaTheme="minorEastAsia" w:hAnsi="Cambria Math"/>
                        <w:sz w:val="18"/>
                        <w:szCs w:val="18"/>
                      </w:rPr>
                      <m:t>P</m:t>
                    </m:r>
                  </m:e>
                  <m:sub>
                    <m:r>
                      <w:rPr>
                        <w:rFonts w:ascii="Cambria Math" w:eastAsiaTheme="minorEastAsia" w:hAnsi="Cambria Math"/>
                        <w:sz w:val="18"/>
                        <w:szCs w:val="18"/>
                      </w:rPr>
                      <m:t>C</m:t>
                    </m:r>
                    <m:sSub>
                      <m:sSubPr>
                        <m:ctrlPr>
                          <w:rPr>
                            <w:rFonts w:ascii="Cambria Math" w:eastAsiaTheme="minorEastAsia" w:hAnsi="Cambria Math"/>
                            <w:i/>
                            <w:sz w:val="18"/>
                            <w:szCs w:val="18"/>
                          </w:rPr>
                        </m:ctrlPr>
                      </m:sSubPr>
                      <m:e>
                        <m:r>
                          <w:rPr>
                            <w:rFonts w:ascii="Cambria Math" w:eastAsiaTheme="minorEastAsia" w:hAnsi="Cambria Math"/>
                            <w:sz w:val="18"/>
                            <w:szCs w:val="18"/>
                          </w:rPr>
                          <m:t>H</m:t>
                        </m:r>
                      </m:e>
                      <m:sub>
                        <m:r>
                          <w:rPr>
                            <w:rFonts w:ascii="Cambria Math" w:eastAsiaTheme="minorEastAsia" w:hAnsi="Cambria Math"/>
                            <w:sz w:val="18"/>
                            <w:szCs w:val="18"/>
                          </w:rPr>
                          <m:t>4</m:t>
                        </m:r>
                      </m:sub>
                    </m:sSub>
                  </m:sub>
                </m:sSub>
                <m:sSubSup>
                  <m:sSubSupPr>
                    <m:ctrlPr>
                      <w:rPr>
                        <w:rFonts w:ascii="Cambria Math" w:eastAsiaTheme="minorEastAsia" w:hAnsi="Cambria Math"/>
                        <w:i/>
                        <w:sz w:val="18"/>
                        <w:szCs w:val="18"/>
                      </w:rPr>
                    </m:ctrlPr>
                  </m:sSubSupPr>
                  <m:e>
                    <m:r>
                      <w:rPr>
                        <w:rFonts w:ascii="Cambria Math" w:eastAsiaTheme="minorEastAsia" w:hAnsi="Cambria Math"/>
                        <w:sz w:val="18"/>
                        <w:szCs w:val="18"/>
                      </w:rPr>
                      <m:t>P</m:t>
                    </m:r>
                  </m:e>
                  <m:sub>
                    <m:sSub>
                      <m:sSubPr>
                        <m:ctrlPr>
                          <w:rPr>
                            <w:rFonts w:ascii="Cambria Math" w:eastAsiaTheme="minorEastAsia" w:hAnsi="Cambria Math"/>
                            <w:i/>
                            <w:sz w:val="18"/>
                            <w:szCs w:val="18"/>
                          </w:rPr>
                        </m:ctrlPr>
                      </m:sSubPr>
                      <m:e>
                        <m:r>
                          <w:rPr>
                            <w:rFonts w:ascii="Cambria Math" w:eastAsiaTheme="minorEastAsia" w:hAnsi="Cambria Math"/>
                            <w:sz w:val="18"/>
                            <w:szCs w:val="18"/>
                          </w:rPr>
                          <m:t>O</m:t>
                        </m:r>
                      </m:e>
                      <m:sub>
                        <m:r>
                          <w:rPr>
                            <w:rFonts w:ascii="Cambria Math" w:eastAsiaTheme="minorEastAsia" w:hAnsi="Cambria Math"/>
                            <w:sz w:val="18"/>
                            <w:szCs w:val="18"/>
                          </w:rPr>
                          <m:t>2</m:t>
                        </m:r>
                      </m:sub>
                    </m:sSub>
                    <m:r>
                      <w:rPr>
                        <w:rFonts w:ascii="Cambria Math" w:eastAsiaTheme="minorEastAsia" w:hAnsi="Cambria Math"/>
                        <w:sz w:val="18"/>
                        <w:szCs w:val="18"/>
                      </w:rPr>
                      <m:t>,</m:t>
                    </m:r>
                    <m:r>
                      <w:rPr>
                        <w:rFonts w:ascii="Cambria Math" w:eastAsiaTheme="minorEastAsia" w:hAnsi="Cambria Math"/>
                        <w:sz w:val="18"/>
                        <w:szCs w:val="18"/>
                      </w:rPr>
                      <m:t>air</m:t>
                    </m:r>
                  </m:sub>
                  <m:sup>
                    <m:r>
                      <w:rPr>
                        <w:rFonts w:ascii="Cambria Math" w:eastAsiaTheme="minorEastAsia" w:hAnsi="Cambria Math"/>
                        <w:sz w:val="18"/>
                        <w:szCs w:val="18"/>
                      </w:rPr>
                      <m:t>0.5</m:t>
                    </m:r>
                  </m:sup>
                </m:sSubSup>
                <m:r>
                  <w:rPr>
                    <w:rFonts w:ascii="Cambria Math" w:eastAsiaTheme="minorEastAsia" w:hAnsi="Cambria Math"/>
                    <w:sz w:val="18"/>
                    <w:szCs w:val="18"/>
                  </w:rPr>
                  <m:t>-</m:t>
                </m:r>
                <m:f>
                  <m:fPr>
                    <m:ctrlPr>
                      <w:rPr>
                        <w:rFonts w:ascii="Cambria Math" w:eastAsiaTheme="minorEastAsia" w:hAnsi="Cambria Math"/>
                        <w:i/>
                        <w:sz w:val="18"/>
                        <w:szCs w:val="18"/>
                      </w:rPr>
                    </m:ctrlPr>
                  </m:fPr>
                  <m:num>
                    <m:sSub>
                      <m:sSubPr>
                        <m:ctrlPr>
                          <w:rPr>
                            <w:rFonts w:ascii="Cambria Math" w:eastAsiaTheme="minorEastAsia" w:hAnsi="Cambria Math"/>
                            <w:i/>
                            <w:sz w:val="18"/>
                            <w:szCs w:val="18"/>
                          </w:rPr>
                        </m:ctrlPr>
                      </m:sSubPr>
                      <m:e>
                        <m:r>
                          <w:rPr>
                            <w:rFonts w:ascii="Cambria Math" w:eastAsiaTheme="minorEastAsia" w:hAnsi="Cambria Math"/>
                            <w:sz w:val="18"/>
                            <w:szCs w:val="18"/>
                          </w:rPr>
                          <m:t>P</m:t>
                        </m:r>
                      </m:e>
                      <m:sub>
                        <m:r>
                          <w:rPr>
                            <w:rFonts w:ascii="Cambria Math" w:eastAsiaTheme="minorEastAsia" w:hAnsi="Cambria Math"/>
                            <w:sz w:val="18"/>
                            <w:szCs w:val="18"/>
                          </w:rPr>
                          <m:t>CO</m:t>
                        </m:r>
                      </m:sub>
                    </m:sSub>
                    <m:sSubSup>
                      <m:sSubSupPr>
                        <m:ctrlPr>
                          <w:rPr>
                            <w:rFonts w:ascii="Cambria Math" w:eastAsiaTheme="minorEastAsia" w:hAnsi="Cambria Math"/>
                            <w:i/>
                            <w:sz w:val="18"/>
                            <w:szCs w:val="18"/>
                          </w:rPr>
                        </m:ctrlPr>
                      </m:sSubSupPr>
                      <m:e>
                        <m:r>
                          <w:rPr>
                            <w:rFonts w:ascii="Cambria Math" w:eastAsiaTheme="minorEastAsia" w:hAnsi="Cambria Math"/>
                            <w:sz w:val="18"/>
                            <w:szCs w:val="18"/>
                          </w:rPr>
                          <m:t>P</m:t>
                        </m:r>
                      </m:e>
                      <m:sub>
                        <m:sSub>
                          <m:sSubPr>
                            <m:ctrlPr>
                              <w:rPr>
                                <w:rFonts w:ascii="Cambria Math" w:eastAsiaTheme="minorEastAsia" w:hAnsi="Cambria Math"/>
                                <w:i/>
                                <w:sz w:val="18"/>
                                <w:szCs w:val="18"/>
                              </w:rPr>
                            </m:ctrlPr>
                          </m:sSubPr>
                          <m:e>
                            <m:r>
                              <w:rPr>
                                <w:rFonts w:ascii="Cambria Math" w:eastAsiaTheme="minorEastAsia" w:hAnsi="Cambria Math"/>
                                <w:sz w:val="18"/>
                                <w:szCs w:val="18"/>
                              </w:rPr>
                              <m:t>H</m:t>
                            </m:r>
                          </m:e>
                          <m:sub>
                            <m:r>
                              <w:rPr>
                                <w:rFonts w:ascii="Cambria Math" w:eastAsiaTheme="minorEastAsia" w:hAnsi="Cambria Math"/>
                                <w:sz w:val="18"/>
                                <w:szCs w:val="18"/>
                              </w:rPr>
                              <m:t>2</m:t>
                            </m:r>
                          </m:sub>
                        </m:sSub>
                      </m:sub>
                      <m:sup>
                        <m:r>
                          <w:rPr>
                            <w:rFonts w:ascii="Cambria Math" w:eastAsiaTheme="minorEastAsia" w:hAnsi="Cambria Math"/>
                            <w:sz w:val="18"/>
                            <w:szCs w:val="18"/>
                          </w:rPr>
                          <m:t>2</m:t>
                        </m:r>
                      </m:sup>
                    </m:sSubSup>
                  </m:num>
                  <m:den>
                    <m:sSub>
                      <m:sSubPr>
                        <m:ctrlPr>
                          <w:rPr>
                            <w:rFonts w:ascii="Cambria Math" w:eastAsiaTheme="minorEastAsia" w:hAnsi="Cambria Math"/>
                            <w:i/>
                            <w:sz w:val="18"/>
                            <w:szCs w:val="18"/>
                          </w:rPr>
                        </m:ctrlPr>
                      </m:sSubPr>
                      <m:e>
                        <m:r>
                          <w:rPr>
                            <w:rFonts w:ascii="Cambria Math" w:eastAsiaTheme="minorEastAsia" w:hAnsi="Cambria Math"/>
                            <w:sz w:val="18"/>
                            <w:szCs w:val="18"/>
                          </w:rPr>
                          <m:t>K</m:t>
                        </m:r>
                      </m:e>
                      <m:sub>
                        <m:r>
                          <w:rPr>
                            <w:rFonts w:ascii="Cambria Math" w:eastAsiaTheme="minorEastAsia" w:hAnsi="Cambria Math"/>
                            <w:sz w:val="18"/>
                            <w:szCs w:val="18"/>
                          </w:rPr>
                          <m:t>eq</m:t>
                        </m:r>
                        <m:r>
                          <w:rPr>
                            <w:rFonts w:ascii="Cambria Math" w:eastAsiaTheme="minorEastAsia" w:hAnsi="Cambria Math"/>
                            <w:sz w:val="18"/>
                            <w:szCs w:val="18"/>
                          </w:rPr>
                          <m:t>,</m:t>
                        </m:r>
                        <m:r>
                          <w:rPr>
                            <w:rFonts w:ascii="Cambria Math" w:eastAsiaTheme="minorEastAsia" w:hAnsi="Cambria Math"/>
                            <w:sz w:val="18"/>
                            <w:szCs w:val="18"/>
                          </w:rPr>
                          <m:t>co</m:t>
                        </m:r>
                      </m:sub>
                    </m:sSub>
                  </m:den>
                </m:f>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cat</m:t>
                </m:r>
              </m:sub>
            </m:sSub>
          </m:num>
          <m:den>
            <m:r>
              <w:rPr>
                <w:rFonts w:ascii="Cambria Math" w:hAnsi="Cambria Math"/>
                <w:sz w:val="18"/>
                <w:szCs w:val="18"/>
              </w:rPr>
              <m:t>1+</m:t>
            </m:r>
            <m:d>
              <m:dPr>
                <m:ctrlPr>
                  <w:rPr>
                    <w:rFonts w:ascii="Cambria Math" w:hAnsi="Cambria Math"/>
                    <w:i/>
                    <w:sz w:val="18"/>
                    <w:szCs w:val="18"/>
                  </w:rPr>
                </m:ctrlPr>
              </m:dPr>
              <m:e>
                <m:sSubSup>
                  <m:sSubSupPr>
                    <m:ctrlPr>
                      <w:rPr>
                        <w:rFonts w:ascii="Cambria Math" w:hAnsi="Cambria Math"/>
                        <w:i/>
                        <w:sz w:val="18"/>
                        <w:szCs w:val="18"/>
                      </w:rPr>
                    </m:ctrlPr>
                  </m:sSubSupPr>
                  <m:e>
                    <m:r>
                      <w:rPr>
                        <w:rFonts w:ascii="Cambria Math" w:hAnsi="Cambria Math"/>
                        <w:sz w:val="18"/>
                        <w:szCs w:val="18"/>
                      </w:rPr>
                      <m:t>K</m:t>
                    </m:r>
                  </m:e>
                  <m:sub>
                    <m:sSub>
                      <m:sSubPr>
                        <m:ctrlPr>
                          <w:rPr>
                            <w:rFonts w:ascii="Cambria Math" w:hAnsi="Cambria Math"/>
                            <w:i/>
                            <w:sz w:val="18"/>
                            <w:szCs w:val="18"/>
                          </w:rPr>
                        </m:ctrlPr>
                      </m:sSubPr>
                      <m:e>
                        <m:r>
                          <w:rPr>
                            <w:rFonts w:ascii="Cambria Math" w:hAnsi="Cambria Math"/>
                            <w:sz w:val="18"/>
                            <w:szCs w:val="18"/>
                          </w:rPr>
                          <m:t>H</m:t>
                        </m:r>
                      </m:e>
                      <m:sub>
                        <m:r>
                          <w:rPr>
                            <w:rFonts w:ascii="Cambria Math" w:hAnsi="Cambria Math"/>
                            <w:sz w:val="18"/>
                            <w:szCs w:val="18"/>
                          </w:rPr>
                          <m:t>2</m:t>
                        </m:r>
                      </m:sub>
                    </m:sSub>
                  </m:sub>
                  <m:sup>
                    <m:r>
                      <w:rPr>
                        <w:rFonts w:ascii="Cambria Math" w:hAnsi="Cambria Math"/>
                        <w:sz w:val="18"/>
                        <w:szCs w:val="18"/>
                      </w:rPr>
                      <m:t>a</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2</m:t>
                        </m:r>
                      </m:sub>
                    </m:sSub>
                  </m:sup>
                </m:sSubSup>
                <m:sSub>
                  <m:sSubPr>
                    <m:ctrlPr>
                      <w:rPr>
                        <w:rFonts w:ascii="Cambria Math" w:hAnsi="Cambria Math"/>
                        <w:i/>
                        <w:sz w:val="18"/>
                        <w:szCs w:val="18"/>
                      </w:rPr>
                    </m:ctrlPr>
                  </m:sSubPr>
                  <m:e>
                    <m:r>
                      <w:rPr>
                        <w:rFonts w:ascii="Cambria Math" w:hAnsi="Cambria Math"/>
                        <w:sz w:val="18"/>
                        <w:szCs w:val="18"/>
                      </w:rPr>
                      <m:t>P</m:t>
                    </m:r>
                  </m:e>
                  <m:sub>
                    <m:sSub>
                      <m:sSubPr>
                        <m:ctrlPr>
                          <w:rPr>
                            <w:rFonts w:ascii="Cambria Math" w:hAnsi="Cambria Math"/>
                            <w:i/>
                            <w:sz w:val="18"/>
                            <w:szCs w:val="18"/>
                          </w:rPr>
                        </m:ctrlPr>
                      </m:sSubPr>
                      <m:e>
                        <m:r>
                          <w:rPr>
                            <w:rFonts w:ascii="Cambria Math" w:hAnsi="Cambria Math"/>
                            <w:sz w:val="18"/>
                            <w:szCs w:val="18"/>
                          </w:rPr>
                          <m:t>H</m:t>
                        </m:r>
                      </m:e>
                      <m:sub>
                        <m:r>
                          <w:rPr>
                            <w:rFonts w:ascii="Cambria Math" w:hAnsi="Cambria Math"/>
                            <w:sz w:val="18"/>
                            <w:szCs w:val="18"/>
                          </w:rPr>
                          <m:t>2</m:t>
                        </m:r>
                      </m:sub>
                    </m:sSub>
                  </m:sub>
                </m:sSub>
                <m:r>
                  <w:rPr>
                    <w:rFonts w:ascii="Cambria Math" w:hAnsi="Cambria Math"/>
                    <w:sz w:val="18"/>
                    <w:szCs w:val="18"/>
                  </w:rPr>
                  <m:t>+</m:t>
                </m:r>
                <m:sSubSup>
                  <m:sSubSupPr>
                    <m:ctrlPr>
                      <w:rPr>
                        <w:rFonts w:ascii="Cambria Math" w:hAnsi="Cambria Math"/>
                        <w:i/>
                        <w:sz w:val="18"/>
                        <w:szCs w:val="18"/>
                      </w:rPr>
                    </m:ctrlPr>
                  </m:sSubSupPr>
                  <m:e>
                    <m:r>
                      <w:rPr>
                        <w:rFonts w:ascii="Cambria Math" w:hAnsi="Cambria Math"/>
                        <w:sz w:val="18"/>
                        <w:szCs w:val="18"/>
                      </w:rPr>
                      <m:t>K</m:t>
                    </m:r>
                  </m:e>
                  <m:sub>
                    <m:r>
                      <w:rPr>
                        <w:rFonts w:ascii="Cambria Math" w:hAnsi="Cambria Math"/>
                        <w:sz w:val="18"/>
                        <w:szCs w:val="18"/>
                      </w:rPr>
                      <m:t>C</m:t>
                    </m:r>
                    <m:sSub>
                      <m:sSubPr>
                        <m:ctrlPr>
                          <w:rPr>
                            <w:rFonts w:ascii="Cambria Math" w:hAnsi="Cambria Math"/>
                            <w:i/>
                            <w:sz w:val="18"/>
                            <w:szCs w:val="18"/>
                          </w:rPr>
                        </m:ctrlPr>
                      </m:sSubPr>
                      <m:e>
                        <m:r>
                          <w:rPr>
                            <w:rFonts w:ascii="Cambria Math" w:hAnsi="Cambria Math"/>
                            <w:sz w:val="18"/>
                            <w:szCs w:val="18"/>
                          </w:rPr>
                          <m:t>H</m:t>
                        </m:r>
                      </m:e>
                      <m:sub>
                        <m:r>
                          <w:rPr>
                            <w:rFonts w:ascii="Cambria Math" w:hAnsi="Cambria Math"/>
                            <w:sz w:val="18"/>
                            <w:szCs w:val="18"/>
                          </w:rPr>
                          <m:t>4</m:t>
                        </m:r>
                      </m:sub>
                    </m:sSub>
                  </m:sub>
                  <m:sup>
                    <m:r>
                      <w:rPr>
                        <w:rFonts w:ascii="Cambria Math" w:hAnsi="Cambria Math"/>
                        <w:sz w:val="18"/>
                        <w:szCs w:val="18"/>
                      </w:rPr>
                      <m:t>a</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2</m:t>
                        </m:r>
                      </m:sub>
                    </m:sSub>
                  </m:sup>
                </m:sSubSup>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C</m:t>
                    </m:r>
                    <m:sSub>
                      <m:sSubPr>
                        <m:ctrlPr>
                          <w:rPr>
                            <w:rFonts w:ascii="Cambria Math" w:hAnsi="Cambria Math"/>
                            <w:i/>
                            <w:sz w:val="18"/>
                            <w:szCs w:val="18"/>
                          </w:rPr>
                        </m:ctrlPr>
                      </m:sSubPr>
                      <m:e>
                        <m:r>
                          <w:rPr>
                            <w:rFonts w:ascii="Cambria Math" w:hAnsi="Cambria Math"/>
                            <w:sz w:val="18"/>
                            <w:szCs w:val="18"/>
                          </w:rPr>
                          <m:t>H</m:t>
                        </m:r>
                      </m:e>
                      <m:sub>
                        <m:r>
                          <w:rPr>
                            <w:rFonts w:ascii="Cambria Math" w:hAnsi="Cambria Math"/>
                            <w:sz w:val="18"/>
                            <w:szCs w:val="18"/>
                          </w:rPr>
                          <m:t>4</m:t>
                        </m:r>
                      </m:sub>
                    </m:sSub>
                  </m:sub>
                </m:sSub>
                <m:r>
                  <w:rPr>
                    <w:rFonts w:ascii="Cambria Math" w:hAnsi="Cambria Math"/>
                    <w:sz w:val="18"/>
                    <w:szCs w:val="18"/>
                  </w:rPr>
                  <m:t>+</m:t>
                </m:r>
                <m:sSubSup>
                  <m:sSubSupPr>
                    <m:ctrlPr>
                      <w:rPr>
                        <w:rFonts w:ascii="Cambria Math" w:hAnsi="Cambria Math"/>
                        <w:i/>
                        <w:sz w:val="18"/>
                        <w:szCs w:val="18"/>
                      </w:rPr>
                    </m:ctrlPr>
                  </m:sSubSupPr>
                  <m:e>
                    <m:r>
                      <w:rPr>
                        <w:rFonts w:ascii="Cambria Math" w:hAnsi="Cambria Math"/>
                        <w:sz w:val="18"/>
                        <w:szCs w:val="18"/>
                      </w:rPr>
                      <m:t>K</m:t>
                    </m:r>
                  </m:e>
                  <m:sub>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2</m:t>
                        </m:r>
                      </m:sub>
                    </m:sSub>
                    <m:sSub>
                      <m:sSubPr>
                        <m:ctrlPr>
                          <w:rPr>
                            <w:rFonts w:ascii="Cambria Math" w:hAnsi="Cambria Math"/>
                            <w:i/>
                            <w:sz w:val="18"/>
                            <w:szCs w:val="18"/>
                          </w:rPr>
                        </m:ctrlPr>
                      </m:sSubPr>
                      <m:e>
                        <m:r>
                          <w:rPr>
                            <w:rFonts w:ascii="Cambria Math" w:hAnsi="Cambria Math"/>
                            <w:sz w:val="18"/>
                            <w:szCs w:val="18"/>
                          </w:rPr>
                          <m:t>H</m:t>
                        </m:r>
                      </m:e>
                      <m:sub>
                        <m:r>
                          <w:rPr>
                            <w:rFonts w:ascii="Cambria Math" w:hAnsi="Cambria Math"/>
                            <w:sz w:val="18"/>
                            <w:szCs w:val="18"/>
                          </w:rPr>
                          <m:t>4</m:t>
                        </m:r>
                      </m:sub>
                    </m:sSub>
                  </m:sub>
                  <m:sup>
                    <m:r>
                      <w:rPr>
                        <w:rFonts w:ascii="Cambria Math" w:hAnsi="Cambria Math"/>
                        <w:sz w:val="18"/>
                        <w:szCs w:val="18"/>
                      </w:rPr>
                      <m:t>a</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2</m:t>
                        </m:r>
                      </m:sub>
                    </m:sSub>
                  </m:sup>
                </m:sSubSup>
                <m:sSub>
                  <m:sSubPr>
                    <m:ctrlPr>
                      <w:rPr>
                        <w:rFonts w:ascii="Cambria Math" w:hAnsi="Cambria Math"/>
                        <w:i/>
                        <w:sz w:val="18"/>
                        <w:szCs w:val="18"/>
                      </w:rPr>
                    </m:ctrlPr>
                  </m:sSubPr>
                  <m:e>
                    <m:r>
                      <w:rPr>
                        <w:rFonts w:ascii="Cambria Math" w:hAnsi="Cambria Math"/>
                        <w:sz w:val="18"/>
                        <w:szCs w:val="18"/>
                      </w:rPr>
                      <m:t>P</m:t>
                    </m:r>
                  </m:e>
                  <m:sub>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2</m:t>
                        </m:r>
                      </m:sub>
                    </m:sSub>
                    <m:sSub>
                      <m:sSubPr>
                        <m:ctrlPr>
                          <w:rPr>
                            <w:rFonts w:ascii="Cambria Math" w:hAnsi="Cambria Math"/>
                            <w:i/>
                            <w:sz w:val="18"/>
                            <w:szCs w:val="18"/>
                          </w:rPr>
                        </m:ctrlPr>
                      </m:sSubPr>
                      <m:e>
                        <m:r>
                          <w:rPr>
                            <w:rFonts w:ascii="Cambria Math" w:hAnsi="Cambria Math"/>
                            <w:sz w:val="18"/>
                            <w:szCs w:val="18"/>
                          </w:rPr>
                          <m:t>H</m:t>
                        </m:r>
                      </m:e>
                      <m:sub>
                        <m:r>
                          <w:rPr>
                            <w:rFonts w:ascii="Cambria Math" w:hAnsi="Cambria Math"/>
                            <w:sz w:val="18"/>
                            <w:szCs w:val="18"/>
                          </w:rPr>
                          <m:t>4</m:t>
                        </m:r>
                      </m:sub>
                    </m:sSub>
                  </m:sub>
                </m:sSub>
                <m:r>
                  <w:rPr>
                    <w:rFonts w:ascii="Cambria Math" w:hAnsi="Cambria Math"/>
                    <w:sz w:val="18"/>
                    <w:szCs w:val="18"/>
                  </w:rPr>
                  <m:t>+</m:t>
                </m:r>
                <m:sSubSup>
                  <m:sSubSupPr>
                    <m:ctrlPr>
                      <w:rPr>
                        <w:rFonts w:ascii="Cambria Math" w:hAnsi="Cambria Math"/>
                        <w:i/>
                        <w:sz w:val="18"/>
                        <w:szCs w:val="18"/>
                      </w:rPr>
                    </m:ctrlPr>
                  </m:sSubSupPr>
                  <m:e>
                    <m:r>
                      <w:rPr>
                        <w:rFonts w:ascii="Cambria Math" w:hAnsi="Cambria Math"/>
                        <w:sz w:val="18"/>
                        <w:szCs w:val="18"/>
                      </w:rPr>
                      <m:t>K</m:t>
                    </m:r>
                  </m:e>
                  <m:sub>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6</m:t>
                        </m:r>
                      </m:sub>
                    </m:sSub>
                    <m:sSub>
                      <m:sSubPr>
                        <m:ctrlPr>
                          <w:rPr>
                            <w:rFonts w:ascii="Cambria Math" w:hAnsi="Cambria Math"/>
                            <w:i/>
                            <w:sz w:val="18"/>
                            <w:szCs w:val="18"/>
                          </w:rPr>
                        </m:ctrlPr>
                      </m:sSubPr>
                      <m:e>
                        <m:r>
                          <w:rPr>
                            <w:rFonts w:ascii="Cambria Math" w:hAnsi="Cambria Math"/>
                            <w:sz w:val="18"/>
                            <w:szCs w:val="18"/>
                          </w:rPr>
                          <m:t>H</m:t>
                        </m:r>
                      </m:e>
                      <m:sub>
                        <m:r>
                          <w:rPr>
                            <w:rFonts w:ascii="Cambria Math" w:hAnsi="Cambria Math"/>
                            <w:sz w:val="18"/>
                            <w:szCs w:val="18"/>
                          </w:rPr>
                          <m:t>6</m:t>
                        </m:r>
                      </m:sub>
                    </m:sSub>
                  </m:sub>
                  <m:sup>
                    <m:r>
                      <w:rPr>
                        <w:rFonts w:ascii="Cambria Math" w:hAnsi="Cambria Math"/>
                        <w:sz w:val="18"/>
                        <w:szCs w:val="18"/>
                      </w:rPr>
                      <m:t>a</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2</m:t>
                        </m:r>
                      </m:sub>
                    </m:sSub>
                  </m:sup>
                </m:sSubSup>
                <m:sSub>
                  <m:sSubPr>
                    <m:ctrlPr>
                      <w:rPr>
                        <w:rFonts w:ascii="Cambria Math" w:hAnsi="Cambria Math"/>
                        <w:i/>
                        <w:sz w:val="18"/>
                        <w:szCs w:val="18"/>
                      </w:rPr>
                    </m:ctrlPr>
                  </m:sSubPr>
                  <m:e>
                    <m:r>
                      <w:rPr>
                        <w:rFonts w:ascii="Cambria Math" w:hAnsi="Cambria Math"/>
                        <w:sz w:val="18"/>
                        <w:szCs w:val="18"/>
                      </w:rPr>
                      <m:t>P</m:t>
                    </m:r>
                  </m:e>
                  <m:sub>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6</m:t>
                        </m:r>
                      </m:sub>
                    </m:sSub>
                    <m:sSub>
                      <m:sSubPr>
                        <m:ctrlPr>
                          <w:rPr>
                            <w:rFonts w:ascii="Cambria Math" w:hAnsi="Cambria Math"/>
                            <w:i/>
                            <w:sz w:val="18"/>
                            <w:szCs w:val="18"/>
                          </w:rPr>
                        </m:ctrlPr>
                      </m:sSubPr>
                      <m:e>
                        <m:r>
                          <w:rPr>
                            <w:rFonts w:ascii="Cambria Math" w:hAnsi="Cambria Math"/>
                            <w:sz w:val="18"/>
                            <w:szCs w:val="18"/>
                          </w:rPr>
                          <m:t>H</m:t>
                        </m:r>
                      </m:e>
                      <m:sub>
                        <m:r>
                          <w:rPr>
                            <w:rFonts w:ascii="Cambria Math" w:hAnsi="Cambria Math"/>
                            <w:sz w:val="18"/>
                            <w:szCs w:val="18"/>
                          </w:rPr>
                          <m:t>6</m:t>
                        </m:r>
                      </m:sub>
                    </m:sSub>
                  </m:sub>
                </m:sSub>
                <m:r>
                  <w:rPr>
                    <w:rFonts w:ascii="Cambria Math" w:hAnsi="Cambria Math"/>
                    <w:sz w:val="18"/>
                    <w:szCs w:val="18"/>
                  </w:rPr>
                  <m:t>+</m:t>
                </m:r>
                <m:sSubSup>
                  <m:sSubSupPr>
                    <m:ctrlPr>
                      <w:rPr>
                        <w:rFonts w:ascii="Cambria Math" w:hAnsi="Cambria Math"/>
                        <w:i/>
                        <w:sz w:val="18"/>
                        <w:szCs w:val="18"/>
                      </w:rPr>
                    </m:ctrlPr>
                  </m:sSubSupPr>
                  <m:e>
                    <m:r>
                      <w:rPr>
                        <w:rFonts w:ascii="Cambria Math" w:hAnsi="Cambria Math"/>
                        <w:sz w:val="18"/>
                        <w:szCs w:val="18"/>
                      </w:rPr>
                      <m:t>K</m:t>
                    </m:r>
                  </m:e>
                  <m:sub>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7</m:t>
                        </m:r>
                      </m:sub>
                    </m:sSub>
                    <m:sSub>
                      <m:sSubPr>
                        <m:ctrlPr>
                          <w:rPr>
                            <w:rFonts w:ascii="Cambria Math" w:hAnsi="Cambria Math"/>
                            <w:i/>
                            <w:sz w:val="18"/>
                            <w:szCs w:val="18"/>
                          </w:rPr>
                        </m:ctrlPr>
                      </m:sSubPr>
                      <m:e>
                        <m:r>
                          <w:rPr>
                            <w:rFonts w:ascii="Cambria Math" w:hAnsi="Cambria Math"/>
                            <w:sz w:val="18"/>
                            <w:szCs w:val="18"/>
                          </w:rPr>
                          <m:t>H</m:t>
                        </m:r>
                      </m:e>
                      <m:sub>
                        <m:r>
                          <w:rPr>
                            <w:rFonts w:ascii="Cambria Math" w:hAnsi="Cambria Math"/>
                            <w:sz w:val="18"/>
                            <w:szCs w:val="18"/>
                          </w:rPr>
                          <m:t>8</m:t>
                        </m:r>
                      </m:sub>
                    </m:sSub>
                  </m:sub>
                  <m:sup>
                    <m:r>
                      <w:rPr>
                        <w:rFonts w:ascii="Cambria Math" w:hAnsi="Cambria Math"/>
                        <w:sz w:val="18"/>
                        <w:szCs w:val="18"/>
                      </w:rPr>
                      <m:t>a</m:t>
                    </m:r>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2</m:t>
                        </m:r>
                      </m:sub>
                    </m:sSub>
                  </m:sup>
                </m:sSubSup>
                <m:sSub>
                  <m:sSubPr>
                    <m:ctrlPr>
                      <w:rPr>
                        <w:rFonts w:ascii="Cambria Math" w:hAnsi="Cambria Math"/>
                        <w:i/>
                        <w:sz w:val="18"/>
                        <w:szCs w:val="18"/>
                      </w:rPr>
                    </m:ctrlPr>
                  </m:sSubPr>
                  <m:e>
                    <m:r>
                      <w:rPr>
                        <w:rFonts w:ascii="Cambria Math" w:hAnsi="Cambria Math"/>
                        <w:sz w:val="18"/>
                        <w:szCs w:val="18"/>
                      </w:rPr>
                      <m:t>P</m:t>
                    </m:r>
                  </m:e>
                  <m:sub>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7</m:t>
                        </m:r>
                      </m:sub>
                    </m:sSub>
                    <m:sSub>
                      <m:sSubPr>
                        <m:ctrlPr>
                          <w:rPr>
                            <w:rFonts w:ascii="Cambria Math" w:hAnsi="Cambria Math"/>
                            <w:i/>
                            <w:sz w:val="18"/>
                            <w:szCs w:val="18"/>
                          </w:rPr>
                        </m:ctrlPr>
                      </m:sSubPr>
                      <m:e>
                        <m:r>
                          <w:rPr>
                            <w:rFonts w:ascii="Cambria Math" w:hAnsi="Cambria Math"/>
                            <w:sz w:val="18"/>
                            <w:szCs w:val="18"/>
                          </w:rPr>
                          <m:t>H</m:t>
                        </m:r>
                      </m:e>
                      <m:sub>
                        <m:r>
                          <w:rPr>
                            <w:rFonts w:ascii="Cambria Math" w:hAnsi="Cambria Math"/>
                            <w:sz w:val="18"/>
                            <w:szCs w:val="18"/>
                          </w:rPr>
                          <m:t>8</m:t>
                        </m:r>
                      </m:sub>
                    </m:sSub>
                  </m:sub>
                </m:sSub>
              </m:e>
            </m:d>
          </m:den>
        </m:f>
      </m:oMath>
      <w:r w:rsidR="00A93D24">
        <w:rPr>
          <w:rFonts w:eastAsiaTheme="minorEastAsia"/>
          <w:sz w:val="18"/>
          <w:szCs w:val="18"/>
        </w:rPr>
        <w:tab/>
      </w:r>
      <w:r w:rsidR="00A93D24">
        <w:rPr>
          <w:rFonts w:eastAsiaTheme="minorEastAsia"/>
          <w:sz w:val="18"/>
          <w:szCs w:val="18"/>
        </w:rPr>
        <w:tab/>
      </w:r>
      <w:r w:rsidR="00A93D24">
        <w:rPr>
          <w:rFonts w:eastAsiaTheme="minorEastAsia"/>
          <w:sz w:val="18"/>
          <w:szCs w:val="18"/>
        </w:rPr>
        <w:tab/>
      </w:r>
      <w:r w:rsidR="00A93D24">
        <w:rPr>
          <w:rFonts w:eastAsiaTheme="minorEastAsia"/>
          <w:sz w:val="18"/>
          <w:szCs w:val="18"/>
        </w:rPr>
        <w:tab/>
      </w:r>
      <w:r w:rsidR="00A93D24" w:rsidRPr="00E30DC2">
        <w:rPr>
          <w:rFonts w:eastAsiaTheme="minorEastAsia"/>
        </w:rPr>
        <w:t>(3.</w:t>
      </w:r>
      <w:r w:rsidR="00A93D24">
        <w:rPr>
          <w:rFonts w:eastAsiaTheme="minorEastAsia"/>
        </w:rPr>
        <w:t>9</w:t>
      </w:r>
      <w:r w:rsidR="00A93D24" w:rsidRPr="00E30DC2">
        <w:rPr>
          <w:rFonts w:eastAsiaTheme="minorEastAsia"/>
        </w:rPr>
        <w:t>)</w:t>
      </w:r>
    </w:p>
    <w:p w14:paraId="107D2FA1" w14:textId="0F011AF7" w:rsidR="00A93D24" w:rsidRDefault="00A93D24" w:rsidP="00A93D24">
      <w:pPr>
        <w:ind w:firstLine="0"/>
        <w:rPr>
          <w:rFonts w:eastAsiaTheme="minorEastAsia"/>
        </w:rPr>
      </w:pPr>
      <w:r>
        <w:rPr>
          <w:rFonts w:eastAsiaTheme="minorEastAsia"/>
        </w:rPr>
        <w:t xml:space="preserve">where the subscripts </w:t>
      </w:r>
      <m:oMath>
        <m:r>
          <w:rPr>
            <w:rFonts w:ascii="Cambria Math" w:eastAsiaTheme="minorEastAsia" w:hAnsi="Cambria Math"/>
          </w:rPr>
          <m:t>me, eb, bt,</m:t>
        </m:r>
      </m:oMath>
      <w:r>
        <w:rPr>
          <w:rFonts w:eastAsiaTheme="minorEastAsia"/>
        </w:rPr>
        <w:t xml:space="preserve"> and </w:t>
      </w:r>
      <m:oMath>
        <m:r>
          <w:rPr>
            <w:rFonts w:ascii="Cambria Math" w:eastAsiaTheme="minorEastAsia" w:hAnsi="Cambria Math"/>
          </w:rPr>
          <m:t>po</m:t>
        </m:r>
      </m:oMath>
      <w:r>
        <w:rPr>
          <w:rFonts w:eastAsiaTheme="minorEastAsia"/>
        </w:rPr>
        <w:t xml:space="preserve"> represent the methane to ethylene, ethylene to benzene, benzene to toluene, and partial oxidation of methane reactions respectively. The </w:t>
      </w:r>
      <m:oMath>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s</m:t>
            </m:r>
          </m:sub>
          <m:sup>
            <m:r>
              <w:rPr>
                <w:rFonts w:ascii="Cambria Math" w:eastAsiaTheme="minorEastAsia" w:hAnsi="Cambria Math"/>
              </w:rPr>
              <m:t>a</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1/2</m:t>
                </m:r>
              </m:sub>
            </m:sSub>
          </m:sup>
        </m:sSubSup>
      </m:oMath>
      <w:r>
        <w:rPr>
          <w:rFonts w:eastAsiaTheme="minorEastAsia"/>
        </w:rPr>
        <w:t xml:space="preserve"> term represents the adsorption constant for the species </w:t>
      </w:r>
      <m:oMath>
        <m:r>
          <w:rPr>
            <w:rFonts w:ascii="Cambria Math" w:eastAsiaTheme="minorEastAsia" w:hAnsi="Cambria Math"/>
          </w:rPr>
          <m:t>s</m:t>
        </m:r>
      </m:oMath>
      <w:r>
        <w:rPr>
          <w:rFonts w:eastAsiaTheme="minorEastAsia"/>
        </w:rPr>
        <w:t xml:space="preserve"> on reaction sites 1 and 2 in the catalyst, and </w:t>
      </w:r>
      <m:oMath>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cat</m:t>
            </m:r>
          </m:sub>
        </m:sSub>
      </m:oMath>
      <w:r>
        <w:rPr>
          <w:rFonts w:eastAsiaTheme="minorEastAsia"/>
        </w:rPr>
        <w:t xml:space="preserve"> is the grams of catalyst where the reaction is being considered. </w:t>
      </w:r>
    </w:p>
    <w:p w14:paraId="2D98E34B" w14:textId="4E42730F" w:rsidR="00A93D24" w:rsidRDefault="00A93D24" w:rsidP="00A93D24">
      <w:r>
        <w:t xml:space="preserve">Lastly, the water formation reaction is driven purely by the current through the cell </w:t>
      </w:r>
      <w:r>
        <w:fldChar w:fldCharType="begin"/>
      </w:r>
      <w:r w:rsidR="00CA7A9D">
        <w:instrText xml:space="preserve"> ADDIN ZOTERO_ITEM CSL_CITATION {"citationID":"s0TnsO72","properties":{"formattedCitation":"[75], [76]","plainCitation":"[75], [76]","noteIndex":0},"citationItems":[{"id":3,"uris":["http://zotero.org/users/12063231/items/3CHVZB3E"],"itemData":{"id":3,"type":"thesis","event-place":"Trondheim, Norway","language":"English","publisher":"Norwegian University of Science and Technology","publisher-place":"Trondheim, Norway","title":"Design, Operation and Control Modelling of SOFC/GT Hybrid Systems","URL":"https://ntnuopen.ntnu.no/ntnu-xmlui/bitstream/handle/11250/231300/125922_FULLTEXT01.pdf?sequence=1","author":[{"family":"Stiller","given":"Christoph"}],"issued":{"date-parts":[["2006",3]]}}},{"id":805,"uris":["http://zotero.org/users/12063231/items/IV7WWVFD"],"itemData":{"id":805,"type":"thesis","event-place":"Ann Arbor, MI","language":"English","number-of-pages":"183","publisher":"University of Michigan","publisher-place":"Ann Arbor, MI","title":"Dynamic Modeling and Control of Planar SOFC Power Systems","author":[{"family":"Xi","given":"Handa"}],"issued":{"date-parts":[["2007"]]}}}],"schema":"https://github.com/citation-style-language/schema/raw/master/csl-citation.json"} </w:instrText>
      </w:r>
      <w:r>
        <w:fldChar w:fldCharType="separate"/>
      </w:r>
      <w:r w:rsidR="00CA7A9D" w:rsidRPr="00CA7A9D">
        <w:rPr>
          <w:rFonts w:ascii="Aptos" w:hAnsi="Aptos"/>
        </w:rPr>
        <w:t>[75], [76]</w:t>
      </w:r>
      <w:r>
        <w:fldChar w:fldCharType="end"/>
      </w:r>
      <w:r>
        <w:t>. This is given by the following formula</w:t>
      </w:r>
    </w:p>
    <w:p w14:paraId="5D5489BD" w14:textId="77777777" w:rsidR="00A93D24" w:rsidRPr="006476E6" w:rsidRDefault="00924E48" w:rsidP="00A93D24">
      <w:pPr>
        <w:ind w:firstLine="0"/>
        <w:jc w:val="right"/>
        <w:rPr>
          <w:rFonts w:eastAsiaTheme="minorEastAsia"/>
        </w:rPr>
      </w:pP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orr</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cell</m:t>
                </m:r>
              </m:sub>
            </m:sSub>
          </m:num>
          <m:den>
            <m:r>
              <w:rPr>
                <w:rFonts w:ascii="Cambria Math" w:eastAsiaTheme="minorEastAsia" w:hAnsi="Cambria Math"/>
              </w:rPr>
              <m:t>nF</m:t>
            </m:r>
          </m:den>
        </m:f>
      </m:oMath>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t>(3.10)</w:t>
      </w:r>
    </w:p>
    <w:p w14:paraId="0F34FB2B" w14:textId="77777777" w:rsidR="00A93D24" w:rsidRDefault="00A93D24" w:rsidP="00A93D24">
      <w:pPr>
        <w:ind w:firstLine="0"/>
        <w:rPr>
          <w:rFonts w:eastAsiaTheme="minorEastAsia"/>
        </w:rPr>
      </w:pPr>
      <w:r>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cell</m:t>
            </m:r>
          </m:sub>
        </m:sSub>
      </m:oMath>
      <w:r>
        <w:rPr>
          <w:rFonts w:eastAsiaTheme="minorEastAsia"/>
        </w:rPr>
        <w:t xml:space="preserve"> is the current in A, n is the number of electrons transferred in the reaction, and F is faraday’s constant. </w:t>
      </w:r>
    </w:p>
    <w:p w14:paraId="7E945C7C" w14:textId="77777777" w:rsidR="00A93D24" w:rsidRDefault="00A93D24" w:rsidP="00A93D24">
      <w:pPr>
        <w:pStyle w:val="Heading3"/>
        <w:rPr>
          <w:rFonts w:eastAsiaTheme="minorEastAsia"/>
        </w:rPr>
      </w:pPr>
      <w:bookmarkStart w:id="64" w:name="_Toc165641069"/>
      <w:r>
        <w:rPr>
          <w:rFonts w:eastAsiaTheme="minorEastAsia"/>
        </w:rPr>
        <w:t>3.2.3 Reaction Constants</w:t>
      </w:r>
      <w:bookmarkEnd w:id="64"/>
    </w:p>
    <w:p w14:paraId="1CAD0646" w14:textId="77777777" w:rsidR="00A93D24" w:rsidRDefault="00A93D24" w:rsidP="00A93D24">
      <w:r>
        <w:t xml:space="preserve">For the reactions where a rate constant </w:t>
      </w:r>
      <m:oMath>
        <m:r>
          <w:rPr>
            <w:rFonts w:ascii="Cambria Math" w:hAnsi="Cambria Math"/>
          </w:rPr>
          <m:t>k</m:t>
        </m:r>
      </m:oMath>
      <w:r>
        <w:t xml:space="preserve"> is necessary, the general form for calculating k is the Arrhenius equation </w:t>
      </w:r>
    </w:p>
    <w:p w14:paraId="34D65D68" w14:textId="77777777" w:rsidR="00A93D24" w:rsidRPr="00971AEE" w:rsidRDefault="00A93D24" w:rsidP="00A93D24">
      <w:pPr>
        <w:ind w:firstLine="0"/>
        <w:jc w:val="right"/>
        <w:rPr>
          <w:rFonts w:eastAsiaTheme="minorEastAsia"/>
        </w:rPr>
      </w:pPr>
      <m:oMath>
        <m:r>
          <w:rPr>
            <w:rFonts w:ascii="Cambria Math" w:hAnsi="Cambria Math"/>
          </w:rPr>
          <m:t>k=</m:t>
        </m:r>
        <m:sSub>
          <m:sSubPr>
            <m:ctrlPr>
              <w:rPr>
                <w:rFonts w:ascii="Cambria Math" w:hAnsi="Cambria Math"/>
                <w:i/>
              </w:rPr>
            </m:ctrlPr>
          </m:sSubPr>
          <m:e>
            <m:r>
              <w:rPr>
                <w:rFonts w:ascii="Cambria Math" w:hAnsi="Cambria Math"/>
              </w:rPr>
              <m:t>k</m:t>
            </m:r>
          </m:e>
          <m:sub>
            <m:r>
              <w:rPr>
                <w:rFonts w:ascii="Cambria Math" w:hAnsi="Cambria Math"/>
              </w:rPr>
              <m:t>0</m:t>
            </m:r>
          </m:sub>
        </m:sSub>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act</m:t>
                        </m:r>
                      </m:sub>
                    </m:sSub>
                  </m:num>
                  <m:den>
                    <m:r>
                      <w:rPr>
                        <w:rFonts w:ascii="Cambria Math" w:hAnsi="Cambria Math"/>
                      </w:rPr>
                      <m:t>R</m:t>
                    </m:r>
                    <m:sSub>
                      <m:sSubPr>
                        <m:ctrlPr>
                          <w:rPr>
                            <w:rFonts w:ascii="Cambria Math" w:hAnsi="Cambria Math"/>
                            <w:i/>
                          </w:rPr>
                        </m:ctrlPr>
                      </m:sSubPr>
                      <m:e>
                        <m:r>
                          <w:rPr>
                            <w:rFonts w:ascii="Cambria Math" w:hAnsi="Cambria Math"/>
                          </w:rPr>
                          <m:t>T</m:t>
                        </m:r>
                      </m:e>
                      <m:sub>
                        <m:r>
                          <w:rPr>
                            <w:rFonts w:ascii="Cambria Math" w:hAnsi="Cambria Math"/>
                          </w:rPr>
                          <m:t>PEN</m:t>
                        </m:r>
                      </m:sub>
                    </m:sSub>
                  </m:den>
                </m:f>
              </m:e>
            </m:d>
          </m:e>
        </m:func>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(3.11)</w:t>
      </w:r>
    </w:p>
    <w:p w14:paraId="1ECA3E8B" w14:textId="6038A1B6" w:rsidR="00A93D24" w:rsidRDefault="00A93D24" w:rsidP="00A93D24">
      <w:pPr>
        <w:ind w:firstLine="0"/>
        <w:rPr>
          <w:rFonts w:eastAsiaTheme="minorEastAsia"/>
        </w:rPr>
      </w:pPr>
      <w:r>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0</m:t>
            </m:r>
          </m:sub>
        </m:sSub>
      </m:oMath>
      <w:r>
        <w:rPr>
          <w:rFonts w:eastAsiaTheme="minorEastAsia"/>
        </w:rPr>
        <w:t xml:space="preserve"> is the preexponential factor for the specific reaction, </w:t>
      </w:r>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act</m:t>
            </m:r>
          </m:sub>
        </m:sSub>
      </m:oMath>
      <w:r>
        <w:rPr>
          <w:rFonts w:eastAsiaTheme="minorEastAsia"/>
        </w:rPr>
        <w:t xml:space="preserve"> is the activation energy, </w:t>
      </w:r>
      <m:oMath>
        <m:r>
          <w:rPr>
            <w:rFonts w:ascii="Cambria Math" w:eastAsiaTheme="minorEastAsia" w:hAnsi="Cambria Math"/>
          </w:rPr>
          <m:t>R</m:t>
        </m:r>
      </m:oMath>
      <w:r>
        <w:rPr>
          <w:rFonts w:eastAsiaTheme="minorEastAsia"/>
        </w:rPr>
        <w:t xml:space="preserve"> is the universal gas constant, and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m:t>
            </m:r>
          </m:sub>
        </m:sSub>
      </m:oMath>
      <w:r>
        <w:rPr>
          <w:rFonts w:eastAsiaTheme="minorEastAsia"/>
        </w:rPr>
        <w:t xml:space="preserve"> is the temperature of the PEN structure where the reaction </w:t>
      </w:r>
      <w:r w:rsidR="00E9792B">
        <w:rPr>
          <w:rFonts w:eastAsiaTheme="minorEastAsia"/>
        </w:rPr>
        <w:t>is</w:t>
      </w:r>
      <w:r>
        <w:rPr>
          <w:rFonts w:eastAsiaTheme="minorEastAsia"/>
        </w:rPr>
        <w:t xml:space="preserve"> taking place. In Jeong’s kinetic study, the difference of the inverse of temperature with respect to a reference temperature of 700</w:t>
      </w:r>
      <m:oMath>
        <m:r>
          <w:rPr>
            <w:rFonts w:ascii="Cambria Math" w:eastAsiaTheme="minorEastAsia" w:hAnsi="Cambria Math"/>
          </w:rPr>
          <m:t>°</m:t>
        </m:r>
      </m:oMath>
      <w:r>
        <w:rPr>
          <w:rFonts w:eastAsiaTheme="minorEastAsia"/>
        </w:rPr>
        <w:t xml:space="preserve">C </w:t>
      </w:r>
      <w:r w:rsidR="009A5726">
        <w:rPr>
          <w:rFonts w:eastAsiaTheme="minorEastAsia"/>
        </w:rPr>
        <w:t>is</w:t>
      </w:r>
      <w:r>
        <w:rPr>
          <w:rFonts w:eastAsiaTheme="minorEastAsia"/>
        </w:rPr>
        <w:t xml:space="preserve"> used instead of the standard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m:t>
            </m:r>
          </m:sub>
        </m:sSub>
      </m:oMath>
      <w:r>
        <w:rPr>
          <w:rFonts w:eastAsiaTheme="minorEastAsia"/>
        </w:rPr>
        <w:t xml:space="preserve"> as shown in </w:t>
      </w:r>
      <w:r>
        <w:rPr>
          <w:rFonts w:eastAsiaTheme="minorEastAsia"/>
        </w:rPr>
        <w:fldChar w:fldCharType="begin"/>
      </w:r>
      <w:r>
        <w:rPr>
          <w:rFonts w:eastAsiaTheme="minorEastAsia"/>
        </w:rPr>
        <w:instrText xml:space="preserve"> REF _Ref162542263 \h </w:instrText>
      </w:r>
      <w:r>
        <w:rPr>
          <w:rFonts w:eastAsiaTheme="minorEastAsia"/>
        </w:rPr>
      </w:r>
      <w:r>
        <w:rPr>
          <w:rFonts w:eastAsiaTheme="minorEastAsia"/>
        </w:rPr>
        <w:fldChar w:fldCharType="separate"/>
      </w:r>
      <w:r>
        <w:t xml:space="preserve">Table </w:t>
      </w:r>
      <w:r>
        <w:rPr>
          <w:noProof/>
        </w:rPr>
        <w:t>1</w:t>
      </w:r>
      <w:r>
        <w:rPr>
          <w:rFonts w:eastAsiaTheme="minorEastAsia"/>
        </w:rPr>
        <w:fldChar w:fldCharType="end"/>
      </w:r>
      <w:r>
        <w:rPr>
          <w:rFonts w:eastAsiaTheme="minorEastAsia"/>
        </w:rPr>
        <w:t xml:space="preserve"> below </w:t>
      </w:r>
      <w:r>
        <w:rPr>
          <w:rFonts w:eastAsiaTheme="minorEastAsia"/>
        </w:rPr>
        <w:fldChar w:fldCharType="begin"/>
      </w:r>
      <w:r w:rsidR="00CA7A9D">
        <w:rPr>
          <w:rFonts w:eastAsiaTheme="minorEastAsia"/>
        </w:rPr>
        <w:instrText xml:space="preserve"> ADDIN ZOTERO_ITEM CSL_CITATION {"citationID":"v4SY2Z4U","properties":{"formattedCitation":"[64]","plainCitation":"[64]","noteIndex":0},"citationItems":[{"id":744,"uris":["http://zotero.org/users/12063231/items/6QIVDYJ5"],"itemData":{"id":744,"type":"article-journal","abstract":"A kinetic model was developed for the methane dehydroaromatization over a Mo2C/H-ZSM5 catalyst. Because the experimental observations show that the reaction and deactivation simultaneously take place in the catalyst activation (carburization) stage, the initial simulation time was specified as the time at which the activation was completed and the initial activities under each operating condition were estimated. The estimated values show that the initial activity of the Mo2C site is low in the early stage of the catalyst bed, which is probably due to the carbonization, while that of the H-ZSM5 site is very low in the later stage of the bed due to the encapsulation of coupled aromatics caused by the low confinement of Mo2C in the zeolite. Kinetic models were developed for the reaction and deactivation and the kinetic parameters were estimated by fitting the experimental data that were obtained after the activation was completed. The simulated results are in good agreement with the experimental data. The deactivation model indicates a higher temperature dependency of the Mo2C site compared with the H-ZSM5 site. In addition, the benzene and toluene yields abruptly decrease at very high temperature, indicating that a too high temperature should be avoided, although high temperatures are favored because of the endothermic characteristics of the production rate.","collection-title":"Special Issue for the 17th Korea-Japan Symposium on Catalysis","container-title":"Catalysis Today","DOI":"10.1016/j.cattod.2019.09.002","ISSN":"0920-5861","journalAbbreviation":"Catalysis Today","page":"140-147","source":"ScienceDirect","title":"Kinetic modeling of methane dehydroaromatization over a Mo2C/H-ZSM5 catalyst: Different deactivation behaviors of the Mo2C and H-ZSM5 sites","title-short":"Kinetic modeling of methane dehydroaromatization over a Mo2C/H-ZSM5 catalyst","volume":"352","author":[{"family":"Jeong","given":"Jaehun"},{"family":"Hwang","given":"Ahron"},{"family":"Kim","given":"Yong Tae"},{"family":"Hong","given":"Do-Young"},{"family":"Park","given":"Myung-June"}],"issued":{"date-parts":[["2020",8,1]]}}}],"schema":"https://github.com/citation-style-language/schema/raw/master/csl-citation.json"} </w:instrText>
      </w:r>
      <w:r>
        <w:rPr>
          <w:rFonts w:eastAsiaTheme="minorEastAsia"/>
        </w:rPr>
        <w:fldChar w:fldCharType="separate"/>
      </w:r>
      <w:r w:rsidR="00CA7A9D" w:rsidRPr="00CA7A9D">
        <w:rPr>
          <w:rFonts w:ascii="Aptos" w:hAnsi="Aptos"/>
        </w:rPr>
        <w:t>[64]</w:t>
      </w:r>
      <w:r>
        <w:rPr>
          <w:rFonts w:eastAsiaTheme="minorEastAsia"/>
        </w:rPr>
        <w:fldChar w:fldCharType="end"/>
      </w:r>
      <w:r>
        <w:rPr>
          <w:rFonts w:eastAsiaTheme="minorEastAsia"/>
        </w:rPr>
        <w:t xml:space="preserve">. Jeong’s approach </w:t>
      </w:r>
      <w:r w:rsidR="009A5726">
        <w:rPr>
          <w:rFonts w:eastAsiaTheme="minorEastAsia"/>
        </w:rPr>
        <w:t>is</w:t>
      </w:r>
      <w:r>
        <w:rPr>
          <w:rFonts w:eastAsiaTheme="minorEastAsia"/>
        </w:rPr>
        <w:t xml:space="preserve"> used for the MDA reactions and the partial oxidation reaction, while the standard Arrhenius form </w:t>
      </w:r>
      <w:r w:rsidR="009A5726">
        <w:rPr>
          <w:rFonts w:eastAsiaTheme="minorEastAsia"/>
        </w:rPr>
        <w:t>is</w:t>
      </w:r>
      <w:r>
        <w:rPr>
          <w:rFonts w:eastAsiaTheme="minorEastAsia"/>
        </w:rPr>
        <w:t xml:space="preserve"> used for the steam reforming reaction. For the water gas shift reaction, a value of </w:t>
      </w:r>
      <m:oMath>
        <m:r>
          <w:rPr>
            <w:rFonts w:ascii="Cambria Math" w:eastAsiaTheme="minorEastAsia" w:hAnsi="Cambria Math"/>
          </w:rPr>
          <m:t>0.0171∙</m:t>
        </m:r>
        <m:func>
          <m:funcPr>
            <m:ctrlPr>
              <w:rPr>
                <w:rFonts w:ascii="Cambria Math" w:eastAsiaTheme="minorEastAsia" w:hAnsi="Cambria Math"/>
                <w:i/>
              </w:rPr>
            </m:ctrlPr>
          </m:funcPr>
          <m:fName>
            <m:r>
              <m:rPr>
                <m:sty m:val="p"/>
              </m:rPr>
              <w:rPr>
                <w:rFonts w:ascii="Cambria Math" w:eastAsiaTheme="minorEastAsia" w:hAnsi="Cambria Math"/>
              </w:rPr>
              <m:t>exp</m:t>
            </m:r>
          </m:fName>
          <m:e>
            <m:d>
              <m:dPr>
                <m:ctrlPr>
                  <w:rPr>
                    <w:rFonts w:ascii="Cambria Math" w:eastAsiaTheme="minorEastAsia" w:hAnsi="Cambria Math"/>
                    <w:i/>
                  </w:rPr>
                </m:ctrlPr>
              </m:dPr>
              <m:e>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103191</m:t>
                    </m:r>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m:t>
                        </m:r>
                      </m:sub>
                    </m:sSub>
                  </m:den>
                </m:f>
              </m:e>
            </m:d>
          </m:e>
        </m:func>
      </m:oMath>
      <w:r>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mol</m:t>
            </m:r>
          </m:num>
          <m:den>
            <m:r>
              <w:rPr>
                <w:rFonts w:ascii="Cambria Math" w:eastAsiaTheme="minorEastAsia" w:hAnsi="Cambria Math"/>
              </w:rPr>
              <m:t>s*</m:t>
            </m:r>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3</m:t>
                </m:r>
              </m:sup>
            </m:sSup>
            <m:r>
              <w:rPr>
                <w:rFonts w:ascii="Cambria Math" w:eastAsiaTheme="minorEastAsia" w:hAnsi="Cambria Math"/>
              </w:rPr>
              <m:t>*P</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den>
        </m:f>
      </m:oMath>
      <w:r>
        <w:rPr>
          <w:rFonts w:eastAsiaTheme="minorEastAsia"/>
        </w:rPr>
        <w:t xml:space="preserve"> has been used in previous studies and is also applied here </w:t>
      </w:r>
      <w:r>
        <w:rPr>
          <w:rFonts w:eastAsiaTheme="minorEastAsia"/>
        </w:rPr>
        <w:fldChar w:fldCharType="begin"/>
      </w:r>
      <w:r w:rsidR="00CA7A9D">
        <w:rPr>
          <w:rFonts w:eastAsiaTheme="minorEastAsia"/>
        </w:rPr>
        <w:instrText xml:space="preserve"> ADDIN ZOTERO_ITEM CSL_CITATION {"citationID":"a1iprfp2ebj","properties":{"formattedCitation":"[78]","plainCitation":"[78]","noteIndex":0},"citationItems":[{"id":885,"uris":["http://zotero.org/users/12063231/items/2YPLBP28"],"itemData":{"id":885,"type":"article-journal","abstract":"The need for electrical energy storage (EES) is being driven by the deployment of increasing amounts of intermittent renewable energy resources. In addition to their fuel flexibility, high efficiency, scalability, and long-term cost outlook, reversible (regenerative) solid oxide cell (rSOC) systems have the potential for round-trip efficiencies competitive with the other available energy storage technologies. Accordingly, the focus of the current study is to investigate modeling methods for high temperature rSOCs in order to facilitate future endeavors related to establishing optimal operating conditions and system designs. Previously developed solid oxide fuel cell (SOFC) and solid-oxide electrolytic cell (SOEC) models are integrated to form a general rSOC model. The model is first calibrated and validated based on the available experimental data in the extant literature. The validation results show that the fitting parameters extracted from the calibration study can precisely simulate the cell behavior under various operating conditions. The effects of key operating parameters, such as temperature, gas composition and fuel utilization, on the voltage–current density performance characteristic and thermoneutral voltage are then investigated. It is also observed that the total electrochemical losses of the cell can be significantly different in each operating mode (fuel cell and electrolyzing) under certain operating conditions. Advantages of pressurized operation on thermal management are also discussed.","container-title":"International Journal of Hydrogen Energy","DOI":"10.1016/j.ijhydene.2014.01.186","ISSN":"0360-3199","issue":"11","journalAbbreviation":"International Journal of Hydrogen Energy","page":"5955-5971","source":"ScienceDirect","title":"Model validation and performance analysis of regenerative solid oxide cells for energy storage applications: Reversible operation","title-short":"Model validation and performance analysis of regenerative solid oxide cells for energy storage applications","volume":"39","author":[{"family":"Kazempoor","given":"P."},{"family":"Braun","given":"R. J."}],"issued":{"date-parts":[["2014",4,4]]}}}],"schema":"https://github.com/citation-style-language/schema/raw/master/csl-citation.json"} </w:instrText>
      </w:r>
      <w:r>
        <w:rPr>
          <w:rFonts w:eastAsiaTheme="minorEastAsia"/>
        </w:rPr>
        <w:fldChar w:fldCharType="separate"/>
      </w:r>
      <w:r w:rsidR="00CA7A9D" w:rsidRPr="00CA7A9D">
        <w:rPr>
          <w:rFonts w:ascii="Aptos" w:hAnsi="Aptos"/>
        </w:rPr>
        <w:t>[78]</w:t>
      </w:r>
      <w:r>
        <w:rPr>
          <w:rFonts w:eastAsiaTheme="minorEastAsia"/>
        </w:rPr>
        <w:fldChar w:fldCharType="end"/>
      </w:r>
      <w:r>
        <w:rPr>
          <w:rFonts w:eastAsiaTheme="minorEastAsia"/>
        </w:rPr>
        <w:t>. To adjust for the units used by the reaction rate and implementation in the model, this value turns into</w:t>
      </w:r>
    </w:p>
    <w:p w14:paraId="4FCE1337" w14:textId="7A4A4E7C" w:rsidR="00A93D24" w:rsidRPr="009123CA" w:rsidRDefault="00924E48" w:rsidP="00A93D24">
      <w:pPr>
        <w:ind w:firstLine="0"/>
        <w:jc w:val="right"/>
        <w:rPr>
          <w:rFonts w:eastAsiaTheme="minorEastAsia"/>
        </w:rPr>
      </w:pP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wgs</m:t>
            </m:r>
          </m:sub>
        </m:sSub>
        <m:r>
          <w:rPr>
            <w:rFonts w:ascii="Cambria Math" w:eastAsiaTheme="minorEastAsia" w:hAnsi="Cambria Math"/>
          </w:rPr>
          <m:t>=0.0171∙</m:t>
        </m:r>
        <m:func>
          <m:funcPr>
            <m:ctrlPr>
              <w:rPr>
                <w:rFonts w:ascii="Cambria Math" w:eastAsiaTheme="minorEastAsia" w:hAnsi="Cambria Math"/>
                <w:i/>
              </w:rPr>
            </m:ctrlPr>
          </m:funcPr>
          <m:fName>
            <m:r>
              <m:rPr>
                <m:sty m:val="p"/>
              </m:rPr>
              <w:rPr>
                <w:rFonts w:ascii="Cambria Math" w:eastAsiaTheme="minorEastAsia" w:hAnsi="Cambria Math"/>
              </w:rPr>
              <m:t>exp</m:t>
            </m:r>
          </m:fName>
          <m:e>
            <m:d>
              <m:dPr>
                <m:ctrlPr>
                  <w:rPr>
                    <w:rFonts w:ascii="Cambria Math" w:eastAsiaTheme="minorEastAsia" w:hAnsi="Cambria Math"/>
                    <w:i/>
                  </w:rPr>
                </m:ctrlPr>
              </m:dPr>
              <m:e>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103191</m:t>
                    </m:r>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m:t>
                        </m:r>
                      </m:sub>
                    </m:sSub>
                  </m:den>
                </m:f>
              </m:e>
            </m:d>
          </m:e>
        </m:func>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fuelc</m:t>
            </m:r>
            <m:r>
              <w:rPr>
                <w:rFonts w:ascii="Cambria Math" w:eastAsiaTheme="minorEastAsia" w:hAnsi="Cambria Math"/>
              </w:rPr>
              <m:t>h</m:t>
            </m:r>
          </m:sub>
        </m:sSub>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10</m:t>
            </m:r>
          </m:sup>
        </m:sSup>
      </m:oMath>
      <w:r w:rsidR="00A93D24">
        <w:rPr>
          <w:rFonts w:eastAsiaTheme="minorEastAsia"/>
        </w:rPr>
        <w:tab/>
      </w:r>
      <w:r w:rsidR="00A93D24">
        <w:rPr>
          <w:rFonts w:eastAsiaTheme="minorEastAsia"/>
        </w:rPr>
        <w:tab/>
      </w:r>
      <w:r w:rsidR="00A93D24">
        <w:rPr>
          <w:rFonts w:eastAsiaTheme="minorEastAsia"/>
        </w:rPr>
        <w:tab/>
        <w:t>(3.12)</w:t>
      </w:r>
    </w:p>
    <w:p w14:paraId="2FC41214" w14:textId="094A59D1" w:rsidR="00A93D24" w:rsidRDefault="00A93D24" w:rsidP="00A93D24">
      <w:pPr>
        <w:ind w:firstLine="0"/>
        <w:rPr>
          <w:rFonts w:eastAsiaTheme="minorEastAsia"/>
        </w:rPr>
      </w:pPr>
      <w:r>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fuelch</m:t>
            </m:r>
          </m:sub>
        </m:sSub>
      </m:oMath>
      <w:r w:rsidR="00C800E0">
        <w:rPr>
          <w:rFonts w:eastAsiaTheme="minorEastAsia"/>
        </w:rPr>
        <w:t xml:space="preserve"> is the height of the fuel channel in meters</w:t>
      </w:r>
      <w:r w:rsidR="000859BB">
        <w:rPr>
          <w:rFonts w:eastAsiaTheme="minorEastAsia"/>
        </w:rPr>
        <w:t>,</w:t>
      </w: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wgs</m:t>
            </m:r>
          </m:sub>
        </m:sSub>
      </m:oMath>
      <w:r>
        <w:rPr>
          <w:rFonts w:eastAsiaTheme="minorEastAsia"/>
        </w:rPr>
        <w:t xml:space="preserve"> is the rate constant in </w:t>
      </w:r>
      <m:oMath>
        <m:f>
          <m:fPr>
            <m:ctrlPr>
              <w:rPr>
                <w:rFonts w:ascii="Cambria Math" w:eastAsiaTheme="minorEastAsia" w:hAnsi="Cambria Math"/>
                <w:i/>
              </w:rPr>
            </m:ctrlPr>
          </m:fPr>
          <m:num>
            <m:r>
              <w:rPr>
                <w:rFonts w:ascii="Cambria Math" w:eastAsiaTheme="minorEastAsia" w:hAnsi="Cambria Math"/>
              </w:rPr>
              <m:t>mol</m:t>
            </m:r>
          </m:num>
          <m:den>
            <m:r>
              <w:rPr>
                <w:rFonts w:ascii="Cambria Math" w:eastAsiaTheme="minorEastAsia" w:hAnsi="Cambria Math"/>
              </w:rPr>
              <m:t>s*</m:t>
            </m:r>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2</m:t>
                </m:r>
              </m:sup>
            </m:sSup>
            <m:r>
              <w:rPr>
                <w:rFonts w:ascii="Cambria Math" w:eastAsiaTheme="minorEastAsia" w:hAnsi="Cambria Math"/>
              </w:rPr>
              <m:t>*ba</m:t>
            </m:r>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den>
        </m:f>
      </m:oMath>
      <w:r w:rsidR="000859BB">
        <w:rPr>
          <w:rFonts w:eastAsiaTheme="minorEastAsia"/>
        </w:rPr>
        <w:t xml:space="preserve">, and the </w:t>
      </w:r>
      <m:oMath>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10</m:t>
            </m:r>
          </m:sup>
        </m:sSup>
      </m:oMath>
      <w:r w:rsidR="000859BB">
        <w:rPr>
          <w:rFonts w:eastAsiaTheme="minorEastAsia"/>
        </w:rPr>
        <w:t xml:space="preserve"> term is added to adjust the units from Pa to bar</w:t>
      </w:r>
      <w:r w:rsidR="006A4CD0">
        <w:rPr>
          <w:rFonts w:eastAsiaTheme="minorEastAsia"/>
        </w:rPr>
        <w:t>.</w:t>
      </w:r>
    </w:p>
    <w:p w14:paraId="0FF64EBA" w14:textId="6920E09E" w:rsidR="00A93D24" w:rsidRDefault="00A93D24" w:rsidP="00A93D24">
      <w:pPr>
        <w:rPr>
          <w:rFonts w:eastAsiaTheme="minorEastAsia"/>
        </w:rPr>
      </w:pPr>
      <w:r>
        <w:t xml:space="preserve">The adsorption constants generally follow a similar modified-Arrhenius trend, except for </w:t>
      </w:r>
      <m:oMath>
        <m:r>
          <w:rPr>
            <w:rFonts w:ascii="Cambria Math" w:hAnsi="Cambria Math"/>
          </w:rPr>
          <m:t>CO</m:t>
        </m:r>
      </m:oMath>
      <w:r>
        <w:rPr>
          <w:rFonts w:eastAsiaTheme="minorEastAsia"/>
        </w:rPr>
        <w:t xml:space="preserve">, </w:t>
      </w:r>
      <m:oMath>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2</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O</m:t>
        </m:r>
      </m:oMath>
      <w:r>
        <w:rPr>
          <w:rFonts w:eastAsiaTheme="minorEastAsia"/>
        </w:rPr>
        <w:t xml:space="preserve">. Since </w:t>
      </w:r>
      <m:oMath>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2</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 xml:space="preserve">O </m:t>
        </m:r>
      </m:oMath>
      <w:r w:rsidR="007F3D03">
        <w:rPr>
          <w:rFonts w:eastAsiaTheme="minorEastAsia"/>
        </w:rPr>
        <w:t>are</w:t>
      </w:r>
      <w:r>
        <w:rPr>
          <w:rFonts w:eastAsiaTheme="minorEastAsia"/>
        </w:rPr>
        <w:t xml:space="preserve"> not included in Jeong’s kinetic study </w:t>
      </w:r>
      <w:r>
        <w:rPr>
          <w:rFonts w:eastAsiaTheme="minorEastAsia"/>
        </w:rPr>
        <w:fldChar w:fldCharType="begin"/>
      </w:r>
      <w:r w:rsidR="00CA7A9D">
        <w:rPr>
          <w:rFonts w:eastAsiaTheme="minorEastAsia"/>
        </w:rPr>
        <w:instrText xml:space="preserve"> ADDIN ZOTERO_ITEM CSL_CITATION {"citationID":"a2eea6gbuhn","properties":{"formattedCitation":"[64]","plainCitation":"[64]","noteIndex":0},"citationItems":[{"id":744,"uris":["http://zotero.org/users/12063231/items/6QIVDYJ5"],"itemData":{"id":744,"type":"article-journal","abstract":"A kinetic model was developed for the methane dehydroaromatization over a Mo2C/H-ZSM5 catalyst. Because the experimental observations show that the reaction and deactivation simultaneously take place in the catalyst activation (carburization) stage, the initial simulation time was specified as the time at which the activation was completed and the initial activities under each operating condition were estimated. The estimated values show that the initial activity of the Mo2C site is low in the early stage of the catalyst bed, which is probably due to the carbonization, while that of the H-ZSM5 site is very low in the later stage of the bed due to the encapsulation of coupled aromatics caused by the low confinement of Mo2C in the zeolite. Kinetic models were developed for the reaction and deactivation and the kinetic parameters were estimated by fitting the experimental data that were obtained after the activation was completed. The simulated results are in good agreement with the experimental data. The deactivation model indicates a higher temperature dependency of the Mo2C site compared with the H-ZSM5 site. In addition, the benzene and toluene yields abruptly decrease at very high temperature, indicating that a too high temperature should be avoided, although high temperatures are favored because of the endothermic characteristics of the production rate.","collection-title":"Special Issue for the 17th Korea-Japan Symposium on Catalysis","container-title":"Catalysis Today","DOI":"10.1016/j.cattod.2019.09.002","ISSN":"0920-5861","journalAbbreviation":"Catalysis Today","page":"140-147","source":"ScienceDirect","title":"Kinetic modeling of methane dehydroaromatization over a Mo2C/H-ZSM5 catalyst: Different deactivation behaviors of the Mo2C and H-ZSM5 sites","title-short":"Kinetic modeling of methane dehydroaromatization over a Mo2C/H-ZSM5 catalyst","volume":"352","author":[{"family":"Jeong","given":"Jaehun"},{"family":"Hwang","given":"Ahron"},{"family":"Kim","given":"Yong Tae"},{"family":"Hong","given":"Do-Young"},{"family":"Park","given":"Myung-June"}],"issued":{"date-parts":[["2020",8,1]]}}}],"schema":"https://github.com/citation-style-language/schema/raw/master/csl-citation.json"} </w:instrText>
      </w:r>
      <w:r>
        <w:rPr>
          <w:rFonts w:eastAsiaTheme="minorEastAsia"/>
        </w:rPr>
        <w:fldChar w:fldCharType="separate"/>
      </w:r>
      <w:r w:rsidR="00CA7A9D" w:rsidRPr="00CA7A9D">
        <w:rPr>
          <w:rFonts w:ascii="Aptos" w:hAnsi="Aptos"/>
        </w:rPr>
        <w:t>[64]</w:t>
      </w:r>
      <w:r>
        <w:rPr>
          <w:rFonts w:eastAsiaTheme="minorEastAsia"/>
        </w:rPr>
        <w:fldChar w:fldCharType="end"/>
      </w:r>
      <w:r>
        <w:rPr>
          <w:rFonts w:eastAsiaTheme="minorEastAsia"/>
        </w:rPr>
        <w:t xml:space="preserve">, they </w:t>
      </w:r>
      <w:r w:rsidR="0020124E">
        <w:rPr>
          <w:rFonts w:eastAsiaTheme="minorEastAsia"/>
        </w:rPr>
        <w:t>are</w:t>
      </w:r>
      <w:r>
        <w:rPr>
          <w:rFonts w:eastAsiaTheme="minorEastAsia"/>
        </w:rPr>
        <w:t xml:space="preserve"> simply given constant values similar to </w:t>
      </w:r>
      <m:oMath>
        <m:r>
          <w:rPr>
            <w:rFonts w:ascii="Cambria Math" w:eastAsiaTheme="minorEastAsia" w:hAnsi="Cambria Math"/>
          </w:rPr>
          <m:t>CO</m:t>
        </m:r>
      </m:oMath>
      <w:r>
        <w:rPr>
          <w:rFonts w:eastAsiaTheme="minorEastAsia"/>
        </w:rPr>
        <w:t xml:space="preserve">. The remaining adsorption constants </w:t>
      </w:r>
      <w:r w:rsidR="0020124E">
        <w:rPr>
          <w:rFonts w:eastAsiaTheme="minorEastAsia"/>
        </w:rPr>
        <w:t>are</w:t>
      </w:r>
      <w:r>
        <w:rPr>
          <w:rFonts w:eastAsiaTheme="minorEastAsia"/>
        </w:rPr>
        <w:t xml:space="preserve"> calculated based on the work of Jeong’s study, and followed Jeong’s approach of using the inverse temperature as follows</w:t>
      </w:r>
    </w:p>
    <w:p w14:paraId="7736F7A7" w14:textId="77777777" w:rsidR="00A93D24" w:rsidRPr="00B83E3E" w:rsidRDefault="00924E48" w:rsidP="00A93D24">
      <w:pPr>
        <w:jc w:val="right"/>
        <w:rPr>
          <w:rFonts w:eastAsiaTheme="minorEastAsia"/>
        </w:rPr>
      </w:pPr>
      <m:oMath>
        <m:sSubSup>
          <m:sSubSupPr>
            <m:ctrlPr>
              <w:rPr>
                <w:rFonts w:ascii="Cambria Math" w:hAnsi="Cambria Math"/>
                <w:i/>
              </w:rPr>
            </m:ctrlPr>
          </m:sSubSupPr>
          <m:e>
            <m:r>
              <w:rPr>
                <w:rFonts w:ascii="Cambria Math" w:hAnsi="Cambria Math"/>
              </w:rPr>
              <m:t>K</m:t>
            </m:r>
          </m:e>
          <m:sub>
            <m:r>
              <w:rPr>
                <w:rFonts w:ascii="Cambria Math" w:hAnsi="Cambria Math"/>
              </w:rPr>
              <m:t>s</m:t>
            </m:r>
          </m:sub>
          <m:sup>
            <m:r>
              <w:rPr>
                <w:rFonts w:ascii="Cambria Math" w:hAnsi="Cambria Math"/>
              </w:rPr>
              <m:t>ad</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0</m:t>
            </m:r>
          </m:sub>
          <m:sup>
            <m:r>
              <w:rPr>
                <w:rFonts w:ascii="Cambria Math" w:eastAsiaTheme="minorEastAsia" w:hAnsi="Cambria Math"/>
              </w:rPr>
              <m:t>ad</m:t>
            </m:r>
          </m:sup>
        </m:sSubSup>
        <m:func>
          <m:funcPr>
            <m:ctrlPr>
              <w:rPr>
                <w:rFonts w:ascii="Cambria Math" w:eastAsiaTheme="minorEastAsia" w:hAnsi="Cambria Math"/>
                <w:i/>
              </w:rPr>
            </m:ctrlPr>
          </m:funcPr>
          <m:fName>
            <m:r>
              <m:rPr>
                <m:sty m:val="p"/>
              </m:rPr>
              <w:rPr>
                <w:rFonts w:ascii="Cambria Math" w:eastAsiaTheme="minorEastAsia" w:hAnsi="Cambria Math"/>
              </w:rPr>
              <m:t>exp</m:t>
            </m:r>
          </m:fName>
          <m:e>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act</m:t>
                        </m:r>
                      </m:sub>
                    </m:sSub>
                  </m:num>
                  <m:den>
                    <m:r>
                      <w:rPr>
                        <w:rFonts w:ascii="Cambria Math" w:eastAsiaTheme="minorEastAsia" w:hAnsi="Cambria Math"/>
                      </w:rPr>
                      <m:t>r</m:t>
                    </m:r>
                  </m:den>
                </m:f>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ref</m:t>
                            </m:r>
                          </m:sub>
                        </m:sSub>
                      </m:den>
                    </m:f>
                  </m:e>
                </m:d>
              </m:e>
            </m:d>
          </m:e>
        </m:func>
      </m:oMath>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t>(3.13)</w:t>
      </w:r>
    </w:p>
    <w:p w14:paraId="12C7C9D1" w14:textId="6CBA98EB" w:rsidR="00A93D24" w:rsidRDefault="00A93D24" w:rsidP="00A93D24">
      <w:pPr>
        <w:rPr>
          <w:rFonts w:eastAsiaTheme="minorEastAsia"/>
        </w:rPr>
      </w:pPr>
      <w:r>
        <w:rPr>
          <w:rFonts w:eastAsiaTheme="minorEastAsia"/>
        </w:rPr>
        <w:t xml:space="preserve">Lastly, for the equilibrium constants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eq</m:t>
            </m:r>
          </m:sub>
        </m:sSub>
      </m:oMath>
      <w:r>
        <w:rPr>
          <w:rFonts w:eastAsiaTheme="minorEastAsia"/>
        </w:rPr>
        <w:t xml:space="preserve">, the first step </w:t>
      </w:r>
      <w:r w:rsidR="00A0692D">
        <w:rPr>
          <w:rFonts w:eastAsiaTheme="minorEastAsia"/>
        </w:rPr>
        <w:t>is</w:t>
      </w:r>
      <w:r>
        <w:rPr>
          <w:rFonts w:eastAsiaTheme="minorEastAsia"/>
        </w:rPr>
        <w:t xml:space="preserve"> to determine the Gibb’s free energy change for each reaction. The EES database </w:t>
      </w:r>
      <w:r w:rsidR="00A0692D">
        <w:rPr>
          <w:rFonts w:eastAsiaTheme="minorEastAsia"/>
        </w:rPr>
        <w:t>is</w:t>
      </w:r>
      <w:r>
        <w:rPr>
          <w:rFonts w:eastAsiaTheme="minorEastAsia"/>
        </w:rPr>
        <w:t xml:space="preserve"> used to calculate the Gibb’s free energy of the different reactions such that for each reaction,</w:t>
      </w:r>
    </w:p>
    <w:p w14:paraId="15960C0E" w14:textId="77777777" w:rsidR="00A93D24" w:rsidRPr="001157B7" w:rsidRDefault="00A93D24" w:rsidP="00A93D24">
      <w:pPr>
        <w:jc w:val="right"/>
        <w:rPr>
          <w:rFonts w:eastAsiaTheme="minorEastAsia"/>
        </w:rPr>
      </w:pPr>
      <m:oMath>
        <m:r>
          <m:rPr>
            <m:sty m:val="p"/>
          </m:rPr>
          <w:rPr>
            <w:rFonts w:ascii="Cambria Math" w:hAnsi="Cambria Math"/>
          </w:rPr>
          <m:t>Δ</m:t>
        </m:r>
        <m:r>
          <w:rPr>
            <w:rFonts w:ascii="Cambria Math" w:hAnsi="Cambria Math"/>
          </w:rPr>
          <m:t>G=</m:t>
        </m:r>
        <m:r>
          <m:rPr>
            <m:sty m:val="p"/>
          </m:rPr>
          <w:rPr>
            <w:rFonts w:ascii="Cambria Math" w:hAnsi="Cambria Math"/>
          </w:rPr>
          <m:t>ΣΔ</m:t>
        </m:r>
        <m:sSubSup>
          <m:sSubSupPr>
            <m:ctrlPr>
              <w:rPr>
                <w:rFonts w:ascii="Cambria Math" w:hAnsi="Cambria Math"/>
                <w:i/>
              </w:rPr>
            </m:ctrlPr>
          </m:sSubSupPr>
          <m:e>
            <m:r>
              <w:rPr>
                <w:rFonts w:ascii="Cambria Math" w:hAnsi="Cambria Math"/>
              </w:rPr>
              <m:t>G</m:t>
            </m:r>
          </m:e>
          <m:sub>
            <m:r>
              <w:rPr>
                <w:rFonts w:ascii="Cambria Math" w:hAnsi="Cambria Math"/>
              </w:rPr>
              <m:t>products</m:t>
            </m:r>
          </m:sub>
          <m:sup>
            <m:sSub>
              <m:sSubPr>
                <m:ctrlPr>
                  <w:rPr>
                    <w:rFonts w:ascii="Cambria Math" w:hAnsi="Cambria Math"/>
                    <w:i/>
                  </w:rPr>
                </m:ctrlPr>
              </m:sSubPr>
              <m:e>
                <m:r>
                  <w:rPr>
                    <w:rFonts w:ascii="Cambria Math" w:hAnsi="Cambria Math"/>
                  </w:rPr>
                  <m:t>ν</m:t>
                </m:r>
              </m:e>
              <m:sub>
                <m:r>
                  <w:rPr>
                    <w:rFonts w:ascii="Cambria Math" w:hAnsi="Cambria Math"/>
                  </w:rPr>
                  <m:t>s</m:t>
                </m:r>
              </m:sub>
            </m:sSub>
          </m:sup>
        </m:sSubSup>
        <m:r>
          <w:rPr>
            <w:rFonts w:ascii="Cambria Math" w:hAnsi="Cambria Math"/>
          </w:rPr>
          <m:t>-</m:t>
        </m:r>
        <m:r>
          <m:rPr>
            <m:sty m:val="p"/>
          </m:rPr>
          <w:rPr>
            <w:rFonts w:ascii="Cambria Math" w:hAnsi="Cambria Math"/>
          </w:rPr>
          <m:t>ΣΔ</m:t>
        </m:r>
        <m:sSubSup>
          <m:sSubSupPr>
            <m:ctrlPr>
              <w:rPr>
                <w:rFonts w:ascii="Cambria Math" w:hAnsi="Cambria Math"/>
                <w:i/>
              </w:rPr>
            </m:ctrlPr>
          </m:sSubSupPr>
          <m:e>
            <m:r>
              <w:rPr>
                <w:rFonts w:ascii="Cambria Math" w:hAnsi="Cambria Math"/>
              </w:rPr>
              <m:t>G</m:t>
            </m:r>
          </m:e>
          <m:sub>
            <m:r>
              <w:rPr>
                <w:rFonts w:ascii="Cambria Math" w:hAnsi="Cambria Math"/>
              </w:rPr>
              <m:t>reactants</m:t>
            </m:r>
          </m:sub>
          <m:sup>
            <m:sSub>
              <m:sSubPr>
                <m:ctrlPr>
                  <w:rPr>
                    <w:rFonts w:ascii="Cambria Math" w:hAnsi="Cambria Math"/>
                    <w:i/>
                  </w:rPr>
                </m:ctrlPr>
              </m:sSubPr>
              <m:e>
                <m:r>
                  <w:rPr>
                    <w:rFonts w:ascii="Cambria Math" w:hAnsi="Cambria Math"/>
                  </w:rPr>
                  <m:t>ν</m:t>
                </m:r>
              </m:e>
              <m:sub>
                <m:r>
                  <w:rPr>
                    <w:rFonts w:ascii="Cambria Math" w:hAnsi="Cambria Math"/>
                  </w:rPr>
                  <m:t>s</m:t>
                </m:r>
              </m:sub>
            </m:sSub>
          </m:sup>
        </m:sSubSup>
      </m:oMath>
      <w:r>
        <w:rPr>
          <w:rFonts w:eastAsiaTheme="minorEastAsia"/>
        </w:rPr>
        <w:tab/>
      </w:r>
      <w:r>
        <w:rPr>
          <w:rFonts w:eastAsiaTheme="minorEastAsia"/>
        </w:rPr>
        <w:tab/>
      </w:r>
      <w:r>
        <w:rPr>
          <w:rFonts w:eastAsiaTheme="minorEastAsia"/>
        </w:rPr>
        <w:tab/>
      </w:r>
      <w:r>
        <w:rPr>
          <w:rFonts w:eastAsiaTheme="minorEastAsia"/>
        </w:rPr>
        <w:tab/>
        <w:t>(3.14)</w:t>
      </w:r>
    </w:p>
    <w:p w14:paraId="3859203F" w14:textId="6D9C1B5A" w:rsidR="00A93D24" w:rsidRDefault="00A93D24" w:rsidP="00A93D24">
      <w:pPr>
        <w:ind w:firstLine="0"/>
        <w:rPr>
          <w:rFonts w:eastAsiaTheme="minorEastAsia"/>
        </w:rPr>
      </w:pPr>
      <w:r>
        <w:rPr>
          <w:rFonts w:eastAsiaTheme="minorEastAsia"/>
        </w:rPr>
        <w:t xml:space="preserve">where </w:t>
      </w:r>
      <m:oMath>
        <m:r>
          <m:rPr>
            <m:sty m:val="p"/>
          </m:rPr>
          <w:rPr>
            <w:rFonts w:ascii="Cambria Math" w:eastAsiaTheme="minorEastAsia" w:hAnsi="Cambria Math"/>
          </w:rPr>
          <m:t>Δ</m:t>
        </m:r>
        <m:r>
          <w:rPr>
            <w:rFonts w:ascii="Cambria Math" w:eastAsiaTheme="minorEastAsia" w:hAnsi="Cambria Math"/>
          </w:rPr>
          <m:t>G</m:t>
        </m:r>
      </m:oMath>
      <w:r>
        <w:rPr>
          <w:rFonts w:eastAsiaTheme="minorEastAsia"/>
        </w:rPr>
        <w:t xml:space="preserve"> is the standard Gibb’s free energy, and </w:t>
      </w:r>
      <m:oMath>
        <m:sSub>
          <m:sSubPr>
            <m:ctrlPr>
              <w:rPr>
                <w:rFonts w:ascii="Cambria Math" w:eastAsiaTheme="minorEastAsia" w:hAnsi="Cambria Math"/>
                <w:i/>
              </w:rPr>
            </m:ctrlPr>
          </m:sSubPr>
          <m:e>
            <m:r>
              <w:rPr>
                <w:rFonts w:ascii="Cambria Math" w:eastAsiaTheme="minorEastAsia" w:hAnsi="Cambria Math"/>
              </w:rPr>
              <m:t>ν</m:t>
            </m:r>
          </m:e>
          <m:sub>
            <m:r>
              <w:rPr>
                <w:rFonts w:ascii="Cambria Math" w:eastAsiaTheme="minorEastAsia" w:hAnsi="Cambria Math"/>
              </w:rPr>
              <m:t>s</m:t>
            </m:r>
          </m:sub>
        </m:sSub>
      </m:oMath>
      <w:r>
        <w:rPr>
          <w:rFonts w:eastAsiaTheme="minorEastAsia"/>
        </w:rPr>
        <w:t xml:space="preserve"> is the stoichiometric coefficient for each species </w:t>
      </w:r>
      <m:oMath>
        <m:r>
          <w:rPr>
            <w:rFonts w:ascii="Cambria Math" w:eastAsiaTheme="minorEastAsia" w:hAnsi="Cambria Math"/>
          </w:rPr>
          <m:t xml:space="preserve">s </m:t>
        </m:r>
      </m:oMath>
      <w:r>
        <w:rPr>
          <w:rFonts w:eastAsiaTheme="minorEastAsia"/>
        </w:rPr>
        <w:t xml:space="preserve">in the reactants or products respectively. Then the standard Arrhenius equation </w:t>
      </w:r>
      <w:r w:rsidR="004E2075">
        <w:rPr>
          <w:rFonts w:eastAsiaTheme="minorEastAsia"/>
        </w:rPr>
        <w:t>is</w:t>
      </w:r>
      <w:r>
        <w:rPr>
          <w:rFonts w:eastAsiaTheme="minorEastAsia"/>
        </w:rPr>
        <w:t xml:space="preserve"> used to calculate the equilibrium constant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eq</m:t>
            </m:r>
          </m:sub>
        </m:sSub>
      </m:oMath>
      <w:r>
        <w:rPr>
          <w:rFonts w:eastAsiaTheme="minorEastAsia"/>
        </w:rPr>
        <w:t>.</w:t>
      </w:r>
    </w:p>
    <w:p w14:paraId="4E36DC57" w14:textId="77777777" w:rsidR="00A93D24" w:rsidRPr="00C92EA7" w:rsidRDefault="00924E48" w:rsidP="00A93D24">
      <w:pPr>
        <w:ind w:firstLine="0"/>
        <w:jc w:val="right"/>
        <w:rPr>
          <w:rFonts w:eastAsiaTheme="minorEastAsia"/>
        </w:rPr>
      </w:pPr>
      <m:oMath>
        <m:sSub>
          <m:sSubPr>
            <m:ctrlPr>
              <w:rPr>
                <w:rFonts w:ascii="Cambria Math" w:hAnsi="Cambria Math"/>
                <w:i/>
              </w:rPr>
            </m:ctrlPr>
          </m:sSubPr>
          <m:e>
            <m:r>
              <w:rPr>
                <w:rFonts w:ascii="Cambria Math" w:hAnsi="Cambria Math"/>
              </w:rPr>
              <m:t>K</m:t>
            </m:r>
          </m:e>
          <m:sub>
            <m:r>
              <w:rPr>
                <w:rFonts w:ascii="Cambria Math" w:hAnsi="Cambria Math"/>
              </w:rPr>
              <m:t>eq</m:t>
            </m:r>
          </m:sub>
        </m:sSub>
        <m:r>
          <w:rPr>
            <w:rFonts w:ascii="Cambria Math" w:hAnsi="Cambria Math"/>
          </w:rPr>
          <m:t>=</m:t>
        </m:r>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ΔG</m:t>
                    </m:r>
                  </m:num>
                  <m:den>
                    <m:r>
                      <w:rPr>
                        <w:rFonts w:ascii="Cambria Math" w:hAnsi="Cambria Math"/>
                      </w:rPr>
                      <m:t>R</m:t>
                    </m:r>
                    <m:sSub>
                      <m:sSubPr>
                        <m:ctrlPr>
                          <w:rPr>
                            <w:rFonts w:ascii="Cambria Math" w:hAnsi="Cambria Math"/>
                            <w:i/>
                          </w:rPr>
                        </m:ctrlPr>
                      </m:sSubPr>
                      <m:e>
                        <m:r>
                          <w:rPr>
                            <w:rFonts w:ascii="Cambria Math" w:hAnsi="Cambria Math"/>
                          </w:rPr>
                          <m:t>T</m:t>
                        </m:r>
                      </m:e>
                      <m:sub>
                        <m:r>
                          <w:rPr>
                            <w:rFonts w:ascii="Cambria Math" w:hAnsi="Cambria Math"/>
                          </w:rPr>
                          <m:t>PEN</m:t>
                        </m:r>
                      </m:sub>
                    </m:sSub>
                  </m:den>
                </m:f>
              </m:e>
            </m:d>
          </m:e>
        </m:func>
      </m:oMath>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t>(3.15)</w:t>
      </w:r>
    </w:p>
    <w:p w14:paraId="29AFCC13" w14:textId="2F117206" w:rsidR="00A93D24" w:rsidRPr="00EE1A36" w:rsidRDefault="00A93D24" w:rsidP="00A93D24">
      <w:r>
        <w:t xml:space="preserve">The final values used to determine all the above constants is shown in </w:t>
      </w:r>
      <w:r>
        <w:fldChar w:fldCharType="begin"/>
      </w:r>
      <w:r>
        <w:instrText xml:space="preserve"> REF _Ref162542263 \h </w:instrText>
      </w:r>
      <w:r>
        <w:fldChar w:fldCharType="separate"/>
      </w:r>
      <w:r>
        <w:t xml:space="preserve">Table </w:t>
      </w:r>
      <w:r>
        <w:rPr>
          <w:noProof/>
        </w:rPr>
        <w:t>1</w:t>
      </w:r>
      <w:r>
        <w:fldChar w:fldCharType="end"/>
      </w:r>
      <w:r>
        <w:t xml:space="preserve">. All the activation energies </w:t>
      </w:r>
      <w:r w:rsidR="0020124E">
        <w:t>are</w:t>
      </w:r>
      <w:r>
        <w:t xml:space="preserve"> determined by Jeong </w:t>
      </w:r>
      <w:r>
        <w:fldChar w:fldCharType="begin"/>
      </w:r>
      <w:r w:rsidR="00CA7A9D">
        <w:instrText xml:space="preserve"> ADDIN ZOTERO_ITEM CSL_CITATION {"citationID":"gd4WPWSL","properties":{"formattedCitation":"[64]","plainCitation":"[64]","noteIndex":0},"citationItems":[{"id":744,"uris":["http://zotero.org/users/12063231/items/6QIVDYJ5"],"itemData":{"id":744,"type":"article-journal","abstract":"A kinetic model was developed for the methane dehydroaromatization over a Mo2C/H-ZSM5 catalyst. Because the experimental observations show that the reaction and deactivation simultaneously take place in the catalyst activation (carburization) stage, the initial simulation time was specified as the time at which the activation was completed and the initial activities under each operating condition were estimated. The estimated values show that the initial activity of the Mo2C site is low in the early stage of the catalyst bed, which is probably due to the carbonization, while that of the H-ZSM5 site is very low in the later stage of the bed due to the encapsulation of coupled aromatics caused by the low confinement of Mo2C in the zeolite. Kinetic models were developed for the reaction and deactivation and the kinetic parameters were estimated by fitting the experimental data that were obtained after the activation was completed. The simulated results are in good agreement with the experimental data. The deactivation model indicates a higher temperature dependency of the Mo2C site compared with the H-ZSM5 site. In addition, the benzene and toluene yields abruptly decrease at very high temperature, indicating that a too high temperature should be avoided, although high temperatures are favored because of the endothermic characteristics of the production rate.","collection-title":"Special Issue for the 17th Korea-Japan Symposium on Catalysis","container-title":"Catalysis Today","DOI":"10.1016/j.cattod.2019.09.002","ISSN":"0920-5861","journalAbbreviation":"Catalysis Today","page":"140-147","source":"ScienceDirect","title":"Kinetic modeling of methane dehydroaromatization over a Mo2C/H-ZSM5 catalyst: Different deactivation behaviors of the Mo2C and H-ZSM5 sites","title-short":"Kinetic modeling of methane dehydroaromatization over a Mo2C/H-ZSM5 catalyst","volume":"352","author":[{"family":"Jeong","given":"Jaehun"},{"family":"Hwang","given":"Ahron"},{"family":"Kim","given":"Yong Tae"},{"family":"Hong","given":"Do-Young"},{"family":"Park","given":"Myung-June"}],"issued":{"date-parts":[["2020",8,1]]}}}],"schema":"https://github.com/citation-style-language/schema/raw/master/csl-citation.json"} </w:instrText>
      </w:r>
      <w:r>
        <w:fldChar w:fldCharType="separate"/>
      </w:r>
      <w:r w:rsidR="00CA7A9D" w:rsidRPr="00CA7A9D">
        <w:rPr>
          <w:rFonts w:ascii="Aptos" w:hAnsi="Aptos"/>
        </w:rPr>
        <w:t>[64]</w:t>
      </w:r>
      <w:r>
        <w:fldChar w:fldCharType="end"/>
      </w:r>
      <w:r>
        <w:t xml:space="preserve"> for the MDA reaction and adsorption constants, Timmerman </w:t>
      </w:r>
      <w:r>
        <w:fldChar w:fldCharType="begin"/>
      </w:r>
      <w:r w:rsidR="00CA7A9D">
        <w:instrText xml:space="preserve"> ADDIN ZOTERO_ITEM CSL_CITATION {"citationID":"ocWVFTIj","properties":{"formattedCitation":"[79]","plainCitation":"[79]","noteIndex":0},"citationItems":[{"id":801,"uris":["http://zotero.org/users/12063231/items/8SDENHQE"],"itemData":{"id":801,"type":"article-journal","abstract":"The internal reforming of methane in a solid oxide fuel cell (SOFC) is investigated and modeled for flow conditions relevant to operation. To this end, measurements are performed on anode-supported cells (ASC), thereby varying gas composition (yCO=4–15%, yH2=5−17%, yCO2=6−18%, yH2O=2−30%, yCH4=0.1−20%) and temperature (600–850°C). In this way, operating conditions for both stationary applications (methane-rich pre-reformate) as well as for auxiliary power unit (APU) applications (diesel-POX reformate) are represented. The reforming reaction is monitored in five different positions alongside the anodic gas channel by means of gas chromatography. It is shown that methane is converted in the flow field for methane-rich gas compositions, whereas under operation with diesel reformate the direction of the reaction is reversed for temperatures below 675°C, i.e. (exothermic) methanation occurs along the anode. Using a reaction model, a rate equation for reforming could be derived which is also valid in the case of methanation. By introducing this equation into the reaction model the methane conversion along a catalytically active Ni-YSZ cermet SOFC anode can be simulated for the operating conditions specified above.","container-title":"Journal of Power Sources","DOI":"10.1016/j.jpowsour.2009.07.019","ISSN":"0378-7753","issue":"1","journalAbbreviation":"Journal of Power Sources","page":"214-222","source":"ScienceDirect","title":"Kinetics of (reversible) internal reforming of methane in solid oxide fuel cells under stationary and APU conditions","volume":"195","author":[{"family":"Timmermann","given":"H."},{"family":"Sawady","given":"W."},{"family":"Reimert","given":"R."},{"family":"Ivers-Tiffée","given":"E."}],"issued":{"date-parts":[["2010",1,1]]}}}],"schema":"https://github.com/citation-style-language/schema/raw/master/csl-citation.json"} </w:instrText>
      </w:r>
      <w:r>
        <w:fldChar w:fldCharType="separate"/>
      </w:r>
      <w:r w:rsidR="00CA7A9D" w:rsidRPr="00CA7A9D">
        <w:rPr>
          <w:rFonts w:ascii="Aptos" w:hAnsi="Aptos"/>
        </w:rPr>
        <w:t>[79]</w:t>
      </w:r>
      <w:r>
        <w:fldChar w:fldCharType="end"/>
      </w:r>
      <w:r>
        <w:t xml:space="preserve"> for the steam reforming reaction, and </w:t>
      </w:r>
      <w:proofErr w:type="spellStart"/>
      <w:r>
        <w:t>Mallens</w:t>
      </w:r>
      <w:proofErr w:type="spellEnd"/>
      <w:r>
        <w:t xml:space="preserve"> </w:t>
      </w:r>
      <w:r>
        <w:fldChar w:fldCharType="begin"/>
      </w:r>
      <w:r w:rsidR="00CA7A9D">
        <w:instrText xml:space="preserve"> ADDIN ZOTERO_ITEM CSL_CITATION {"citationID":"a23h6d3kqp0","properties":{"formattedCitation":"[81]","plainCitation":"[81]","noteIndex":0},"citationItems":[{"id":811,"uris":["http://zotero.org/users/12063231/items/BR7H8M9V"],"itemData":{"id":811,"type":"article-journal","abstract":"The partial oxidation of methane to synthesis gas over rhodium sponge has been investigated by admitting pulses of pure methane and pure oxygen as well as mixtures of methane and oxygen to rhodium sponge at temperatures from 873 to 1023 K. Moreover, pulses of oxygen followed by methane and vice versa as well as pulses of mixtures of methane and labelled oxygen were applied to study the role of chemisorbed oxygen and incorporated oxygen in the reaction mechanism. The decomposition of methane on reduced rhodium results in the formation of carbon and hydrogen adatoms. During the interaction of pure dioxygen with rhodium the catalyst is almost completely oxidized to Rh2O3. In addition to rhodium oxide, oxygen is also present in the form of chemisorbed oxygen species. During the simultaneous interaction of methane and dioxygen at a stoichiometric feed ratio and a temperature of 973 K only 0.4 wt% Rh2O3is present. The chemisorbed oxygen species are completely desorbed after 2 s. A Mars–Van Krevelen mechanism is postulated: methane reduces the rhodium oxide, which is reoxidized by dioxygen. Synthesis gas is produced as primary product. Hydrogen is formed via the associative desorption of two hydrogen adatoms from reduced rhodium and the reaction between carbon adatoms and oxygen present as rhodium oxide results in the formation of carbon monoxide. The consecutive oxidation of CO and H2proceeds via both chemisorbed oxygen and oxygen present as rhodium oxide. Continuous flow experiments were performed to compare rhodium and platinum. When compared to platinum, rhodium shows a higher conversion to methane at a comparable temperature and also a higher selectivity to both CO and H2, the difference for CO being most pronounced. The observed differences in methane conversion and selectivities for the two catalysts are ascribed to the higher activation energy for methane decomposition on platinum compared to rhodium. An additional explanation for the difference in H2selectivity could be the higher activation energy for OH formation on rhodium compared to platinum.","container-title":"Journal of Catalysis","DOI":"10.1006/jcat.1997.1533","ISSN":"0021-9517","issue":"1","journalAbbreviation":"Journal of Catalysis","page":"43-56","source":"ScienceDirect","title":"The Reaction Mechanism of the Partial Oxidation of Methane to Synthesis Gas: A Transient Kinetic Study over Rhodium and a Comparison with Platinum","title-short":"The Reaction Mechanism of the Partial Oxidation of Methane to Synthesis Gas","volume":"167","author":[{"family":"Mallens","given":"E. P. J."},{"family":"Hoebink","given":"J. H. B. J."},{"family":"Marin","given":"G. B."}],"issued":{"date-parts":[["1997",4,1]]}}}],"schema":"https://github.com/citation-style-language/schema/raw/master/csl-citation.json"} </w:instrText>
      </w:r>
      <w:r>
        <w:fldChar w:fldCharType="separate"/>
      </w:r>
      <w:r w:rsidR="00CA7A9D" w:rsidRPr="00CA7A9D">
        <w:rPr>
          <w:rFonts w:ascii="Aptos" w:hAnsi="Aptos"/>
        </w:rPr>
        <w:t>[81]</w:t>
      </w:r>
      <w:r>
        <w:fldChar w:fldCharType="end"/>
      </w:r>
      <w:r>
        <w:t xml:space="preserve"> for the water gas shift reaction. However, many of the preexponential factors </w:t>
      </w:r>
      <w:r w:rsidR="0020124E">
        <w:t>are</w:t>
      </w:r>
      <w:r>
        <w:t xml:space="preserve"> significantly adjusted to align with the catalyst data used for validation. </w:t>
      </w:r>
    </w:p>
    <w:p w14:paraId="5834BFE8" w14:textId="3F922641" w:rsidR="00A93D24" w:rsidRDefault="00A93D24" w:rsidP="00A93D24">
      <w:pPr>
        <w:pStyle w:val="Caption"/>
        <w:keepNext/>
      </w:pPr>
      <w:bookmarkStart w:id="65" w:name="_Ref162542263"/>
      <w:bookmarkStart w:id="66" w:name="_Toc165641115"/>
      <w:r>
        <w:t xml:space="preserve">Table </w:t>
      </w:r>
      <w:r w:rsidR="004243AD">
        <w:t>3.</w:t>
      </w:r>
      <w:r>
        <w:fldChar w:fldCharType="begin"/>
      </w:r>
      <w:r>
        <w:instrText xml:space="preserve"> SEQ Table \* ARABIC </w:instrText>
      </w:r>
      <w:r>
        <w:fldChar w:fldCharType="separate"/>
      </w:r>
      <w:r>
        <w:rPr>
          <w:noProof/>
        </w:rPr>
        <w:t>1</w:t>
      </w:r>
      <w:r>
        <w:fldChar w:fldCharType="end"/>
      </w:r>
      <w:bookmarkEnd w:id="65"/>
      <w:r>
        <w:t>: Kinetic data used in model</w:t>
      </w:r>
      <w:bookmarkEnd w:id="66"/>
    </w:p>
    <w:tbl>
      <w:tblPr>
        <w:tblStyle w:val="TableGrid"/>
        <w:tblW w:w="0" w:type="auto"/>
        <w:jc w:val="center"/>
        <w:tblLook w:val="04A0" w:firstRow="1" w:lastRow="0" w:firstColumn="1" w:lastColumn="0" w:noHBand="0" w:noVBand="1"/>
      </w:tblPr>
      <w:tblGrid>
        <w:gridCol w:w="1177"/>
        <w:gridCol w:w="1701"/>
        <w:gridCol w:w="4947"/>
        <w:gridCol w:w="1350"/>
      </w:tblGrid>
      <w:tr w:rsidR="00A93D24" w14:paraId="00658D53" w14:textId="77777777" w:rsidTr="0043723E">
        <w:trPr>
          <w:jc w:val="center"/>
        </w:trPr>
        <w:tc>
          <w:tcPr>
            <w:tcW w:w="1177" w:type="dxa"/>
          </w:tcPr>
          <w:p w14:paraId="7AB2FA4C" w14:textId="77777777" w:rsidR="00A93D24" w:rsidRDefault="00A93D24" w:rsidP="002E7584">
            <w:pPr>
              <w:ind w:firstLine="0"/>
            </w:pPr>
            <w:r>
              <w:t>Constant</w:t>
            </w:r>
          </w:p>
        </w:tc>
        <w:tc>
          <w:tcPr>
            <w:tcW w:w="1701" w:type="dxa"/>
          </w:tcPr>
          <w:p w14:paraId="3F393FB4" w14:textId="77777777" w:rsidR="00A93D24" w:rsidRDefault="00A93D24" w:rsidP="002E7584">
            <w:pPr>
              <w:ind w:firstLine="0"/>
            </w:pPr>
            <w:r>
              <w:t xml:space="preserve">Units </w:t>
            </w:r>
          </w:p>
        </w:tc>
        <w:tc>
          <w:tcPr>
            <w:tcW w:w="4947" w:type="dxa"/>
          </w:tcPr>
          <w:p w14:paraId="124DAD3E" w14:textId="77777777" w:rsidR="00A93D24" w:rsidRDefault="00A93D24" w:rsidP="002E7584">
            <w:pPr>
              <w:ind w:firstLine="0"/>
            </w:pPr>
            <w:r>
              <w:t>Value</w:t>
            </w:r>
          </w:p>
        </w:tc>
        <w:tc>
          <w:tcPr>
            <w:tcW w:w="1350" w:type="dxa"/>
          </w:tcPr>
          <w:p w14:paraId="48FBD6A0" w14:textId="77777777" w:rsidR="00A93D24" w:rsidRDefault="00A93D24" w:rsidP="002E7584">
            <w:pPr>
              <w:ind w:firstLine="0"/>
            </w:pPr>
            <w:r>
              <w:t>Reference</w:t>
            </w:r>
          </w:p>
        </w:tc>
      </w:tr>
      <w:tr w:rsidR="00A93D24" w14:paraId="6B82B17A" w14:textId="77777777" w:rsidTr="0043723E">
        <w:trPr>
          <w:jc w:val="center"/>
        </w:trPr>
        <w:tc>
          <w:tcPr>
            <w:tcW w:w="1177" w:type="dxa"/>
            <w:vAlign w:val="center"/>
          </w:tcPr>
          <w:p w14:paraId="52EB4A6B" w14:textId="77777777" w:rsidR="00A93D24" w:rsidRDefault="00924E48" w:rsidP="002E7584">
            <w:pPr>
              <w:ind w:firstLine="0"/>
              <w:jc w:val="center"/>
            </w:pPr>
            <m:oMathPara>
              <m:oMath>
                <m:sSub>
                  <m:sSubPr>
                    <m:ctrlPr>
                      <w:rPr>
                        <w:rFonts w:ascii="Cambria Math" w:hAnsi="Cambria Math"/>
                        <w:i/>
                      </w:rPr>
                    </m:ctrlPr>
                  </m:sSubPr>
                  <m:e>
                    <m:r>
                      <w:rPr>
                        <w:rFonts w:ascii="Cambria Math" w:hAnsi="Cambria Math"/>
                      </w:rPr>
                      <m:t>k</m:t>
                    </m:r>
                  </m:e>
                  <m:sub>
                    <m:r>
                      <w:rPr>
                        <w:rFonts w:ascii="Cambria Math" w:hAnsi="Cambria Math"/>
                      </w:rPr>
                      <m:t>me</m:t>
                    </m:r>
                  </m:sub>
                </m:sSub>
              </m:oMath>
            </m:oMathPara>
          </w:p>
        </w:tc>
        <w:tc>
          <w:tcPr>
            <w:tcW w:w="1701" w:type="dxa"/>
            <w:vAlign w:val="center"/>
          </w:tcPr>
          <w:p w14:paraId="2792DD97" w14:textId="77777777" w:rsidR="00A93D24" w:rsidRDefault="00924E48" w:rsidP="002E7584">
            <w:pPr>
              <w:ind w:firstLine="0"/>
              <w:jc w:val="center"/>
            </w:pPr>
            <m:oMathPara>
              <m:oMath>
                <m:f>
                  <m:fPr>
                    <m:ctrlPr>
                      <w:rPr>
                        <w:rFonts w:ascii="Cambria Math" w:hAnsi="Cambria Math"/>
                        <w:i/>
                      </w:rPr>
                    </m:ctrlPr>
                  </m:fPr>
                  <m:num>
                    <m:r>
                      <w:rPr>
                        <w:rFonts w:ascii="Cambria Math" w:hAnsi="Cambria Math"/>
                      </w:rPr>
                      <m:t>mol</m:t>
                    </m:r>
                  </m:num>
                  <m:den>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cat</m:t>
                        </m:r>
                      </m:sub>
                    </m:sSub>
                    <m:r>
                      <w:rPr>
                        <w:rFonts w:ascii="Cambria Math" w:hAnsi="Cambria Math"/>
                      </w:rPr>
                      <m:t>*</m:t>
                    </m:r>
                    <m:r>
                      <w:rPr>
                        <w:rFonts w:ascii="Cambria Math" w:hAnsi="Cambria Math"/>
                      </w:rPr>
                      <m:t>s</m:t>
                    </m:r>
                    <m:r>
                      <w:rPr>
                        <w:rFonts w:ascii="Cambria Math" w:hAnsi="Cambria Math"/>
                      </w:rPr>
                      <m:t>*</m:t>
                    </m:r>
                    <m:r>
                      <w:rPr>
                        <w:rFonts w:ascii="Cambria Math" w:hAnsi="Cambria Math"/>
                      </w:rPr>
                      <m:t>ba</m:t>
                    </m:r>
                    <m:sSup>
                      <m:sSupPr>
                        <m:ctrlPr>
                          <w:rPr>
                            <w:rFonts w:ascii="Cambria Math" w:hAnsi="Cambria Math"/>
                            <w:i/>
                          </w:rPr>
                        </m:ctrlPr>
                      </m:sSupPr>
                      <m:e>
                        <m:r>
                          <w:rPr>
                            <w:rFonts w:ascii="Cambria Math" w:hAnsi="Cambria Math"/>
                          </w:rPr>
                          <m:t>r</m:t>
                        </m:r>
                      </m:e>
                      <m:sup>
                        <m:r>
                          <w:rPr>
                            <w:rFonts w:ascii="Cambria Math" w:hAnsi="Cambria Math"/>
                          </w:rPr>
                          <m:t>2</m:t>
                        </m:r>
                      </m:sup>
                    </m:sSup>
                  </m:den>
                </m:f>
              </m:oMath>
            </m:oMathPara>
          </w:p>
        </w:tc>
        <w:tc>
          <w:tcPr>
            <w:tcW w:w="4947" w:type="dxa"/>
            <w:vAlign w:val="center"/>
          </w:tcPr>
          <w:p w14:paraId="484BAF3D" w14:textId="1C4D7204" w:rsidR="00A93D24" w:rsidRDefault="00A93D24" w:rsidP="002E7584">
            <w:pPr>
              <w:ind w:firstLine="0"/>
              <w:jc w:val="center"/>
            </w:pPr>
            <m:oMathPara>
              <m:oMath>
                <m:r>
                  <w:rPr>
                    <w:rFonts w:ascii="Cambria Math" w:hAnsi="Cambria Math"/>
                  </w:rPr>
                  <m:t>1.68*</m:t>
                </m:r>
                <m:sSup>
                  <m:sSupPr>
                    <m:ctrlPr>
                      <w:rPr>
                        <w:rFonts w:ascii="Cambria Math" w:hAnsi="Cambria Math"/>
                        <w:i/>
                      </w:rPr>
                    </m:ctrlPr>
                  </m:sSupPr>
                  <m:e>
                    <m:r>
                      <w:rPr>
                        <w:rFonts w:ascii="Cambria Math" w:hAnsi="Cambria Math"/>
                      </w:rPr>
                      <m:t>10</m:t>
                    </m:r>
                  </m:e>
                  <m:sup>
                    <m:r>
                      <w:rPr>
                        <w:rFonts w:ascii="Cambria Math" w:hAnsi="Cambria Math"/>
                      </w:rPr>
                      <m:t>-3</m:t>
                    </m:r>
                  </m:sup>
                </m:sSup>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92710</m:t>
                            </m:r>
                          </m:num>
                          <m:den>
                            <m:r>
                              <w:rPr>
                                <w:rFonts w:ascii="Cambria Math" w:hAnsi="Cambria Math"/>
                              </w:rPr>
                              <m:t>R</m:t>
                            </m:r>
                          </m:den>
                        </m:f>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PEN</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ref</m:t>
                                    </m:r>
                                  </m:sub>
                                </m:sSub>
                              </m:den>
                            </m:f>
                          </m:e>
                        </m:d>
                      </m:e>
                    </m:d>
                  </m:e>
                </m:func>
              </m:oMath>
            </m:oMathPara>
          </w:p>
        </w:tc>
        <w:tc>
          <w:tcPr>
            <w:tcW w:w="1350" w:type="dxa"/>
          </w:tcPr>
          <w:p w14:paraId="1A8E98A5" w14:textId="77777777" w:rsidR="00A93D24" w:rsidRDefault="00A93D24" w:rsidP="002E7584">
            <w:pPr>
              <w:ind w:firstLine="0"/>
            </w:pPr>
            <w:r>
              <w:t>This work</w:t>
            </w:r>
          </w:p>
        </w:tc>
      </w:tr>
      <w:tr w:rsidR="00A93D24" w14:paraId="7C201146" w14:textId="77777777" w:rsidTr="0043723E">
        <w:trPr>
          <w:jc w:val="center"/>
        </w:trPr>
        <w:tc>
          <w:tcPr>
            <w:tcW w:w="1177" w:type="dxa"/>
            <w:vAlign w:val="center"/>
          </w:tcPr>
          <w:p w14:paraId="0FDF96BA" w14:textId="77777777" w:rsidR="00A93D24" w:rsidRDefault="00924E48" w:rsidP="002E7584">
            <w:pPr>
              <w:ind w:firstLine="0"/>
              <w:jc w:val="center"/>
            </w:pPr>
            <m:oMathPara>
              <m:oMath>
                <m:sSub>
                  <m:sSubPr>
                    <m:ctrlPr>
                      <w:rPr>
                        <w:rFonts w:ascii="Cambria Math" w:hAnsi="Cambria Math"/>
                        <w:i/>
                      </w:rPr>
                    </m:ctrlPr>
                  </m:sSubPr>
                  <m:e>
                    <m:r>
                      <w:rPr>
                        <w:rFonts w:ascii="Cambria Math" w:hAnsi="Cambria Math"/>
                      </w:rPr>
                      <m:t>k</m:t>
                    </m:r>
                  </m:e>
                  <m:sub>
                    <m:r>
                      <w:rPr>
                        <w:rFonts w:ascii="Cambria Math" w:hAnsi="Cambria Math"/>
                      </w:rPr>
                      <m:t>eb</m:t>
                    </m:r>
                  </m:sub>
                </m:sSub>
              </m:oMath>
            </m:oMathPara>
          </w:p>
        </w:tc>
        <w:tc>
          <w:tcPr>
            <w:tcW w:w="1701" w:type="dxa"/>
            <w:vAlign w:val="center"/>
          </w:tcPr>
          <w:p w14:paraId="0FA6055C" w14:textId="77777777" w:rsidR="00A93D24" w:rsidRDefault="00924E48" w:rsidP="002E7584">
            <w:pPr>
              <w:ind w:firstLine="0"/>
              <w:jc w:val="center"/>
            </w:pPr>
            <m:oMathPara>
              <m:oMath>
                <m:f>
                  <m:fPr>
                    <m:ctrlPr>
                      <w:rPr>
                        <w:rFonts w:ascii="Cambria Math" w:hAnsi="Cambria Math"/>
                        <w:i/>
                      </w:rPr>
                    </m:ctrlPr>
                  </m:fPr>
                  <m:num>
                    <m:r>
                      <w:rPr>
                        <w:rFonts w:ascii="Cambria Math" w:hAnsi="Cambria Math"/>
                      </w:rPr>
                      <m:t>mol</m:t>
                    </m:r>
                  </m:num>
                  <m:den>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cat</m:t>
                        </m:r>
                      </m:sub>
                    </m:sSub>
                    <m:r>
                      <w:rPr>
                        <w:rFonts w:ascii="Cambria Math" w:hAnsi="Cambria Math"/>
                      </w:rPr>
                      <m:t>*</m:t>
                    </m:r>
                    <m:r>
                      <w:rPr>
                        <w:rFonts w:ascii="Cambria Math" w:hAnsi="Cambria Math"/>
                      </w:rPr>
                      <m:t>s</m:t>
                    </m:r>
                    <m:r>
                      <w:rPr>
                        <w:rFonts w:ascii="Cambria Math" w:hAnsi="Cambria Math"/>
                      </w:rPr>
                      <m:t>*</m:t>
                    </m:r>
                    <m:r>
                      <w:rPr>
                        <w:rFonts w:ascii="Cambria Math" w:hAnsi="Cambria Math"/>
                      </w:rPr>
                      <m:t>ba</m:t>
                    </m:r>
                    <m:sSup>
                      <m:sSupPr>
                        <m:ctrlPr>
                          <w:rPr>
                            <w:rFonts w:ascii="Cambria Math" w:hAnsi="Cambria Math"/>
                            <w:i/>
                          </w:rPr>
                        </m:ctrlPr>
                      </m:sSupPr>
                      <m:e>
                        <m:r>
                          <w:rPr>
                            <w:rFonts w:ascii="Cambria Math" w:hAnsi="Cambria Math"/>
                          </w:rPr>
                          <m:t>r</m:t>
                        </m:r>
                      </m:e>
                      <m:sup>
                        <m:r>
                          <w:rPr>
                            <w:rFonts w:ascii="Cambria Math" w:hAnsi="Cambria Math"/>
                          </w:rPr>
                          <m:t>2</m:t>
                        </m:r>
                      </m:sup>
                    </m:sSup>
                  </m:den>
                </m:f>
              </m:oMath>
            </m:oMathPara>
          </w:p>
        </w:tc>
        <w:tc>
          <w:tcPr>
            <w:tcW w:w="4947" w:type="dxa"/>
            <w:vAlign w:val="center"/>
          </w:tcPr>
          <w:p w14:paraId="6F285F34" w14:textId="015D9D6C" w:rsidR="00A93D24" w:rsidRDefault="00A93D24" w:rsidP="002E7584">
            <w:pPr>
              <w:ind w:firstLine="0"/>
              <w:jc w:val="center"/>
            </w:pPr>
            <m:oMathPara>
              <m:oMath>
                <m:r>
                  <w:rPr>
                    <w:rFonts w:ascii="Cambria Math" w:hAnsi="Cambria Math"/>
                  </w:rPr>
                  <m:t>1.75*</m:t>
                </m:r>
                <m:sSup>
                  <m:sSupPr>
                    <m:ctrlPr>
                      <w:rPr>
                        <w:rFonts w:ascii="Cambria Math" w:hAnsi="Cambria Math"/>
                        <w:i/>
                      </w:rPr>
                    </m:ctrlPr>
                  </m:sSupPr>
                  <m:e>
                    <m:r>
                      <w:rPr>
                        <w:rFonts w:ascii="Cambria Math" w:hAnsi="Cambria Math"/>
                      </w:rPr>
                      <m:t>10</m:t>
                    </m:r>
                  </m:e>
                  <m:sup>
                    <m:r>
                      <w:rPr>
                        <w:rFonts w:ascii="Cambria Math" w:hAnsi="Cambria Math"/>
                      </w:rPr>
                      <m:t>2</m:t>
                    </m:r>
                  </m:sup>
                </m:sSup>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31350</m:t>
                            </m:r>
                          </m:num>
                          <m:den>
                            <m:r>
                              <w:rPr>
                                <w:rFonts w:ascii="Cambria Math" w:hAnsi="Cambria Math"/>
                              </w:rPr>
                              <m:t>R</m:t>
                            </m:r>
                          </m:den>
                        </m:f>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PEN</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ref</m:t>
                                    </m:r>
                                  </m:sub>
                                </m:sSub>
                              </m:den>
                            </m:f>
                          </m:e>
                        </m:d>
                      </m:e>
                    </m:d>
                  </m:e>
                </m:func>
              </m:oMath>
            </m:oMathPara>
          </w:p>
        </w:tc>
        <w:tc>
          <w:tcPr>
            <w:tcW w:w="1350" w:type="dxa"/>
          </w:tcPr>
          <w:p w14:paraId="7AD94459" w14:textId="77777777" w:rsidR="00A93D24" w:rsidRDefault="00A93D24" w:rsidP="002E7584">
            <w:pPr>
              <w:ind w:firstLine="0"/>
            </w:pPr>
            <w:r>
              <w:t>This work</w:t>
            </w:r>
          </w:p>
        </w:tc>
      </w:tr>
      <w:tr w:rsidR="00A93D24" w14:paraId="2D0768E1" w14:textId="77777777" w:rsidTr="0043723E">
        <w:trPr>
          <w:jc w:val="center"/>
        </w:trPr>
        <w:tc>
          <w:tcPr>
            <w:tcW w:w="1177" w:type="dxa"/>
            <w:vAlign w:val="center"/>
          </w:tcPr>
          <w:p w14:paraId="7543AFE0" w14:textId="77777777" w:rsidR="00A93D24" w:rsidRDefault="00924E48" w:rsidP="002E7584">
            <w:pPr>
              <w:ind w:firstLine="0"/>
              <w:jc w:val="center"/>
            </w:pPr>
            <m:oMathPara>
              <m:oMath>
                <m:sSub>
                  <m:sSubPr>
                    <m:ctrlPr>
                      <w:rPr>
                        <w:rFonts w:ascii="Cambria Math" w:hAnsi="Cambria Math"/>
                        <w:i/>
                      </w:rPr>
                    </m:ctrlPr>
                  </m:sSubPr>
                  <m:e>
                    <m:r>
                      <w:rPr>
                        <w:rFonts w:ascii="Cambria Math" w:hAnsi="Cambria Math"/>
                      </w:rPr>
                      <m:t>k</m:t>
                    </m:r>
                  </m:e>
                  <m:sub>
                    <m:r>
                      <w:rPr>
                        <w:rFonts w:ascii="Cambria Math" w:hAnsi="Cambria Math"/>
                      </w:rPr>
                      <m:t>bt</m:t>
                    </m:r>
                  </m:sub>
                </m:sSub>
              </m:oMath>
            </m:oMathPara>
          </w:p>
        </w:tc>
        <w:tc>
          <w:tcPr>
            <w:tcW w:w="1701" w:type="dxa"/>
            <w:vAlign w:val="center"/>
          </w:tcPr>
          <w:p w14:paraId="40BF118C" w14:textId="77777777" w:rsidR="00A93D24" w:rsidRDefault="00924E48" w:rsidP="002E7584">
            <w:pPr>
              <w:ind w:firstLine="0"/>
              <w:jc w:val="center"/>
            </w:pPr>
            <m:oMathPara>
              <m:oMath>
                <m:f>
                  <m:fPr>
                    <m:ctrlPr>
                      <w:rPr>
                        <w:rFonts w:ascii="Cambria Math" w:hAnsi="Cambria Math"/>
                        <w:i/>
                      </w:rPr>
                    </m:ctrlPr>
                  </m:fPr>
                  <m:num>
                    <m:r>
                      <w:rPr>
                        <w:rFonts w:ascii="Cambria Math" w:hAnsi="Cambria Math"/>
                      </w:rPr>
                      <m:t>mol</m:t>
                    </m:r>
                  </m:num>
                  <m:den>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cat</m:t>
                        </m:r>
                      </m:sub>
                    </m:sSub>
                    <m:r>
                      <w:rPr>
                        <w:rFonts w:ascii="Cambria Math" w:hAnsi="Cambria Math"/>
                      </w:rPr>
                      <m:t>*</m:t>
                    </m:r>
                    <m:r>
                      <w:rPr>
                        <w:rFonts w:ascii="Cambria Math" w:hAnsi="Cambria Math"/>
                      </w:rPr>
                      <m:t>s</m:t>
                    </m:r>
                    <m:r>
                      <w:rPr>
                        <w:rFonts w:ascii="Cambria Math" w:hAnsi="Cambria Math"/>
                      </w:rPr>
                      <m:t>*</m:t>
                    </m:r>
                    <m:r>
                      <w:rPr>
                        <w:rFonts w:ascii="Cambria Math" w:hAnsi="Cambria Math"/>
                      </w:rPr>
                      <m:t>ba</m:t>
                    </m:r>
                    <m:sSup>
                      <m:sSupPr>
                        <m:ctrlPr>
                          <w:rPr>
                            <w:rFonts w:ascii="Cambria Math" w:hAnsi="Cambria Math"/>
                            <w:i/>
                          </w:rPr>
                        </m:ctrlPr>
                      </m:sSupPr>
                      <m:e>
                        <m:r>
                          <w:rPr>
                            <w:rFonts w:ascii="Cambria Math" w:hAnsi="Cambria Math"/>
                          </w:rPr>
                          <m:t>r</m:t>
                        </m:r>
                      </m:e>
                      <m:sup>
                        <m:r>
                          <w:rPr>
                            <w:rFonts w:ascii="Cambria Math" w:hAnsi="Cambria Math"/>
                          </w:rPr>
                          <m:t>2</m:t>
                        </m:r>
                      </m:sup>
                    </m:sSup>
                  </m:den>
                </m:f>
              </m:oMath>
            </m:oMathPara>
          </w:p>
        </w:tc>
        <w:tc>
          <w:tcPr>
            <w:tcW w:w="4947" w:type="dxa"/>
            <w:vAlign w:val="center"/>
          </w:tcPr>
          <w:p w14:paraId="7D10F45C" w14:textId="405B79D5" w:rsidR="00A93D24" w:rsidRDefault="00230CA5" w:rsidP="002E7584">
            <w:pPr>
              <w:ind w:firstLine="0"/>
              <w:jc w:val="center"/>
            </w:pPr>
            <m:oMathPara>
              <m:oMath>
                <m:r>
                  <w:rPr>
                    <w:rFonts w:ascii="Cambria Math" w:hAnsi="Cambria Math"/>
                  </w:rPr>
                  <m:t>3.54*</m:t>
                </m:r>
                <m:sSup>
                  <m:sSupPr>
                    <m:ctrlPr>
                      <w:rPr>
                        <w:rFonts w:ascii="Cambria Math" w:hAnsi="Cambria Math"/>
                        <w:i/>
                      </w:rPr>
                    </m:ctrlPr>
                  </m:sSupPr>
                  <m:e>
                    <m:r>
                      <w:rPr>
                        <w:rFonts w:ascii="Cambria Math" w:hAnsi="Cambria Math"/>
                      </w:rPr>
                      <m:t>10</m:t>
                    </m:r>
                  </m:e>
                  <m:sup>
                    <m:r>
                      <w:rPr>
                        <w:rFonts w:ascii="Cambria Math" w:hAnsi="Cambria Math"/>
                      </w:rPr>
                      <m:t>-3</m:t>
                    </m:r>
                  </m:sup>
                </m:sSup>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501400</m:t>
                            </m:r>
                          </m:num>
                          <m:den>
                            <m:r>
                              <w:rPr>
                                <w:rFonts w:ascii="Cambria Math" w:hAnsi="Cambria Math"/>
                              </w:rPr>
                              <m:t>R</m:t>
                            </m:r>
                          </m:den>
                        </m:f>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PEN</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ref</m:t>
                                    </m:r>
                                  </m:sub>
                                </m:sSub>
                              </m:den>
                            </m:f>
                          </m:e>
                        </m:d>
                      </m:e>
                    </m:d>
                  </m:e>
                </m:func>
              </m:oMath>
            </m:oMathPara>
          </w:p>
        </w:tc>
        <w:tc>
          <w:tcPr>
            <w:tcW w:w="1350" w:type="dxa"/>
          </w:tcPr>
          <w:p w14:paraId="0E7B58B9" w14:textId="77777777" w:rsidR="00A93D24" w:rsidRDefault="00A93D24" w:rsidP="002E7584">
            <w:pPr>
              <w:ind w:firstLine="0"/>
            </w:pPr>
            <w:r>
              <w:t>This work</w:t>
            </w:r>
          </w:p>
        </w:tc>
      </w:tr>
      <w:tr w:rsidR="00A93D24" w14:paraId="2F7551C7" w14:textId="77777777" w:rsidTr="0043723E">
        <w:trPr>
          <w:jc w:val="center"/>
        </w:trPr>
        <w:tc>
          <w:tcPr>
            <w:tcW w:w="1177" w:type="dxa"/>
            <w:vAlign w:val="center"/>
          </w:tcPr>
          <w:p w14:paraId="104F5802" w14:textId="6A89B8C0" w:rsidR="00A93D24" w:rsidRDefault="00924E48" w:rsidP="002E7584">
            <w:pPr>
              <w:ind w:firstLine="0"/>
              <w:jc w:val="center"/>
            </w:pPr>
            <m:oMathPara>
              <m:oMath>
                <m:sSub>
                  <m:sSubPr>
                    <m:ctrlPr>
                      <w:rPr>
                        <w:rFonts w:ascii="Cambria Math" w:hAnsi="Cambria Math"/>
                        <w:i/>
                      </w:rPr>
                    </m:ctrlPr>
                  </m:sSubPr>
                  <m:e>
                    <m:r>
                      <w:rPr>
                        <w:rFonts w:ascii="Cambria Math" w:hAnsi="Cambria Math"/>
                      </w:rPr>
                      <m:t>k</m:t>
                    </m:r>
                  </m:e>
                  <m:sub>
                    <m:r>
                      <w:rPr>
                        <w:rFonts w:ascii="Cambria Math" w:hAnsi="Cambria Math"/>
                      </w:rPr>
                      <m:t>po</m:t>
                    </m:r>
                  </m:sub>
                </m:sSub>
              </m:oMath>
            </m:oMathPara>
          </w:p>
        </w:tc>
        <w:tc>
          <w:tcPr>
            <w:tcW w:w="1701" w:type="dxa"/>
            <w:vAlign w:val="center"/>
          </w:tcPr>
          <w:p w14:paraId="4EEFF727" w14:textId="77777777" w:rsidR="00A93D24" w:rsidRDefault="00924E48" w:rsidP="002E7584">
            <w:pPr>
              <w:ind w:firstLine="0"/>
              <w:jc w:val="center"/>
            </w:pPr>
            <m:oMathPara>
              <m:oMath>
                <m:f>
                  <m:fPr>
                    <m:ctrlPr>
                      <w:rPr>
                        <w:rFonts w:ascii="Cambria Math" w:hAnsi="Cambria Math"/>
                        <w:i/>
                      </w:rPr>
                    </m:ctrlPr>
                  </m:fPr>
                  <m:num>
                    <m:r>
                      <w:rPr>
                        <w:rFonts w:ascii="Cambria Math" w:hAnsi="Cambria Math"/>
                      </w:rPr>
                      <m:t>mol</m:t>
                    </m:r>
                  </m:num>
                  <m:den>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cat</m:t>
                        </m:r>
                      </m:sub>
                    </m:sSub>
                    <m:r>
                      <w:rPr>
                        <w:rFonts w:ascii="Cambria Math" w:hAnsi="Cambria Math"/>
                      </w:rPr>
                      <m:t>*</m:t>
                    </m:r>
                    <m:r>
                      <w:rPr>
                        <w:rFonts w:ascii="Cambria Math" w:hAnsi="Cambria Math"/>
                      </w:rPr>
                      <m:t>s</m:t>
                    </m:r>
                    <m:r>
                      <w:rPr>
                        <w:rFonts w:ascii="Cambria Math" w:hAnsi="Cambria Math"/>
                      </w:rPr>
                      <m:t>*</m:t>
                    </m:r>
                    <m:r>
                      <w:rPr>
                        <w:rFonts w:ascii="Cambria Math" w:hAnsi="Cambria Math"/>
                      </w:rPr>
                      <m:t>ba</m:t>
                    </m:r>
                    <m:sSup>
                      <m:sSupPr>
                        <m:ctrlPr>
                          <w:rPr>
                            <w:rFonts w:ascii="Cambria Math" w:hAnsi="Cambria Math"/>
                            <w:i/>
                          </w:rPr>
                        </m:ctrlPr>
                      </m:sSupPr>
                      <m:e>
                        <m:r>
                          <w:rPr>
                            <w:rFonts w:ascii="Cambria Math" w:hAnsi="Cambria Math"/>
                          </w:rPr>
                          <m:t>r</m:t>
                        </m:r>
                      </m:e>
                      <m:sup>
                        <m:r>
                          <w:rPr>
                            <w:rFonts w:ascii="Cambria Math" w:hAnsi="Cambria Math"/>
                          </w:rPr>
                          <m:t>2</m:t>
                        </m:r>
                      </m:sup>
                    </m:sSup>
                  </m:den>
                </m:f>
              </m:oMath>
            </m:oMathPara>
          </w:p>
        </w:tc>
        <w:tc>
          <w:tcPr>
            <w:tcW w:w="4947" w:type="dxa"/>
            <w:vAlign w:val="center"/>
          </w:tcPr>
          <w:p w14:paraId="66E9765F" w14:textId="20E86921" w:rsidR="00A93D24" w:rsidRDefault="00230CA5" w:rsidP="002E7584">
            <w:pPr>
              <w:ind w:firstLine="0"/>
              <w:jc w:val="center"/>
            </w:pPr>
            <m:oMathPara>
              <m:oMath>
                <m:r>
                  <w:rPr>
                    <w:rFonts w:ascii="Cambria Math" w:hAnsi="Cambria Math"/>
                  </w:rPr>
                  <m:t>8.75*</m:t>
                </m:r>
                <m:sSup>
                  <m:sSupPr>
                    <m:ctrlPr>
                      <w:rPr>
                        <w:rFonts w:ascii="Cambria Math" w:hAnsi="Cambria Math"/>
                        <w:i/>
                      </w:rPr>
                    </m:ctrlPr>
                  </m:sSupPr>
                  <m:e>
                    <m:r>
                      <w:rPr>
                        <w:rFonts w:ascii="Cambria Math" w:hAnsi="Cambria Math"/>
                      </w:rPr>
                      <m:t>10</m:t>
                    </m:r>
                  </m:e>
                  <m:sup>
                    <m:r>
                      <w:rPr>
                        <w:rFonts w:ascii="Cambria Math" w:hAnsi="Cambria Math"/>
                      </w:rPr>
                      <m:t>-4</m:t>
                    </m:r>
                  </m:sup>
                </m:sSup>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189200</m:t>
                            </m:r>
                          </m:num>
                          <m:den>
                            <m:r>
                              <w:rPr>
                                <w:rFonts w:ascii="Cambria Math" w:hAnsi="Cambria Math"/>
                              </w:rPr>
                              <m:t>R</m:t>
                            </m:r>
                          </m:den>
                        </m:f>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PEN</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ref</m:t>
                                    </m:r>
                                  </m:sub>
                                </m:sSub>
                              </m:den>
                            </m:f>
                          </m:e>
                        </m:d>
                      </m:e>
                    </m:d>
                  </m:e>
                </m:func>
              </m:oMath>
            </m:oMathPara>
          </w:p>
        </w:tc>
        <w:tc>
          <w:tcPr>
            <w:tcW w:w="1350" w:type="dxa"/>
          </w:tcPr>
          <w:p w14:paraId="256F073C" w14:textId="77777777" w:rsidR="00A93D24" w:rsidRDefault="00A93D24" w:rsidP="002E7584">
            <w:pPr>
              <w:ind w:firstLine="0"/>
            </w:pPr>
            <w:r>
              <w:t>This work</w:t>
            </w:r>
          </w:p>
        </w:tc>
      </w:tr>
      <w:tr w:rsidR="00A93D24" w14:paraId="4D612BF6" w14:textId="77777777" w:rsidTr="0043723E">
        <w:trPr>
          <w:jc w:val="center"/>
        </w:trPr>
        <w:tc>
          <w:tcPr>
            <w:tcW w:w="1177" w:type="dxa"/>
            <w:vAlign w:val="center"/>
          </w:tcPr>
          <w:p w14:paraId="42CF15FC" w14:textId="77777777" w:rsidR="00A93D24" w:rsidRDefault="00924E48" w:rsidP="002E7584">
            <w:pPr>
              <w:ind w:firstLine="0"/>
              <w:jc w:val="center"/>
            </w:pPr>
            <m:oMathPara>
              <m:oMath>
                <m:sSub>
                  <m:sSubPr>
                    <m:ctrlPr>
                      <w:rPr>
                        <w:rFonts w:ascii="Cambria Math" w:hAnsi="Cambria Math"/>
                        <w:i/>
                      </w:rPr>
                    </m:ctrlPr>
                  </m:sSubPr>
                  <m:e>
                    <m:r>
                      <w:rPr>
                        <w:rFonts w:ascii="Cambria Math" w:hAnsi="Cambria Math"/>
                      </w:rPr>
                      <m:t>k</m:t>
                    </m:r>
                  </m:e>
                  <m:sub>
                    <m:r>
                      <w:rPr>
                        <w:rFonts w:ascii="Cambria Math" w:hAnsi="Cambria Math"/>
                      </w:rPr>
                      <m:t>sr</m:t>
                    </m:r>
                  </m:sub>
                </m:sSub>
              </m:oMath>
            </m:oMathPara>
          </w:p>
        </w:tc>
        <w:tc>
          <w:tcPr>
            <w:tcW w:w="1701" w:type="dxa"/>
            <w:vAlign w:val="center"/>
          </w:tcPr>
          <w:p w14:paraId="1D8B4475" w14:textId="77777777" w:rsidR="00A93D24" w:rsidRDefault="00924E48" w:rsidP="002E7584">
            <w:pPr>
              <w:ind w:firstLine="0"/>
              <w:jc w:val="center"/>
            </w:pPr>
            <m:oMathPara>
              <m:oMath>
                <m:f>
                  <m:fPr>
                    <m:ctrlPr>
                      <w:rPr>
                        <w:rFonts w:ascii="Cambria Math" w:hAnsi="Cambria Math"/>
                        <w:i/>
                      </w:rPr>
                    </m:ctrlPr>
                  </m:fPr>
                  <m:num>
                    <m:r>
                      <w:rPr>
                        <w:rFonts w:ascii="Cambria Math" w:hAnsi="Cambria Math"/>
                      </w:rPr>
                      <m:t>mol</m:t>
                    </m:r>
                  </m:num>
                  <m:den>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2</m:t>
                        </m:r>
                      </m:sup>
                    </m:sSup>
                    <m:r>
                      <w:rPr>
                        <w:rFonts w:ascii="Cambria Math" w:hAnsi="Cambria Math"/>
                      </w:rPr>
                      <m:t>*</m:t>
                    </m:r>
                    <m:r>
                      <w:rPr>
                        <w:rFonts w:ascii="Cambria Math" w:hAnsi="Cambria Math"/>
                      </w:rPr>
                      <m:t>s</m:t>
                    </m:r>
                    <m:r>
                      <w:rPr>
                        <w:rFonts w:ascii="Cambria Math" w:hAnsi="Cambria Math"/>
                      </w:rPr>
                      <m:t>*</m:t>
                    </m:r>
                    <m:r>
                      <w:rPr>
                        <w:rFonts w:ascii="Cambria Math" w:hAnsi="Cambria Math"/>
                      </w:rPr>
                      <m:t>ba</m:t>
                    </m:r>
                    <m:sSup>
                      <m:sSupPr>
                        <m:ctrlPr>
                          <w:rPr>
                            <w:rFonts w:ascii="Cambria Math" w:hAnsi="Cambria Math"/>
                            <w:i/>
                          </w:rPr>
                        </m:ctrlPr>
                      </m:sSupPr>
                      <m:e>
                        <m:r>
                          <w:rPr>
                            <w:rFonts w:ascii="Cambria Math" w:hAnsi="Cambria Math"/>
                          </w:rPr>
                          <m:t>r</m:t>
                        </m:r>
                      </m:e>
                      <m:sup>
                        <m:r>
                          <w:rPr>
                            <w:rFonts w:ascii="Cambria Math" w:hAnsi="Cambria Math"/>
                          </w:rPr>
                          <m:t>2</m:t>
                        </m:r>
                      </m:sup>
                    </m:sSup>
                  </m:den>
                </m:f>
              </m:oMath>
            </m:oMathPara>
          </w:p>
        </w:tc>
        <w:tc>
          <w:tcPr>
            <w:tcW w:w="4947" w:type="dxa"/>
            <w:vAlign w:val="center"/>
          </w:tcPr>
          <w:p w14:paraId="02CE032A" w14:textId="77777777" w:rsidR="00A93D24" w:rsidRDefault="00A93D24" w:rsidP="002E7584">
            <w:pPr>
              <w:ind w:firstLine="0"/>
              <w:jc w:val="center"/>
            </w:pPr>
            <m:oMathPara>
              <m:oMath>
                <m:r>
                  <w:rPr>
                    <w:rFonts w:ascii="Cambria Math" w:hAnsi="Cambria Math"/>
                  </w:rPr>
                  <m:t>1483</m:t>
                </m:r>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61000</m:t>
                            </m:r>
                          </m:num>
                          <m:den>
                            <m:r>
                              <w:rPr>
                                <w:rFonts w:ascii="Cambria Math" w:hAnsi="Cambria Math"/>
                              </w:rPr>
                              <m:t>R</m:t>
                            </m:r>
                            <m:sSub>
                              <m:sSubPr>
                                <m:ctrlPr>
                                  <w:rPr>
                                    <w:rFonts w:ascii="Cambria Math" w:hAnsi="Cambria Math"/>
                                    <w:i/>
                                  </w:rPr>
                                </m:ctrlPr>
                              </m:sSubPr>
                              <m:e>
                                <m:r>
                                  <w:rPr>
                                    <w:rFonts w:ascii="Cambria Math" w:hAnsi="Cambria Math"/>
                                  </w:rPr>
                                  <m:t>T</m:t>
                                </m:r>
                              </m:e>
                              <m:sub>
                                <m:r>
                                  <w:rPr>
                                    <w:rFonts w:ascii="Cambria Math" w:hAnsi="Cambria Math"/>
                                  </w:rPr>
                                  <m:t>PEN</m:t>
                                </m:r>
                              </m:sub>
                            </m:sSub>
                          </m:den>
                        </m:f>
                      </m:e>
                    </m:d>
                  </m:e>
                </m:func>
              </m:oMath>
            </m:oMathPara>
          </w:p>
        </w:tc>
        <w:tc>
          <w:tcPr>
            <w:tcW w:w="1350" w:type="dxa"/>
          </w:tcPr>
          <w:p w14:paraId="345C20C0" w14:textId="79C7299A" w:rsidR="00A93D24" w:rsidRDefault="00A93D24" w:rsidP="002E7584">
            <w:pPr>
              <w:ind w:firstLine="0"/>
            </w:pPr>
            <w:r>
              <w:fldChar w:fldCharType="begin"/>
            </w:r>
            <w:r w:rsidR="00CA7A9D">
              <w:instrText xml:space="preserve"> ADDIN ZOTERO_ITEM CSL_CITATION {"citationID":"woFAGZpk","properties":{"formattedCitation":"[79]","plainCitation":"[79]","noteIndex":0},"citationItems":[{"id":801,"uris":["http://zotero.org/users/12063231/items/8SDENHQE"],"itemData":{"id":801,"type":"article-journal","abstract":"The internal reforming of methane in a solid oxide fuel cell (SOFC) is investigated and modeled for flow conditions relevant to operation. To this end, measurements are performed on anode-supported cells (ASC), thereby varying gas composition (yCO=4–15%, yH2=5−17%, yCO2=6−18%, yH2O=2−30%, yCH4=0.1−20%) and temperature (600–850°C). In this way, operating conditions for both stationary applications (methane-rich pre-reformate) as well as for auxiliary power unit (APU) applications (diesel-POX reformate) are represented. The reforming reaction is monitored in five different positions alongside the anodic gas channel by means of gas chromatography. It is shown that methane is converted in the flow field for methane-rich gas compositions, whereas under operation with diesel reformate the direction of the reaction is reversed for temperatures below 675°C, i.e. (exothermic) methanation occurs along the anode. Using a reaction model, a rate equation for reforming could be derived which is also valid in the case of methanation. By introducing this equation into the reaction model the methane conversion along a catalytically active Ni-YSZ cermet SOFC anode can be simulated for the operating conditions specified above.","container-title":"Journal of Power Sources","DOI":"10.1016/j.jpowsour.2009.07.019","ISSN":"0378-7753","issue":"1","journalAbbreviation":"Journal of Power Sources","page":"214-222","source":"ScienceDirect","title":"Kinetics of (reversible) internal reforming of methane in solid oxide fuel cells under stationary and APU conditions","volume":"195","author":[{"family":"Timmermann","given":"H."},{"family":"Sawady","given":"W."},{"family":"Reimert","given":"R."},{"family":"Ivers-Tiffée","given":"E."}],"issued":{"date-parts":[["2010",1,1]]}}}],"schema":"https://github.com/citation-style-language/schema/raw/master/csl-citation.json"} </w:instrText>
            </w:r>
            <w:r>
              <w:fldChar w:fldCharType="separate"/>
            </w:r>
            <w:r w:rsidR="00CA7A9D" w:rsidRPr="00CA7A9D">
              <w:rPr>
                <w:rFonts w:ascii="Aptos" w:hAnsi="Aptos"/>
              </w:rPr>
              <w:t>[79]</w:t>
            </w:r>
            <w:r>
              <w:fldChar w:fldCharType="end"/>
            </w:r>
          </w:p>
        </w:tc>
      </w:tr>
      <w:tr w:rsidR="00A93D24" w14:paraId="54F56476" w14:textId="77777777" w:rsidTr="0043723E">
        <w:trPr>
          <w:jc w:val="center"/>
        </w:trPr>
        <w:tc>
          <w:tcPr>
            <w:tcW w:w="1177" w:type="dxa"/>
            <w:vAlign w:val="center"/>
          </w:tcPr>
          <w:p w14:paraId="23E04E6A" w14:textId="77777777" w:rsidR="00A93D24" w:rsidRDefault="00924E48" w:rsidP="002E7584">
            <w:pPr>
              <w:ind w:firstLine="0"/>
              <w:jc w:val="center"/>
            </w:pPr>
            <m:oMathPara>
              <m:oMath>
                <m:sSub>
                  <m:sSubPr>
                    <m:ctrlPr>
                      <w:rPr>
                        <w:rFonts w:ascii="Cambria Math" w:hAnsi="Cambria Math"/>
                        <w:i/>
                      </w:rPr>
                    </m:ctrlPr>
                  </m:sSubPr>
                  <m:e>
                    <m:r>
                      <w:rPr>
                        <w:rFonts w:ascii="Cambria Math" w:hAnsi="Cambria Math"/>
                      </w:rPr>
                      <m:t>k</m:t>
                    </m:r>
                  </m:e>
                  <m:sub>
                    <m:r>
                      <w:rPr>
                        <w:rFonts w:ascii="Cambria Math" w:hAnsi="Cambria Math"/>
                      </w:rPr>
                      <m:t>wgs</m:t>
                    </m:r>
                  </m:sub>
                </m:sSub>
              </m:oMath>
            </m:oMathPara>
          </w:p>
        </w:tc>
        <w:tc>
          <w:tcPr>
            <w:tcW w:w="1701" w:type="dxa"/>
            <w:vAlign w:val="center"/>
          </w:tcPr>
          <w:p w14:paraId="6F2D0E60" w14:textId="77777777" w:rsidR="00A93D24" w:rsidRDefault="00924E48" w:rsidP="002E7584">
            <w:pPr>
              <w:ind w:firstLine="0"/>
              <w:jc w:val="center"/>
            </w:pPr>
            <m:oMathPara>
              <m:oMath>
                <m:f>
                  <m:fPr>
                    <m:ctrlPr>
                      <w:rPr>
                        <w:rFonts w:ascii="Cambria Math" w:hAnsi="Cambria Math"/>
                        <w:i/>
                      </w:rPr>
                    </m:ctrlPr>
                  </m:fPr>
                  <m:num>
                    <m:r>
                      <w:rPr>
                        <w:rFonts w:ascii="Cambria Math" w:hAnsi="Cambria Math"/>
                      </w:rPr>
                      <m:t>mol</m:t>
                    </m:r>
                  </m:num>
                  <m:den>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2</m:t>
                        </m:r>
                      </m:sup>
                    </m:sSup>
                    <m:r>
                      <w:rPr>
                        <w:rFonts w:ascii="Cambria Math" w:hAnsi="Cambria Math"/>
                      </w:rPr>
                      <m:t>*</m:t>
                    </m:r>
                    <m:r>
                      <w:rPr>
                        <w:rFonts w:ascii="Cambria Math" w:hAnsi="Cambria Math"/>
                      </w:rPr>
                      <m:t>s</m:t>
                    </m:r>
                    <m:r>
                      <w:rPr>
                        <w:rFonts w:ascii="Cambria Math" w:hAnsi="Cambria Math"/>
                      </w:rPr>
                      <m:t>*</m:t>
                    </m:r>
                    <m:r>
                      <w:rPr>
                        <w:rFonts w:ascii="Cambria Math" w:hAnsi="Cambria Math"/>
                      </w:rPr>
                      <m:t>ba</m:t>
                    </m:r>
                    <m:sSup>
                      <m:sSupPr>
                        <m:ctrlPr>
                          <w:rPr>
                            <w:rFonts w:ascii="Cambria Math" w:hAnsi="Cambria Math"/>
                            <w:i/>
                          </w:rPr>
                        </m:ctrlPr>
                      </m:sSupPr>
                      <m:e>
                        <m:r>
                          <w:rPr>
                            <w:rFonts w:ascii="Cambria Math" w:hAnsi="Cambria Math"/>
                          </w:rPr>
                          <m:t>r</m:t>
                        </m:r>
                      </m:e>
                      <m:sup>
                        <m:r>
                          <w:rPr>
                            <w:rFonts w:ascii="Cambria Math" w:hAnsi="Cambria Math"/>
                          </w:rPr>
                          <m:t>2</m:t>
                        </m:r>
                      </m:sup>
                    </m:sSup>
                  </m:den>
                </m:f>
              </m:oMath>
            </m:oMathPara>
          </w:p>
        </w:tc>
        <w:tc>
          <w:tcPr>
            <w:tcW w:w="4947" w:type="dxa"/>
            <w:vAlign w:val="center"/>
          </w:tcPr>
          <w:p w14:paraId="2E8D58DC" w14:textId="39233CEE" w:rsidR="00A93D24" w:rsidRDefault="003E3555" w:rsidP="002E7584">
            <w:pPr>
              <w:ind w:firstLine="0"/>
              <w:jc w:val="center"/>
            </w:pPr>
            <m:oMath>
              <m:r>
                <w:rPr>
                  <w:rFonts w:ascii="Cambria Math" w:eastAsiaTheme="minorEastAsia" w:hAnsi="Cambria Math"/>
                </w:rPr>
                <m:t>0.0171∙</m:t>
              </m:r>
              <m:func>
                <m:funcPr>
                  <m:ctrlPr>
                    <w:rPr>
                      <w:rFonts w:ascii="Cambria Math" w:eastAsiaTheme="minorEastAsia" w:hAnsi="Cambria Math"/>
                      <w:i/>
                    </w:rPr>
                  </m:ctrlPr>
                </m:funcPr>
                <m:fName>
                  <m:r>
                    <m:rPr>
                      <m:sty m:val="p"/>
                    </m:rPr>
                    <w:rPr>
                      <w:rFonts w:ascii="Cambria Math" w:eastAsiaTheme="minorEastAsia" w:hAnsi="Cambria Math"/>
                    </w:rPr>
                    <m:t>exp</m:t>
                  </m:r>
                </m:fName>
                <m:e>
                  <m:d>
                    <m:dPr>
                      <m:ctrlPr>
                        <w:rPr>
                          <w:rFonts w:ascii="Cambria Math" w:eastAsiaTheme="minorEastAsia" w:hAnsi="Cambria Math"/>
                          <w:i/>
                        </w:rPr>
                      </m:ctrlPr>
                    </m:dPr>
                    <m:e>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103191</m:t>
                          </m:r>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m:t>
                              </m:r>
                            </m:sub>
                          </m:sSub>
                        </m:den>
                      </m:f>
                    </m:e>
                  </m:d>
                </m:e>
              </m:func>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fuelch</m:t>
                  </m:r>
                </m:sub>
              </m:sSub>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10</m:t>
                  </m:r>
                </m:sup>
              </m:sSup>
            </m:oMath>
            <w:r>
              <w:rPr>
                <w:rFonts w:eastAsiaTheme="minorEastAsia"/>
              </w:rPr>
              <w:tab/>
            </w:r>
          </w:p>
        </w:tc>
        <w:tc>
          <w:tcPr>
            <w:tcW w:w="1350" w:type="dxa"/>
          </w:tcPr>
          <w:p w14:paraId="7F96BD9E" w14:textId="676BBF2F" w:rsidR="00A93D24" w:rsidRPr="00C2645E" w:rsidRDefault="00A93D24" w:rsidP="002E7584">
            <w:pPr>
              <w:ind w:firstLine="0"/>
              <w:rPr>
                <w:highlight w:val="yellow"/>
              </w:rPr>
            </w:pPr>
            <w:r>
              <w:rPr>
                <w:highlight w:val="yellow"/>
              </w:rPr>
              <w:fldChar w:fldCharType="begin"/>
            </w:r>
            <w:r w:rsidR="00CA7A9D">
              <w:rPr>
                <w:highlight w:val="yellow"/>
              </w:rPr>
              <w:instrText xml:space="preserve"> ADDIN ZOTERO_ITEM CSL_CITATION {"citationID":"a1qbrctvem6","properties":{"formattedCitation":"[78]","plainCitation":"[78]","noteIndex":0},"citationItems":[{"id":885,"uris":["http://zotero.org/users/12063231/items/2YPLBP28"],"itemData":{"id":885,"type":"article-journal","abstract":"The need for electrical energy storage (EES) is being driven by the deployment of increasing amounts of intermittent renewable energy resources. In addition to their fuel flexibility, high efficiency, scalability, and long-term cost outlook, reversible (regenerative) solid oxide cell (rSOC) systems have the potential for round-trip efficiencies competitive with the other available energy storage technologies. Accordingly, the focus of the current study is to investigate modeling methods for high temperature rSOCs in order to facilitate future endeavors related to establishing optimal operating conditions and system designs. Previously developed solid oxide fuel cell (SOFC) and solid-oxide electrolytic cell (SOEC) models are integrated to form a general rSOC model. The model is first calibrated and validated based on the available experimental data in the extant literature. The validation results show that the fitting parameters extracted from the calibration study can precisely simulate the cell behavior under various operating conditions. The effects of key operating parameters, such as temperature, gas composition and fuel utilization, on the voltage–current density performance characteristic and thermoneutral voltage are then investigated. It is also observed that the total electrochemical losses of the cell can be significantly different in each operating mode (fuel cell and electrolyzing) under certain operating conditions. Advantages of pressurized operation on thermal management are also discussed.","container-title":"International Journal of Hydrogen Energy","DOI":"10.1016/j.ijhydene.2014.01.186","ISSN":"0360-3199","issue":"11","journalAbbreviation":"International Journal of Hydrogen Energy","page":"5955-5971","source":"ScienceDirect","title":"Model validation and performance analysis of regenerative solid oxide cells for energy storage applications: Reversible operation","title-short":"Model validation and performance analysis of regenerative solid oxide cells for energy storage applications","volume":"39","author":[{"family":"Kazempoor","given":"P."},{"family":"Braun","given":"R. J."}],"issued":{"date-parts":[["2014",4,4]]}}}],"schema":"https://github.com/citation-style-language/schema/raw/master/csl-citation.json"} </w:instrText>
            </w:r>
            <w:r>
              <w:rPr>
                <w:highlight w:val="yellow"/>
              </w:rPr>
              <w:fldChar w:fldCharType="separate"/>
            </w:r>
            <w:r w:rsidR="00CA7A9D" w:rsidRPr="00CA7A9D">
              <w:rPr>
                <w:rFonts w:ascii="Aptos" w:hAnsi="Aptos"/>
              </w:rPr>
              <w:t>[78]</w:t>
            </w:r>
            <w:r>
              <w:rPr>
                <w:highlight w:val="yellow"/>
              </w:rPr>
              <w:fldChar w:fldCharType="end"/>
            </w:r>
          </w:p>
        </w:tc>
      </w:tr>
      <w:tr w:rsidR="00A93D24" w14:paraId="78AB7322" w14:textId="77777777" w:rsidTr="0043723E">
        <w:trPr>
          <w:jc w:val="center"/>
        </w:trPr>
        <w:tc>
          <w:tcPr>
            <w:tcW w:w="1177" w:type="dxa"/>
            <w:vAlign w:val="center"/>
          </w:tcPr>
          <w:p w14:paraId="651BEBB1" w14:textId="77777777" w:rsidR="00A93D24" w:rsidRDefault="00924E48" w:rsidP="002E7584">
            <w:pPr>
              <w:ind w:firstLine="0"/>
              <w:jc w:val="center"/>
            </w:pPr>
            <m:oMathPara>
              <m:oMath>
                <m:sSub>
                  <m:sSubPr>
                    <m:ctrlPr>
                      <w:rPr>
                        <w:rFonts w:ascii="Cambria Math" w:hAnsi="Cambria Math"/>
                        <w:i/>
                      </w:rPr>
                    </m:ctrlPr>
                  </m:sSubPr>
                  <m:e>
                    <m:r>
                      <w:rPr>
                        <w:rFonts w:ascii="Cambria Math" w:hAnsi="Cambria Math"/>
                      </w:rPr>
                      <m:t>α</m:t>
                    </m:r>
                  </m:e>
                  <m:sub>
                    <m:r>
                      <w:rPr>
                        <w:rFonts w:ascii="Cambria Math" w:hAnsi="Cambria Math"/>
                      </w:rPr>
                      <m:t>sr</m:t>
                    </m:r>
                  </m:sub>
                </m:sSub>
              </m:oMath>
            </m:oMathPara>
          </w:p>
        </w:tc>
        <w:tc>
          <w:tcPr>
            <w:tcW w:w="1701" w:type="dxa"/>
            <w:vAlign w:val="center"/>
          </w:tcPr>
          <w:p w14:paraId="7B2DC38F" w14:textId="77777777" w:rsidR="00A93D24" w:rsidRDefault="00A93D24" w:rsidP="002E7584">
            <w:pPr>
              <w:ind w:firstLine="0"/>
              <w:jc w:val="center"/>
            </w:pPr>
            <w:r>
              <w:t>-</w:t>
            </w:r>
          </w:p>
        </w:tc>
        <w:tc>
          <w:tcPr>
            <w:tcW w:w="4947" w:type="dxa"/>
            <w:vAlign w:val="center"/>
          </w:tcPr>
          <w:p w14:paraId="25B4321F" w14:textId="77777777" w:rsidR="00A93D24" w:rsidRDefault="00A93D24" w:rsidP="002E7584">
            <w:pPr>
              <w:ind w:firstLine="0"/>
              <w:jc w:val="center"/>
            </w:pPr>
            <m:oMathPara>
              <m:oMath>
                <m:r>
                  <w:rPr>
                    <w:rFonts w:ascii="Cambria Math" w:hAnsi="Cambria Math"/>
                  </w:rPr>
                  <m:t>0.4</m:t>
                </m:r>
              </m:oMath>
            </m:oMathPara>
          </w:p>
        </w:tc>
        <w:tc>
          <w:tcPr>
            <w:tcW w:w="1350" w:type="dxa"/>
          </w:tcPr>
          <w:p w14:paraId="0CF39BC4" w14:textId="77777777" w:rsidR="00A93D24" w:rsidRDefault="00A93D24" w:rsidP="002E7584">
            <w:pPr>
              <w:ind w:firstLine="0"/>
            </w:pPr>
            <w:r>
              <w:t>Arbitrary value</w:t>
            </w:r>
          </w:p>
        </w:tc>
      </w:tr>
      <w:tr w:rsidR="00A93D24" w14:paraId="6A64607E" w14:textId="77777777" w:rsidTr="0043723E">
        <w:trPr>
          <w:jc w:val="center"/>
        </w:trPr>
        <w:tc>
          <w:tcPr>
            <w:tcW w:w="1177" w:type="dxa"/>
            <w:vAlign w:val="center"/>
          </w:tcPr>
          <w:p w14:paraId="646CE3BF" w14:textId="77777777" w:rsidR="00A93D24" w:rsidRDefault="00924E48" w:rsidP="002E7584">
            <w:pPr>
              <w:ind w:firstLine="0"/>
              <w:jc w:val="center"/>
            </w:pPr>
            <m:oMathPara>
              <m:oMath>
                <m:sSub>
                  <m:sSubPr>
                    <m:ctrlPr>
                      <w:rPr>
                        <w:rFonts w:ascii="Cambria Math" w:hAnsi="Cambria Math"/>
                        <w:i/>
                      </w:rPr>
                    </m:ctrlPr>
                  </m:sSubPr>
                  <m:e>
                    <m:r>
                      <w:rPr>
                        <w:rFonts w:ascii="Cambria Math" w:hAnsi="Cambria Math"/>
                      </w:rPr>
                      <m:t>α</m:t>
                    </m:r>
                  </m:e>
                  <m:sub>
                    <m:r>
                      <w:rPr>
                        <w:rFonts w:ascii="Cambria Math" w:hAnsi="Cambria Math"/>
                      </w:rPr>
                      <m:t>wgs</m:t>
                    </m:r>
                  </m:sub>
                </m:sSub>
              </m:oMath>
            </m:oMathPara>
          </w:p>
        </w:tc>
        <w:tc>
          <w:tcPr>
            <w:tcW w:w="1701" w:type="dxa"/>
            <w:vAlign w:val="center"/>
          </w:tcPr>
          <w:p w14:paraId="406A1517" w14:textId="77777777" w:rsidR="00A93D24" w:rsidRDefault="00A93D24" w:rsidP="002E7584">
            <w:pPr>
              <w:ind w:firstLine="0"/>
              <w:jc w:val="center"/>
            </w:pPr>
            <w:r>
              <w:t>-</w:t>
            </w:r>
          </w:p>
        </w:tc>
        <w:tc>
          <w:tcPr>
            <w:tcW w:w="4947" w:type="dxa"/>
            <w:vAlign w:val="center"/>
          </w:tcPr>
          <w:p w14:paraId="40B7F31D" w14:textId="77777777" w:rsidR="00A93D24" w:rsidRDefault="00A93D24" w:rsidP="002E7584">
            <w:pPr>
              <w:ind w:firstLine="0"/>
              <w:jc w:val="center"/>
            </w:pPr>
            <m:oMathPara>
              <m:oMath>
                <m:r>
                  <w:rPr>
                    <w:rFonts w:ascii="Cambria Math" w:hAnsi="Cambria Math"/>
                  </w:rPr>
                  <m:t>0.3</m:t>
                </m:r>
              </m:oMath>
            </m:oMathPara>
          </w:p>
        </w:tc>
        <w:tc>
          <w:tcPr>
            <w:tcW w:w="1350" w:type="dxa"/>
          </w:tcPr>
          <w:p w14:paraId="6BF67E9E" w14:textId="77777777" w:rsidR="00A93D24" w:rsidRDefault="00A93D24" w:rsidP="002E7584">
            <w:pPr>
              <w:ind w:firstLine="0"/>
            </w:pPr>
            <w:r>
              <w:t>Arbitrary value</w:t>
            </w:r>
          </w:p>
        </w:tc>
      </w:tr>
      <w:tr w:rsidR="00A93D24" w14:paraId="30124D4E" w14:textId="77777777" w:rsidTr="0043723E">
        <w:trPr>
          <w:jc w:val="center"/>
        </w:trPr>
        <w:tc>
          <w:tcPr>
            <w:tcW w:w="1177" w:type="dxa"/>
            <w:vAlign w:val="center"/>
          </w:tcPr>
          <w:p w14:paraId="27D6AD99" w14:textId="77777777" w:rsidR="00A93D24" w:rsidRDefault="00924E48" w:rsidP="002E7584">
            <w:pPr>
              <w:ind w:firstLine="0"/>
              <w:jc w:val="center"/>
            </w:pPr>
            <m:oMathPara>
              <m:oMath>
                <m:sSubSup>
                  <m:sSubSupPr>
                    <m:ctrlPr>
                      <w:rPr>
                        <w:rFonts w:ascii="Cambria Math" w:hAnsi="Cambria Math"/>
                        <w:i/>
                      </w:rPr>
                    </m:ctrlPr>
                  </m:sSubSupPr>
                  <m:e>
                    <m:r>
                      <w:rPr>
                        <w:rFonts w:ascii="Cambria Math" w:hAnsi="Cambria Math"/>
                      </w:rPr>
                      <m:t>K</m:t>
                    </m:r>
                  </m:e>
                  <m:sub>
                    <m:sSub>
                      <m:sSubPr>
                        <m:ctrlPr>
                          <w:rPr>
                            <w:rFonts w:ascii="Cambria Math" w:hAnsi="Cambria Math"/>
                            <w:i/>
                          </w:rPr>
                        </m:ctrlPr>
                      </m:sSubPr>
                      <m:e>
                        <m:r>
                          <w:rPr>
                            <w:rFonts w:ascii="Cambria Math" w:hAnsi="Cambria Math"/>
                          </w:rPr>
                          <m:t>H</m:t>
                        </m:r>
                      </m:e>
                      <m:sub>
                        <m:r>
                          <w:rPr>
                            <w:rFonts w:ascii="Cambria Math" w:hAnsi="Cambria Math"/>
                          </w:rPr>
                          <m:t>2</m:t>
                        </m:r>
                      </m:sub>
                    </m:sSub>
                  </m:sub>
                  <m:sup>
                    <m:r>
                      <w:rPr>
                        <w:rFonts w:ascii="Cambria Math" w:hAnsi="Cambria Math"/>
                      </w:rPr>
                      <m:t>a</m:t>
                    </m:r>
                    <m:sSub>
                      <m:sSubPr>
                        <m:ctrlPr>
                          <w:rPr>
                            <w:rFonts w:ascii="Cambria Math" w:hAnsi="Cambria Math"/>
                            <w:i/>
                          </w:rPr>
                        </m:ctrlPr>
                      </m:sSubPr>
                      <m:e>
                        <m:r>
                          <w:rPr>
                            <w:rFonts w:ascii="Cambria Math" w:hAnsi="Cambria Math"/>
                          </w:rPr>
                          <m:t>d</m:t>
                        </m:r>
                      </m:e>
                      <m:sub>
                        <m:r>
                          <w:rPr>
                            <w:rFonts w:ascii="Cambria Math" w:hAnsi="Cambria Math"/>
                          </w:rPr>
                          <m:t>1</m:t>
                        </m:r>
                      </m:sub>
                    </m:sSub>
                  </m:sup>
                </m:sSubSup>
              </m:oMath>
            </m:oMathPara>
          </w:p>
        </w:tc>
        <w:tc>
          <w:tcPr>
            <w:tcW w:w="1701" w:type="dxa"/>
            <w:vAlign w:val="center"/>
          </w:tcPr>
          <w:p w14:paraId="71CE88AB" w14:textId="77777777" w:rsidR="00A93D24" w:rsidRDefault="00A93D24" w:rsidP="002E7584">
            <w:pPr>
              <w:ind w:firstLine="0"/>
              <w:jc w:val="center"/>
            </w:pPr>
            <m:oMathPara>
              <m:oMath>
                <m:r>
                  <w:rPr>
                    <w:rFonts w:ascii="Cambria Math" w:hAnsi="Cambria Math"/>
                  </w:rPr>
                  <m:t>ba</m:t>
                </m:r>
                <m:sSup>
                  <m:sSupPr>
                    <m:ctrlPr>
                      <w:rPr>
                        <w:rFonts w:ascii="Cambria Math" w:hAnsi="Cambria Math"/>
                        <w:i/>
                      </w:rPr>
                    </m:ctrlPr>
                  </m:sSupPr>
                  <m:e>
                    <m:r>
                      <w:rPr>
                        <w:rFonts w:ascii="Cambria Math" w:hAnsi="Cambria Math"/>
                      </w:rPr>
                      <m:t>r</m:t>
                    </m:r>
                  </m:e>
                  <m:sup>
                    <m:r>
                      <w:rPr>
                        <w:rFonts w:ascii="Cambria Math" w:hAnsi="Cambria Math"/>
                      </w:rPr>
                      <m:t>-1</m:t>
                    </m:r>
                  </m:sup>
                </m:sSup>
              </m:oMath>
            </m:oMathPara>
          </w:p>
        </w:tc>
        <w:tc>
          <w:tcPr>
            <w:tcW w:w="4947" w:type="dxa"/>
            <w:vAlign w:val="center"/>
          </w:tcPr>
          <w:p w14:paraId="1B5DE9E8" w14:textId="77777777" w:rsidR="00A93D24" w:rsidRDefault="00A93D24" w:rsidP="002E7584">
            <w:pPr>
              <w:ind w:firstLine="0"/>
              <w:jc w:val="center"/>
            </w:pPr>
            <m:oMathPara>
              <m:oMath>
                <m:r>
                  <w:rPr>
                    <w:rFonts w:ascii="Cambria Math" w:hAnsi="Cambria Math"/>
                  </w:rPr>
                  <m:t>7.58*</m:t>
                </m:r>
                <m:sSup>
                  <m:sSupPr>
                    <m:ctrlPr>
                      <w:rPr>
                        <w:rFonts w:ascii="Cambria Math" w:hAnsi="Cambria Math"/>
                        <w:i/>
                      </w:rPr>
                    </m:ctrlPr>
                  </m:sSupPr>
                  <m:e>
                    <m:r>
                      <w:rPr>
                        <w:rFonts w:ascii="Cambria Math" w:hAnsi="Cambria Math"/>
                      </w:rPr>
                      <m:t>10</m:t>
                    </m:r>
                  </m:e>
                  <m:sup>
                    <m:r>
                      <w:rPr>
                        <w:rFonts w:ascii="Cambria Math" w:hAnsi="Cambria Math"/>
                      </w:rPr>
                      <m:t>-2</m:t>
                    </m:r>
                  </m:sup>
                </m:sSup>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f>
                          <m:fPr>
                            <m:ctrlPr>
                              <w:rPr>
                                <w:rFonts w:ascii="Cambria Math" w:hAnsi="Cambria Math"/>
                                <w:i/>
                              </w:rPr>
                            </m:ctrlPr>
                          </m:fPr>
                          <m:num>
                            <m:r>
                              <w:rPr>
                                <w:rFonts w:ascii="Cambria Math" w:hAnsi="Cambria Math"/>
                              </w:rPr>
                              <m:t>21410</m:t>
                            </m:r>
                          </m:num>
                          <m:den>
                            <m:r>
                              <w:rPr>
                                <w:rFonts w:ascii="Cambria Math" w:hAnsi="Cambria Math"/>
                              </w:rPr>
                              <m:t>R</m:t>
                            </m:r>
                          </m:den>
                        </m:f>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PEN</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ref</m:t>
                                    </m:r>
                                  </m:sub>
                                </m:sSub>
                              </m:den>
                            </m:f>
                          </m:e>
                        </m:d>
                      </m:e>
                    </m:d>
                  </m:e>
                </m:func>
              </m:oMath>
            </m:oMathPara>
          </w:p>
        </w:tc>
        <w:tc>
          <w:tcPr>
            <w:tcW w:w="1350" w:type="dxa"/>
          </w:tcPr>
          <w:p w14:paraId="7CE31E67" w14:textId="56AF7671" w:rsidR="00A93D24" w:rsidRDefault="00A93D24" w:rsidP="002E7584">
            <w:pPr>
              <w:ind w:firstLine="0"/>
            </w:pPr>
            <w:r>
              <w:fldChar w:fldCharType="begin"/>
            </w:r>
            <w:r w:rsidR="00CA7A9D">
              <w:instrText xml:space="preserve"> ADDIN ZOTERO_ITEM CSL_CITATION {"citationID":"OO8RJZ5B","properties":{"formattedCitation":"[64]","plainCitation":"[64]","noteIndex":0},"citationItems":[{"id":744,"uris":["http://zotero.org/users/12063231/items/6QIVDYJ5"],"itemData":{"id":744,"type":"article-journal","abstract":"A kinetic model was developed for the methane dehydroaromatization over a Mo2C/H-ZSM5 catalyst. Because the experimental observations show that the reaction and deactivation simultaneously take place in the catalyst activation (carburization) stage, the initial simulation time was specified as the time at which the activation was completed and the initial activities under each operating condition were estimated. The estimated values show that the initial activity of the Mo2C site is low in the early stage of the catalyst bed, which is probably due to the carbonization, while that of the H-ZSM5 site is very low in the later stage of the bed due to the encapsulation of coupled aromatics caused by the low confinement of Mo2C in the zeolite. Kinetic models were developed for the reaction and deactivation and the kinetic parameters were estimated by fitting the experimental data that were obtained after the activation was completed. The simulated results are in good agreement with the experimental data. The deactivation model indicates a higher temperature dependency of the Mo2C site compared with the H-ZSM5 site. In addition, the benzene and toluene yields abruptly decrease at very high temperature, indicating that a too high temperature should be avoided, although high temperatures are favored because of the endothermic characteristics of the production rate.","collection-title":"Special Issue for the 17th Korea-Japan Symposium on Catalysis","container-title":"Catalysis Today","DOI":"10.1016/j.cattod.2019.09.002","ISSN":"0920-5861","journalAbbreviation":"Catalysis Today","page":"140-147","source":"ScienceDirect","title":"Kinetic modeling of methane dehydroaromatization over a Mo2C/H-ZSM5 catalyst: Different deactivation behaviors of the Mo2C and H-ZSM5 sites","title-short":"Kinetic modeling of methane dehydroaromatization over a Mo2C/H-ZSM5 catalyst","volume":"352","author":[{"family":"Jeong","given":"Jaehun"},{"family":"Hwang","given":"Ahron"},{"family":"Kim","given":"Yong Tae"},{"family":"Hong","given":"Do-Young"},{"family":"Park","given":"Myung-June"}],"issued":{"date-parts":[["2020",8,1]]}}}],"schema":"https://github.com/citation-style-language/schema/raw/master/csl-citation.json"} </w:instrText>
            </w:r>
            <w:r>
              <w:fldChar w:fldCharType="separate"/>
            </w:r>
            <w:r w:rsidR="00CA7A9D" w:rsidRPr="00CA7A9D">
              <w:rPr>
                <w:rFonts w:ascii="Aptos" w:hAnsi="Aptos"/>
              </w:rPr>
              <w:t>[64]</w:t>
            </w:r>
            <w:r>
              <w:fldChar w:fldCharType="end"/>
            </w:r>
          </w:p>
        </w:tc>
      </w:tr>
      <w:tr w:rsidR="00A93D24" w14:paraId="01F0FA98" w14:textId="77777777" w:rsidTr="0043723E">
        <w:trPr>
          <w:jc w:val="center"/>
        </w:trPr>
        <w:tc>
          <w:tcPr>
            <w:tcW w:w="1177" w:type="dxa"/>
            <w:vAlign w:val="center"/>
          </w:tcPr>
          <w:p w14:paraId="492C74CA" w14:textId="77777777" w:rsidR="00A93D24" w:rsidRDefault="00924E48" w:rsidP="002E7584">
            <w:pPr>
              <w:ind w:firstLine="0"/>
              <w:jc w:val="center"/>
            </w:pPr>
            <m:oMathPara>
              <m:oMath>
                <m:sSubSup>
                  <m:sSubSupPr>
                    <m:ctrlPr>
                      <w:rPr>
                        <w:rFonts w:ascii="Cambria Math" w:hAnsi="Cambria Math"/>
                        <w:i/>
                      </w:rPr>
                    </m:ctrlPr>
                  </m:sSubSupPr>
                  <m:e>
                    <m:r>
                      <w:rPr>
                        <w:rFonts w:ascii="Cambria Math" w:hAnsi="Cambria Math"/>
                      </w:rPr>
                      <m:t>K</m:t>
                    </m:r>
                  </m:e>
                  <m:sub>
                    <m:sSub>
                      <m:sSubPr>
                        <m:ctrlPr>
                          <w:rPr>
                            <w:rFonts w:ascii="Cambria Math" w:hAnsi="Cambria Math"/>
                            <w:i/>
                          </w:rPr>
                        </m:ctrlPr>
                      </m:sSubPr>
                      <m:e>
                        <m:r>
                          <w:rPr>
                            <w:rFonts w:ascii="Cambria Math" w:hAnsi="Cambria Math"/>
                          </w:rPr>
                          <m:t>CH</m:t>
                        </m:r>
                      </m:e>
                      <m:sub>
                        <m:r>
                          <w:rPr>
                            <w:rFonts w:ascii="Cambria Math" w:hAnsi="Cambria Math"/>
                          </w:rPr>
                          <m:t>4</m:t>
                        </m:r>
                      </m:sub>
                    </m:sSub>
                  </m:sub>
                  <m:sup>
                    <m:r>
                      <w:rPr>
                        <w:rFonts w:ascii="Cambria Math" w:hAnsi="Cambria Math"/>
                      </w:rPr>
                      <m:t>a</m:t>
                    </m:r>
                    <m:sSub>
                      <m:sSubPr>
                        <m:ctrlPr>
                          <w:rPr>
                            <w:rFonts w:ascii="Cambria Math" w:hAnsi="Cambria Math"/>
                            <w:i/>
                          </w:rPr>
                        </m:ctrlPr>
                      </m:sSubPr>
                      <m:e>
                        <m:r>
                          <w:rPr>
                            <w:rFonts w:ascii="Cambria Math" w:hAnsi="Cambria Math"/>
                          </w:rPr>
                          <m:t>d</m:t>
                        </m:r>
                      </m:e>
                      <m:sub>
                        <m:r>
                          <w:rPr>
                            <w:rFonts w:ascii="Cambria Math" w:hAnsi="Cambria Math"/>
                          </w:rPr>
                          <m:t>1</m:t>
                        </m:r>
                      </m:sub>
                    </m:sSub>
                  </m:sup>
                </m:sSubSup>
              </m:oMath>
            </m:oMathPara>
          </w:p>
        </w:tc>
        <w:tc>
          <w:tcPr>
            <w:tcW w:w="1701" w:type="dxa"/>
          </w:tcPr>
          <w:p w14:paraId="49893FDA" w14:textId="77777777" w:rsidR="00A93D24" w:rsidRDefault="00A93D24" w:rsidP="002E7584">
            <w:pPr>
              <w:ind w:firstLine="0"/>
              <w:jc w:val="center"/>
            </w:pPr>
            <m:oMathPara>
              <m:oMath>
                <m:r>
                  <w:rPr>
                    <w:rFonts w:ascii="Cambria Math" w:hAnsi="Cambria Math"/>
                  </w:rPr>
                  <m:t>ba</m:t>
                </m:r>
                <m:sSup>
                  <m:sSupPr>
                    <m:ctrlPr>
                      <w:rPr>
                        <w:rFonts w:ascii="Cambria Math" w:hAnsi="Cambria Math"/>
                        <w:i/>
                      </w:rPr>
                    </m:ctrlPr>
                  </m:sSupPr>
                  <m:e>
                    <m:r>
                      <w:rPr>
                        <w:rFonts w:ascii="Cambria Math" w:hAnsi="Cambria Math"/>
                      </w:rPr>
                      <m:t>r</m:t>
                    </m:r>
                  </m:e>
                  <m:sup>
                    <m:r>
                      <w:rPr>
                        <w:rFonts w:ascii="Cambria Math" w:hAnsi="Cambria Math"/>
                      </w:rPr>
                      <m:t>-1</m:t>
                    </m:r>
                  </m:sup>
                </m:sSup>
              </m:oMath>
            </m:oMathPara>
          </w:p>
        </w:tc>
        <w:tc>
          <w:tcPr>
            <w:tcW w:w="4947" w:type="dxa"/>
            <w:vAlign w:val="center"/>
          </w:tcPr>
          <w:p w14:paraId="31635933" w14:textId="77777777" w:rsidR="00A93D24" w:rsidRDefault="00A93D24" w:rsidP="002E7584">
            <w:pPr>
              <w:ind w:firstLine="0"/>
              <w:jc w:val="center"/>
            </w:pPr>
            <m:oMathPara>
              <m:oMath>
                <m:r>
                  <w:rPr>
                    <w:rFonts w:ascii="Cambria Math" w:hAnsi="Cambria Math"/>
                  </w:rPr>
                  <m:t>9.66*</m:t>
                </m:r>
                <m:sSup>
                  <m:sSupPr>
                    <m:ctrlPr>
                      <w:rPr>
                        <w:rFonts w:ascii="Cambria Math" w:hAnsi="Cambria Math"/>
                        <w:i/>
                      </w:rPr>
                    </m:ctrlPr>
                  </m:sSupPr>
                  <m:e>
                    <m:r>
                      <w:rPr>
                        <w:rFonts w:ascii="Cambria Math" w:hAnsi="Cambria Math"/>
                      </w:rPr>
                      <m:t>10</m:t>
                    </m:r>
                  </m:e>
                  <m:sup>
                    <m:r>
                      <w:rPr>
                        <w:rFonts w:ascii="Cambria Math" w:hAnsi="Cambria Math"/>
                      </w:rPr>
                      <m:t>-2</m:t>
                    </m:r>
                  </m:sup>
                </m:sSup>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f>
                          <m:fPr>
                            <m:ctrlPr>
                              <w:rPr>
                                <w:rFonts w:ascii="Cambria Math" w:hAnsi="Cambria Math"/>
                                <w:i/>
                              </w:rPr>
                            </m:ctrlPr>
                          </m:fPr>
                          <m:num>
                            <m:r>
                              <w:rPr>
                                <w:rFonts w:ascii="Cambria Math" w:hAnsi="Cambria Math"/>
                              </w:rPr>
                              <m:t>94610</m:t>
                            </m:r>
                          </m:num>
                          <m:den>
                            <m:r>
                              <w:rPr>
                                <w:rFonts w:ascii="Cambria Math" w:hAnsi="Cambria Math"/>
                              </w:rPr>
                              <m:t>R</m:t>
                            </m:r>
                          </m:den>
                        </m:f>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PEN</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ref</m:t>
                                    </m:r>
                                  </m:sub>
                                </m:sSub>
                              </m:den>
                            </m:f>
                          </m:e>
                        </m:d>
                      </m:e>
                    </m:d>
                  </m:e>
                </m:func>
              </m:oMath>
            </m:oMathPara>
          </w:p>
        </w:tc>
        <w:tc>
          <w:tcPr>
            <w:tcW w:w="1350" w:type="dxa"/>
          </w:tcPr>
          <w:p w14:paraId="4B61CC8C" w14:textId="46F9B54B" w:rsidR="00A93D24" w:rsidRDefault="00A93D24" w:rsidP="002E7584">
            <w:pPr>
              <w:ind w:firstLine="0"/>
            </w:pPr>
            <w:r>
              <w:fldChar w:fldCharType="begin"/>
            </w:r>
            <w:r w:rsidR="00CA7A9D">
              <w:instrText xml:space="preserve"> ADDIN ZOTERO_ITEM CSL_CITATION {"citationID":"msuAUY9i","properties":{"formattedCitation":"[64]","plainCitation":"[64]","noteIndex":0},"citationItems":[{"id":744,"uris":["http://zotero.org/users/12063231/items/6QIVDYJ5"],"itemData":{"id":744,"type":"article-journal","abstract":"A kinetic model was developed for the methane dehydroaromatization over a Mo2C/H-ZSM5 catalyst. Because the experimental observations show that the reaction and deactivation simultaneously take place in the catalyst activation (carburization) stage, the initial simulation time was specified as the time at which the activation was completed and the initial activities under each operating condition were estimated. The estimated values show that the initial activity of the Mo2C site is low in the early stage of the catalyst bed, which is probably due to the carbonization, while that of the H-ZSM5 site is very low in the later stage of the bed due to the encapsulation of coupled aromatics caused by the low confinement of Mo2C in the zeolite. Kinetic models were developed for the reaction and deactivation and the kinetic parameters were estimated by fitting the experimental data that were obtained after the activation was completed. The simulated results are in good agreement with the experimental data. The deactivation model indicates a higher temperature dependency of the Mo2C site compared with the H-ZSM5 site. In addition, the benzene and toluene yields abruptly decrease at very high temperature, indicating that a too high temperature should be avoided, although high temperatures are favored because of the endothermic characteristics of the production rate.","collection-title":"Special Issue for the 17th Korea-Japan Symposium on Catalysis","container-title":"Catalysis Today","DOI":"10.1016/j.cattod.2019.09.002","ISSN":"0920-5861","journalAbbreviation":"Catalysis Today","page":"140-147","source":"ScienceDirect","title":"Kinetic modeling of methane dehydroaromatization over a Mo2C/H-ZSM5 catalyst: Different deactivation behaviors of the Mo2C and H-ZSM5 sites","title-short":"Kinetic modeling of methane dehydroaromatization over a Mo2C/H-ZSM5 catalyst","volume":"352","author":[{"family":"Jeong","given":"Jaehun"},{"family":"Hwang","given":"Ahron"},{"family":"Kim","given":"Yong Tae"},{"family":"Hong","given":"Do-Young"},{"family":"Park","given":"Myung-June"}],"issued":{"date-parts":[["2020",8,1]]}}}],"schema":"https://github.com/citation-style-language/schema/raw/master/csl-citation.json"} </w:instrText>
            </w:r>
            <w:r>
              <w:fldChar w:fldCharType="separate"/>
            </w:r>
            <w:r w:rsidR="00CA7A9D" w:rsidRPr="00CA7A9D">
              <w:rPr>
                <w:rFonts w:ascii="Aptos" w:hAnsi="Aptos"/>
              </w:rPr>
              <w:t>[64]</w:t>
            </w:r>
            <w:r>
              <w:fldChar w:fldCharType="end"/>
            </w:r>
          </w:p>
        </w:tc>
      </w:tr>
      <w:tr w:rsidR="00A93D24" w14:paraId="3A03BACE" w14:textId="77777777" w:rsidTr="0043723E">
        <w:trPr>
          <w:jc w:val="center"/>
        </w:trPr>
        <w:tc>
          <w:tcPr>
            <w:tcW w:w="1177" w:type="dxa"/>
            <w:vAlign w:val="center"/>
          </w:tcPr>
          <w:p w14:paraId="14CA43A2" w14:textId="77777777" w:rsidR="00A93D24" w:rsidRDefault="00924E48" w:rsidP="002E7584">
            <w:pPr>
              <w:ind w:firstLine="0"/>
              <w:jc w:val="center"/>
            </w:pPr>
            <m:oMathPara>
              <m:oMath>
                <m:sSubSup>
                  <m:sSubSupPr>
                    <m:ctrlPr>
                      <w:rPr>
                        <w:rFonts w:ascii="Cambria Math" w:hAnsi="Cambria Math"/>
                        <w:i/>
                      </w:rPr>
                    </m:ctrlPr>
                  </m:sSubSupPr>
                  <m:e>
                    <m:r>
                      <w:rPr>
                        <w:rFonts w:ascii="Cambria Math" w:hAnsi="Cambria Math"/>
                      </w:rPr>
                      <m:t>K</m:t>
                    </m:r>
                  </m:e>
                  <m: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H</m:t>
                        </m:r>
                      </m:e>
                      <m:sub>
                        <m:r>
                          <w:rPr>
                            <w:rFonts w:ascii="Cambria Math" w:hAnsi="Cambria Math"/>
                          </w:rPr>
                          <m:t>4</m:t>
                        </m:r>
                      </m:sub>
                    </m:sSub>
                  </m:sub>
                  <m:sup>
                    <m:r>
                      <w:rPr>
                        <w:rFonts w:ascii="Cambria Math" w:hAnsi="Cambria Math"/>
                      </w:rPr>
                      <m:t>a</m:t>
                    </m:r>
                    <m:sSub>
                      <m:sSubPr>
                        <m:ctrlPr>
                          <w:rPr>
                            <w:rFonts w:ascii="Cambria Math" w:hAnsi="Cambria Math"/>
                            <w:i/>
                          </w:rPr>
                        </m:ctrlPr>
                      </m:sSubPr>
                      <m:e>
                        <m:r>
                          <w:rPr>
                            <w:rFonts w:ascii="Cambria Math" w:hAnsi="Cambria Math"/>
                          </w:rPr>
                          <m:t>d</m:t>
                        </m:r>
                      </m:e>
                      <m:sub>
                        <m:r>
                          <w:rPr>
                            <w:rFonts w:ascii="Cambria Math" w:hAnsi="Cambria Math"/>
                          </w:rPr>
                          <m:t>1</m:t>
                        </m:r>
                      </m:sub>
                    </m:sSub>
                  </m:sup>
                </m:sSubSup>
              </m:oMath>
            </m:oMathPara>
          </w:p>
        </w:tc>
        <w:tc>
          <w:tcPr>
            <w:tcW w:w="1701" w:type="dxa"/>
          </w:tcPr>
          <w:p w14:paraId="2E9149FD" w14:textId="77777777" w:rsidR="00A93D24" w:rsidRDefault="00A93D24" w:rsidP="002E7584">
            <w:pPr>
              <w:ind w:firstLine="0"/>
              <w:jc w:val="center"/>
            </w:pPr>
            <m:oMathPara>
              <m:oMath>
                <m:r>
                  <w:rPr>
                    <w:rFonts w:ascii="Cambria Math" w:hAnsi="Cambria Math"/>
                  </w:rPr>
                  <m:t>ba</m:t>
                </m:r>
                <m:sSup>
                  <m:sSupPr>
                    <m:ctrlPr>
                      <w:rPr>
                        <w:rFonts w:ascii="Cambria Math" w:hAnsi="Cambria Math"/>
                        <w:i/>
                      </w:rPr>
                    </m:ctrlPr>
                  </m:sSupPr>
                  <m:e>
                    <m:r>
                      <w:rPr>
                        <w:rFonts w:ascii="Cambria Math" w:hAnsi="Cambria Math"/>
                      </w:rPr>
                      <m:t>r</m:t>
                    </m:r>
                  </m:e>
                  <m:sup>
                    <m:r>
                      <w:rPr>
                        <w:rFonts w:ascii="Cambria Math" w:hAnsi="Cambria Math"/>
                      </w:rPr>
                      <m:t>-1</m:t>
                    </m:r>
                  </m:sup>
                </m:sSup>
              </m:oMath>
            </m:oMathPara>
          </w:p>
        </w:tc>
        <w:tc>
          <w:tcPr>
            <w:tcW w:w="4947" w:type="dxa"/>
            <w:vAlign w:val="center"/>
          </w:tcPr>
          <w:p w14:paraId="16D038DE" w14:textId="77777777" w:rsidR="00A93D24" w:rsidRDefault="00A93D24" w:rsidP="002E7584">
            <w:pPr>
              <w:ind w:firstLine="0"/>
              <w:jc w:val="center"/>
            </w:pPr>
            <m:oMathPara>
              <m:oMath>
                <m:r>
                  <w:rPr>
                    <w:rFonts w:ascii="Cambria Math" w:hAnsi="Cambria Math"/>
                  </w:rPr>
                  <m:t>7.94*</m:t>
                </m:r>
                <m:sSup>
                  <m:sSupPr>
                    <m:ctrlPr>
                      <w:rPr>
                        <w:rFonts w:ascii="Cambria Math" w:hAnsi="Cambria Math"/>
                        <w:i/>
                      </w:rPr>
                    </m:ctrlPr>
                  </m:sSupPr>
                  <m:e>
                    <m:r>
                      <w:rPr>
                        <w:rFonts w:ascii="Cambria Math" w:hAnsi="Cambria Math"/>
                      </w:rPr>
                      <m:t>10</m:t>
                    </m:r>
                  </m:e>
                  <m:sup>
                    <m:r>
                      <w:rPr>
                        <w:rFonts w:ascii="Cambria Math" w:hAnsi="Cambria Math"/>
                      </w:rPr>
                      <m:t>-2</m:t>
                    </m:r>
                  </m:sup>
                </m:sSup>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f>
                          <m:fPr>
                            <m:ctrlPr>
                              <w:rPr>
                                <w:rFonts w:ascii="Cambria Math" w:hAnsi="Cambria Math"/>
                                <w:i/>
                              </w:rPr>
                            </m:ctrlPr>
                          </m:fPr>
                          <m:num>
                            <m:r>
                              <w:rPr>
                                <w:rFonts w:ascii="Cambria Math" w:hAnsi="Cambria Math"/>
                              </w:rPr>
                              <m:t>40020</m:t>
                            </m:r>
                          </m:num>
                          <m:den>
                            <m:r>
                              <w:rPr>
                                <w:rFonts w:ascii="Cambria Math" w:hAnsi="Cambria Math"/>
                              </w:rPr>
                              <m:t>R</m:t>
                            </m:r>
                          </m:den>
                        </m:f>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PEN</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ref</m:t>
                                    </m:r>
                                  </m:sub>
                                </m:sSub>
                              </m:den>
                            </m:f>
                          </m:e>
                        </m:d>
                      </m:e>
                    </m:d>
                  </m:e>
                </m:func>
              </m:oMath>
            </m:oMathPara>
          </w:p>
        </w:tc>
        <w:tc>
          <w:tcPr>
            <w:tcW w:w="1350" w:type="dxa"/>
          </w:tcPr>
          <w:p w14:paraId="4D225AD7" w14:textId="487D82EC" w:rsidR="00A93D24" w:rsidRDefault="00A93D24" w:rsidP="002E7584">
            <w:pPr>
              <w:ind w:firstLine="0"/>
            </w:pPr>
            <w:r>
              <w:fldChar w:fldCharType="begin"/>
            </w:r>
            <w:r w:rsidR="00CA7A9D">
              <w:instrText xml:space="preserve"> ADDIN ZOTERO_ITEM CSL_CITATION {"citationID":"c3Pbtq42","properties":{"formattedCitation":"[64]","plainCitation":"[64]","noteIndex":0},"citationItems":[{"id":744,"uris":["http://zotero.org/users/12063231/items/6QIVDYJ5"],"itemData":{"id":744,"type":"article-journal","abstract":"A kinetic model was developed for the methane dehydroaromatization over a Mo2C/H-ZSM5 catalyst. Because the experimental observations show that the reaction and deactivation simultaneously take place in the catalyst activation (carburization) stage, the initial simulation time was specified as the time at which the activation was completed and the initial activities under each operating condition were estimated. The estimated values show that the initial activity of the Mo2C site is low in the early stage of the catalyst bed, which is probably due to the carbonization, while that of the H-ZSM5 site is very low in the later stage of the bed due to the encapsulation of coupled aromatics caused by the low confinement of Mo2C in the zeolite. Kinetic models were developed for the reaction and deactivation and the kinetic parameters were estimated by fitting the experimental data that were obtained after the activation was completed. The simulated results are in good agreement with the experimental data. The deactivation model indicates a higher temperature dependency of the Mo2C site compared with the H-ZSM5 site. In addition, the benzene and toluene yields abruptly decrease at very high temperature, indicating that a too high temperature should be avoided, although high temperatures are favored because of the endothermic characteristics of the production rate.","collection-title":"Special Issue for the 17th Korea-Japan Symposium on Catalysis","container-title":"Catalysis Today","DOI":"10.1016/j.cattod.2019.09.002","ISSN":"0920-5861","journalAbbreviation":"Catalysis Today","page":"140-147","source":"ScienceDirect","title":"Kinetic modeling of methane dehydroaromatization over a Mo2C/H-ZSM5 catalyst: Different deactivation behaviors of the Mo2C and H-ZSM5 sites","title-short":"Kinetic modeling of methane dehydroaromatization over a Mo2C/H-ZSM5 catalyst","volume":"352","author":[{"family":"Jeong","given":"Jaehun"},{"family":"Hwang","given":"Ahron"},{"family":"Kim","given":"Yong Tae"},{"family":"Hong","given":"Do-Young"},{"family":"Park","given":"Myung-June"}],"issued":{"date-parts":[["2020",8,1]]}}}],"schema":"https://github.com/citation-style-language/schema/raw/master/csl-citation.json"} </w:instrText>
            </w:r>
            <w:r>
              <w:fldChar w:fldCharType="separate"/>
            </w:r>
            <w:r w:rsidR="00CA7A9D" w:rsidRPr="00CA7A9D">
              <w:rPr>
                <w:rFonts w:ascii="Aptos" w:hAnsi="Aptos"/>
              </w:rPr>
              <w:t>[64]</w:t>
            </w:r>
            <w:r>
              <w:fldChar w:fldCharType="end"/>
            </w:r>
          </w:p>
        </w:tc>
      </w:tr>
      <w:tr w:rsidR="00A93D24" w14:paraId="767E3174" w14:textId="77777777" w:rsidTr="0043723E">
        <w:trPr>
          <w:jc w:val="center"/>
        </w:trPr>
        <w:tc>
          <w:tcPr>
            <w:tcW w:w="1177" w:type="dxa"/>
            <w:vAlign w:val="center"/>
          </w:tcPr>
          <w:p w14:paraId="3C223C5D" w14:textId="77777777" w:rsidR="00A93D24" w:rsidRDefault="00924E48" w:rsidP="002E7584">
            <w:pPr>
              <w:ind w:firstLine="0"/>
              <w:jc w:val="center"/>
            </w:pPr>
            <m:oMathPara>
              <m:oMath>
                <m:sSubSup>
                  <m:sSubSupPr>
                    <m:ctrlPr>
                      <w:rPr>
                        <w:rFonts w:ascii="Cambria Math" w:hAnsi="Cambria Math"/>
                        <w:i/>
                      </w:rPr>
                    </m:ctrlPr>
                  </m:sSubSupPr>
                  <m:e>
                    <m:r>
                      <w:rPr>
                        <w:rFonts w:ascii="Cambria Math" w:hAnsi="Cambria Math"/>
                      </w:rPr>
                      <m:t>K</m:t>
                    </m:r>
                  </m:e>
                  <m:sub>
                    <m:sSub>
                      <m:sSubPr>
                        <m:ctrlPr>
                          <w:rPr>
                            <w:rFonts w:ascii="Cambria Math" w:hAnsi="Cambria Math"/>
                            <w:i/>
                          </w:rPr>
                        </m:ctrlPr>
                      </m:sSubPr>
                      <m:e>
                        <m:r>
                          <w:rPr>
                            <w:rFonts w:ascii="Cambria Math" w:hAnsi="Cambria Math"/>
                          </w:rPr>
                          <m:t>H</m:t>
                        </m:r>
                      </m:e>
                      <m:sub>
                        <m:r>
                          <w:rPr>
                            <w:rFonts w:ascii="Cambria Math" w:hAnsi="Cambria Math"/>
                          </w:rPr>
                          <m:t>2</m:t>
                        </m:r>
                      </m:sub>
                    </m:sSub>
                  </m:sub>
                  <m:sup>
                    <m:r>
                      <w:rPr>
                        <w:rFonts w:ascii="Cambria Math" w:hAnsi="Cambria Math"/>
                      </w:rPr>
                      <m:t>a</m:t>
                    </m:r>
                    <m:sSub>
                      <m:sSubPr>
                        <m:ctrlPr>
                          <w:rPr>
                            <w:rFonts w:ascii="Cambria Math" w:hAnsi="Cambria Math"/>
                            <w:i/>
                          </w:rPr>
                        </m:ctrlPr>
                      </m:sSubPr>
                      <m:e>
                        <m:r>
                          <w:rPr>
                            <w:rFonts w:ascii="Cambria Math" w:hAnsi="Cambria Math"/>
                          </w:rPr>
                          <m:t>d</m:t>
                        </m:r>
                      </m:e>
                      <m:sub>
                        <m:r>
                          <w:rPr>
                            <w:rFonts w:ascii="Cambria Math" w:hAnsi="Cambria Math"/>
                          </w:rPr>
                          <m:t>2</m:t>
                        </m:r>
                      </m:sub>
                    </m:sSub>
                  </m:sup>
                </m:sSubSup>
              </m:oMath>
            </m:oMathPara>
          </w:p>
        </w:tc>
        <w:tc>
          <w:tcPr>
            <w:tcW w:w="1701" w:type="dxa"/>
          </w:tcPr>
          <w:p w14:paraId="08729939" w14:textId="77777777" w:rsidR="00A93D24" w:rsidRDefault="00A93D24" w:rsidP="002E7584">
            <w:pPr>
              <w:ind w:firstLine="0"/>
              <w:jc w:val="center"/>
            </w:pPr>
            <m:oMathPara>
              <m:oMath>
                <m:r>
                  <w:rPr>
                    <w:rFonts w:ascii="Cambria Math" w:hAnsi="Cambria Math"/>
                  </w:rPr>
                  <m:t>ba</m:t>
                </m:r>
                <m:sSup>
                  <m:sSupPr>
                    <m:ctrlPr>
                      <w:rPr>
                        <w:rFonts w:ascii="Cambria Math" w:hAnsi="Cambria Math"/>
                        <w:i/>
                      </w:rPr>
                    </m:ctrlPr>
                  </m:sSupPr>
                  <m:e>
                    <m:r>
                      <w:rPr>
                        <w:rFonts w:ascii="Cambria Math" w:hAnsi="Cambria Math"/>
                      </w:rPr>
                      <m:t>r</m:t>
                    </m:r>
                  </m:e>
                  <m:sup>
                    <m:r>
                      <w:rPr>
                        <w:rFonts w:ascii="Cambria Math" w:hAnsi="Cambria Math"/>
                      </w:rPr>
                      <m:t>-1</m:t>
                    </m:r>
                  </m:sup>
                </m:sSup>
              </m:oMath>
            </m:oMathPara>
          </w:p>
        </w:tc>
        <w:tc>
          <w:tcPr>
            <w:tcW w:w="4947" w:type="dxa"/>
            <w:vAlign w:val="center"/>
          </w:tcPr>
          <w:p w14:paraId="2F6CE697" w14:textId="77777777" w:rsidR="00A93D24" w:rsidRDefault="00A93D24" w:rsidP="002E7584">
            <w:pPr>
              <w:ind w:firstLine="0"/>
              <w:jc w:val="center"/>
            </w:pPr>
            <m:oMathPara>
              <m:oMath>
                <m:r>
                  <w:rPr>
                    <w:rFonts w:ascii="Cambria Math" w:hAnsi="Cambria Math"/>
                  </w:rPr>
                  <m:t>9.40*</m:t>
                </m:r>
                <m:sSup>
                  <m:sSupPr>
                    <m:ctrlPr>
                      <w:rPr>
                        <w:rFonts w:ascii="Cambria Math" w:hAnsi="Cambria Math"/>
                        <w:i/>
                      </w:rPr>
                    </m:ctrlPr>
                  </m:sSupPr>
                  <m:e>
                    <m:r>
                      <w:rPr>
                        <w:rFonts w:ascii="Cambria Math" w:hAnsi="Cambria Math"/>
                      </w:rPr>
                      <m:t>10</m:t>
                    </m:r>
                  </m:e>
                  <m:sup>
                    <m:r>
                      <w:rPr>
                        <w:rFonts w:ascii="Cambria Math" w:hAnsi="Cambria Math"/>
                      </w:rPr>
                      <m:t>-2</m:t>
                    </m:r>
                  </m:sup>
                </m:sSup>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f>
                          <m:fPr>
                            <m:ctrlPr>
                              <w:rPr>
                                <w:rFonts w:ascii="Cambria Math" w:hAnsi="Cambria Math"/>
                                <w:i/>
                              </w:rPr>
                            </m:ctrlPr>
                          </m:fPr>
                          <m:num>
                            <m:r>
                              <w:rPr>
                                <w:rFonts w:ascii="Cambria Math" w:hAnsi="Cambria Math"/>
                              </w:rPr>
                              <m:t>21080</m:t>
                            </m:r>
                          </m:num>
                          <m:den>
                            <m:r>
                              <w:rPr>
                                <w:rFonts w:ascii="Cambria Math" w:hAnsi="Cambria Math"/>
                              </w:rPr>
                              <m:t>R</m:t>
                            </m:r>
                          </m:den>
                        </m:f>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PEN</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ref</m:t>
                                    </m:r>
                                  </m:sub>
                                </m:sSub>
                              </m:den>
                            </m:f>
                          </m:e>
                        </m:d>
                      </m:e>
                    </m:d>
                  </m:e>
                </m:func>
              </m:oMath>
            </m:oMathPara>
          </w:p>
        </w:tc>
        <w:tc>
          <w:tcPr>
            <w:tcW w:w="1350" w:type="dxa"/>
          </w:tcPr>
          <w:p w14:paraId="7FD7023F" w14:textId="5ADA1D8F" w:rsidR="00A93D24" w:rsidRDefault="00A93D24" w:rsidP="002E7584">
            <w:pPr>
              <w:ind w:firstLine="0"/>
            </w:pPr>
            <w:r>
              <w:fldChar w:fldCharType="begin"/>
            </w:r>
            <w:r w:rsidR="00CA7A9D">
              <w:instrText xml:space="preserve"> ADDIN ZOTERO_ITEM CSL_CITATION {"citationID":"UXe8E4IQ","properties":{"formattedCitation":"[64]","plainCitation":"[64]","noteIndex":0},"citationItems":[{"id":744,"uris":["http://zotero.org/users/12063231/items/6QIVDYJ5"],"itemData":{"id":744,"type":"article-journal","abstract":"A kinetic model was developed for the methane dehydroaromatization over a Mo2C/H-ZSM5 catalyst. Because the experimental observations show that the reaction and deactivation simultaneously take place in the catalyst activation (carburization) stage, the initial simulation time was specified as the time at which the activation was completed and the initial activities under each operating condition were estimated. The estimated values show that the initial activity of the Mo2C site is low in the early stage of the catalyst bed, which is probably due to the carbonization, while that of the H-ZSM5 site is very low in the later stage of the bed due to the encapsulation of coupled aromatics caused by the low confinement of Mo2C in the zeolite. Kinetic models were developed for the reaction and deactivation and the kinetic parameters were estimated by fitting the experimental data that were obtained after the activation was completed. The simulated results are in good agreement with the experimental data. The deactivation model indicates a higher temperature dependency of the Mo2C site compared with the H-ZSM5 site. In addition, the benzene and toluene yields abruptly decrease at very high temperature, indicating that a too high temperature should be avoided, although high temperatures are favored because of the endothermic characteristics of the production rate.","collection-title":"Special Issue for the 17th Korea-Japan Symposium on Catalysis","container-title":"Catalysis Today","DOI":"10.1016/j.cattod.2019.09.002","ISSN":"0920-5861","journalAbbreviation":"Catalysis Today","page":"140-147","source":"ScienceDirect","title":"Kinetic modeling of methane dehydroaromatization over a Mo2C/H-ZSM5 catalyst: Different deactivation behaviors of the Mo2C and H-ZSM5 sites","title-short":"Kinetic modeling of methane dehydroaromatization over a Mo2C/H-ZSM5 catalyst","volume":"352","author":[{"family":"Jeong","given":"Jaehun"},{"family":"Hwang","given":"Ahron"},{"family":"Kim","given":"Yong Tae"},{"family":"Hong","given":"Do-Young"},{"family":"Park","given":"Myung-June"}],"issued":{"date-parts":[["2020",8,1]]}}}],"schema":"https://github.com/citation-style-language/schema/raw/master/csl-citation.json"} </w:instrText>
            </w:r>
            <w:r>
              <w:fldChar w:fldCharType="separate"/>
            </w:r>
            <w:r w:rsidR="00CA7A9D" w:rsidRPr="00CA7A9D">
              <w:rPr>
                <w:rFonts w:ascii="Aptos" w:hAnsi="Aptos"/>
              </w:rPr>
              <w:t>[64]</w:t>
            </w:r>
            <w:r>
              <w:fldChar w:fldCharType="end"/>
            </w:r>
          </w:p>
        </w:tc>
      </w:tr>
      <w:tr w:rsidR="00A93D24" w14:paraId="65B1448C" w14:textId="77777777" w:rsidTr="0043723E">
        <w:trPr>
          <w:jc w:val="center"/>
        </w:trPr>
        <w:tc>
          <w:tcPr>
            <w:tcW w:w="1177" w:type="dxa"/>
            <w:vAlign w:val="center"/>
          </w:tcPr>
          <w:p w14:paraId="623C3808" w14:textId="77777777" w:rsidR="00A93D24" w:rsidRDefault="00924E48" w:rsidP="002E7584">
            <w:pPr>
              <w:ind w:firstLine="0"/>
              <w:jc w:val="center"/>
            </w:pPr>
            <m:oMathPara>
              <m:oMath>
                <m:sSubSup>
                  <m:sSubSupPr>
                    <m:ctrlPr>
                      <w:rPr>
                        <w:rFonts w:ascii="Cambria Math" w:hAnsi="Cambria Math"/>
                        <w:i/>
                      </w:rPr>
                    </m:ctrlPr>
                  </m:sSubSupPr>
                  <m:e>
                    <m:r>
                      <w:rPr>
                        <w:rFonts w:ascii="Cambria Math" w:hAnsi="Cambria Math"/>
                      </w:rPr>
                      <m:t>K</m:t>
                    </m:r>
                  </m:e>
                  <m:sub>
                    <m:sSub>
                      <m:sSubPr>
                        <m:ctrlPr>
                          <w:rPr>
                            <w:rFonts w:ascii="Cambria Math" w:hAnsi="Cambria Math"/>
                            <w:i/>
                          </w:rPr>
                        </m:ctrlPr>
                      </m:sSubPr>
                      <m:e>
                        <m:r>
                          <w:rPr>
                            <w:rFonts w:ascii="Cambria Math" w:hAnsi="Cambria Math"/>
                          </w:rPr>
                          <m:t>CH</m:t>
                        </m:r>
                      </m:e>
                      <m:sub>
                        <m:r>
                          <w:rPr>
                            <w:rFonts w:ascii="Cambria Math" w:hAnsi="Cambria Math"/>
                          </w:rPr>
                          <m:t>4</m:t>
                        </m:r>
                      </m:sub>
                    </m:sSub>
                  </m:sub>
                  <m:sup>
                    <m:r>
                      <w:rPr>
                        <w:rFonts w:ascii="Cambria Math" w:hAnsi="Cambria Math"/>
                      </w:rPr>
                      <m:t>a</m:t>
                    </m:r>
                    <m:sSub>
                      <m:sSubPr>
                        <m:ctrlPr>
                          <w:rPr>
                            <w:rFonts w:ascii="Cambria Math" w:hAnsi="Cambria Math"/>
                            <w:i/>
                          </w:rPr>
                        </m:ctrlPr>
                      </m:sSubPr>
                      <m:e>
                        <m:r>
                          <w:rPr>
                            <w:rFonts w:ascii="Cambria Math" w:hAnsi="Cambria Math"/>
                          </w:rPr>
                          <m:t>d</m:t>
                        </m:r>
                      </m:e>
                      <m:sub>
                        <m:r>
                          <w:rPr>
                            <w:rFonts w:ascii="Cambria Math" w:hAnsi="Cambria Math"/>
                          </w:rPr>
                          <m:t>2</m:t>
                        </m:r>
                      </m:sub>
                    </m:sSub>
                  </m:sup>
                </m:sSubSup>
              </m:oMath>
            </m:oMathPara>
          </w:p>
        </w:tc>
        <w:tc>
          <w:tcPr>
            <w:tcW w:w="1701" w:type="dxa"/>
          </w:tcPr>
          <w:p w14:paraId="3B3E85B7" w14:textId="77777777" w:rsidR="00A93D24" w:rsidRDefault="00A93D24" w:rsidP="002E7584">
            <w:pPr>
              <w:ind w:firstLine="0"/>
              <w:jc w:val="center"/>
            </w:pPr>
            <m:oMathPara>
              <m:oMath>
                <m:r>
                  <w:rPr>
                    <w:rFonts w:ascii="Cambria Math" w:hAnsi="Cambria Math"/>
                  </w:rPr>
                  <m:t>ba</m:t>
                </m:r>
                <m:sSup>
                  <m:sSupPr>
                    <m:ctrlPr>
                      <w:rPr>
                        <w:rFonts w:ascii="Cambria Math" w:hAnsi="Cambria Math"/>
                        <w:i/>
                      </w:rPr>
                    </m:ctrlPr>
                  </m:sSupPr>
                  <m:e>
                    <m:r>
                      <w:rPr>
                        <w:rFonts w:ascii="Cambria Math" w:hAnsi="Cambria Math"/>
                      </w:rPr>
                      <m:t>r</m:t>
                    </m:r>
                  </m:e>
                  <m:sup>
                    <m:r>
                      <w:rPr>
                        <w:rFonts w:ascii="Cambria Math" w:hAnsi="Cambria Math"/>
                      </w:rPr>
                      <m:t>-1</m:t>
                    </m:r>
                  </m:sup>
                </m:sSup>
              </m:oMath>
            </m:oMathPara>
          </w:p>
        </w:tc>
        <w:tc>
          <w:tcPr>
            <w:tcW w:w="4947" w:type="dxa"/>
            <w:vAlign w:val="center"/>
          </w:tcPr>
          <w:p w14:paraId="689C8C27" w14:textId="0B695859" w:rsidR="00A93D24" w:rsidRDefault="00A93D24" w:rsidP="002E7584">
            <w:pPr>
              <w:ind w:firstLine="0"/>
              <w:jc w:val="center"/>
            </w:pPr>
            <m:oMathPara>
              <m:oMath>
                <m:r>
                  <w:rPr>
                    <w:rFonts w:ascii="Cambria Math" w:hAnsi="Cambria Math"/>
                  </w:rPr>
                  <m:t>1.19*</m:t>
                </m:r>
                <m:sSup>
                  <m:sSupPr>
                    <m:ctrlPr>
                      <w:rPr>
                        <w:rFonts w:ascii="Cambria Math" w:hAnsi="Cambria Math"/>
                        <w:i/>
                      </w:rPr>
                    </m:ctrlPr>
                  </m:sSupPr>
                  <m:e>
                    <m:r>
                      <w:rPr>
                        <w:rFonts w:ascii="Cambria Math" w:hAnsi="Cambria Math"/>
                      </w:rPr>
                      <m:t>10</m:t>
                    </m:r>
                  </m:e>
                  <m:sup>
                    <m:r>
                      <w:rPr>
                        <w:rFonts w:ascii="Cambria Math" w:hAnsi="Cambria Math"/>
                      </w:rPr>
                      <m:t>-1</m:t>
                    </m:r>
                  </m:sup>
                </m:sSup>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f>
                          <m:fPr>
                            <m:ctrlPr>
                              <w:rPr>
                                <w:rFonts w:ascii="Cambria Math" w:hAnsi="Cambria Math"/>
                                <w:i/>
                              </w:rPr>
                            </m:ctrlPr>
                          </m:fPr>
                          <m:num>
                            <m:r>
                              <w:rPr>
                                <w:rFonts w:ascii="Cambria Math" w:hAnsi="Cambria Math"/>
                              </w:rPr>
                              <m:t>44070</m:t>
                            </m:r>
                          </m:num>
                          <m:den>
                            <m:r>
                              <w:rPr>
                                <w:rFonts w:ascii="Cambria Math" w:hAnsi="Cambria Math"/>
                              </w:rPr>
                              <m:t>R</m:t>
                            </m:r>
                          </m:den>
                        </m:f>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PEN</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ref</m:t>
                                    </m:r>
                                  </m:sub>
                                </m:sSub>
                              </m:den>
                            </m:f>
                          </m:e>
                        </m:d>
                      </m:e>
                    </m:d>
                  </m:e>
                </m:func>
              </m:oMath>
            </m:oMathPara>
          </w:p>
        </w:tc>
        <w:tc>
          <w:tcPr>
            <w:tcW w:w="1350" w:type="dxa"/>
          </w:tcPr>
          <w:p w14:paraId="58B9A9BB" w14:textId="524926EA" w:rsidR="00A93D24" w:rsidRDefault="00A93D24" w:rsidP="002E7584">
            <w:pPr>
              <w:ind w:firstLine="0"/>
            </w:pPr>
            <w:r>
              <w:fldChar w:fldCharType="begin"/>
            </w:r>
            <w:r w:rsidR="00CA7A9D">
              <w:instrText xml:space="preserve"> ADDIN ZOTERO_ITEM CSL_CITATION {"citationID":"ZEHhdVX2","properties":{"formattedCitation":"[64]","plainCitation":"[64]","noteIndex":0},"citationItems":[{"id":744,"uris":["http://zotero.org/users/12063231/items/6QIVDYJ5"],"itemData":{"id":744,"type":"article-journal","abstract":"A kinetic model was developed for the methane dehydroaromatization over a Mo2C/H-ZSM5 catalyst. Because the experimental observations show that the reaction and deactivation simultaneously take place in the catalyst activation (carburization) stage, the initial simulation time was specified as the time at which the activation was completed and the initial activities under each operating condition were estimated. The estimated values show that the initial activity of the Mo2C site is low in the early stage of the catalyst bed, which is probably due to the carbonization, while that of the H-ZSM5 site is very low in the later stage of the bed due to the encapsulation of coupled aromatics caused by the low confinement of Mo2C in the zeolite. Kinetic models were developed for the reaction and deactivation and the kinetic parameters were estimated by fitting the experimental data that were obtained after the activation was completed. The simulated results are in good agreement with the experimental data. The deactivation model indicates a higher temperature dependency of the Mo2C site compared with the H-ZSM5 site. In addition, the benzene and toluene yields abruptly decrease at very high temperature, indicating that a too high temperature should be avoided, although high temperatures are favored because of the endothermic characteristics of the production rate.","collection-title":"Special Issue for the 17th Korea-Japan Symposium on Catalysis","container-title":"Catalysis Today","DOI":"10.1016/j.cattod.2019.09.002","ISSN":"0920-5861","journalAbbreviation":"Catalysis Today","page":"140-147","source":"ScienceDirect","title":"Kinetic modeling of methane dehydroaromatization over a Mo2C/H-ZSM5 catalyst: Different deactivation behaviors of the Mo2C and H-ZSM5 sites","title-short":"Kinetic modeling of methane dehydroaromatization over a Mo2C/H-ZSM5 catalyst","volume":"352","author":[{"family":"Jeong","given":"Jaehun"},{"family":"Hwang","given":"Ahron"},{"family":"Kim","given":"Yong Tae"},{"family":"Hong","given":"Do-Young"},{"family":"Park","given":"Myung-June"}],"issued":{"date-parts":[["2020",8,1]]}}}],"schema":"https://github.com/citation-style-language/schema/raw/master/csl-citation.json"} </w:instrText>
            </w:r>
            <w:r>
              <w:fldChar w:fldCharType="separate"/>
            </w:r>
            <w:r w:rsidR="00CA7A9D" w:rsidRPr="00CA7A9D">
              <w:rPr>
                <w:rFonts w:ascii="Aptos" w:hAnsi="Aptos"/>
              </w:rPr>
              <w:t>[64]</w:t>
            </w:r>
            <w:r>
              <w:fldChar w:fldCharType="end"/>
            </w:r>
          </w:p>
        </w:tc>
      </w:tr>
      <w:tr w:rsidR="00A93D24" w14:paraId="5C5E1F76" w14:textId="77777777" w:rsidTr="0043723E">
        <w:trPr>
          <w:jc w:val="center"/>
        </w:trPr>
        <w:tc>
          <w:tcPr>
            <w:tcW w:w="1177" w:type="dxa"/>
          </w:tcPr>
          <w:p w14:paraId="5C9F91FD" w14:textId="77777777" w:rsidR="00A93D24" w:rsidRDefault="00924E48" w:rsidP="002E7584">
            <w:pPr>
              <w:ind w:firstLine="0"/>
              <w:jc w:val="center"/>
            </w:pPr>
            <m:oMathPara>
              <m:oMath>
                <m:sSubSup>
                  <m:sSubSupPr>
                    <m:ctrlPr>
                      <w:rPr>
                        <w:rFonts w:ascii="Cambria Math" w:hAnsi="Cambria Math"/>
                        <w:i/>
                      </w:rPr>
                    </m:ctrlPr>
                  </m:sSubSupPr>
                  <m:e>
                    <m:r>
                      <w:rPr>
                        <w:rFonts w:ascii="Cambria Math" w:hAnsi="Cambria Math"/>
                      </w:rPr>
                      <m:t>K</m:t>
                    </m:r>
                  </m:e>
                  <m: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H</m:t>
                        </m:r>
                      </m:e>
                      <m:sub>
                        <m:r>
                          <w:rPr>
                            <w:rFonts w:ascii="Cambria Math" w:hAnsi="Cambria Math"/>
                          </w:rPr>
                          <m:t>4</m:t>
                        </m:r>
                      </m:sub>
                    </m:sSub>
                  </m:sub>
                  <m:sup>
                    <m:r>
                      <w:rPr>
                        <w:rFonts w:ascii="Cambria Math" w:hAnsi="Cambria Math"/>
                      </w:rPr>
                      <m:t>a</m:t>
                    </m:r>
                    <m:sSub>
                      <m:sSubPr>
                        <m:ctrlPr>
                          <w:rPr>
                            <w:rFonts w:ascii="Cambria Math" w:hAnsi="Cambria Math"/>
                            <w:i/>
                          </w:rPr>
                        </m:ctrlPr>
                      </m:sSubPr>
                      <m:e>
                        <m:r>
                          <w:rPr>
                            <w:rFonts w:ascii="Cambria Math" w:hAnsi="Cambria Math"/>
                          </w:rPr>
                          <m:t>d</m:t>
                        </m:r>
                      </m:e>
                      <m:sub>
                        <m:r>
                          <w:rPr>
                            <w:rFonts w:ascii="Cambria Math" w:hAnsi="Cambria Math"/>
                          </w:rPr>
                          <m:t>2</m:t>
                        </m:r>
                      </m:sub>
                    </m:sSub>
                  </m:sup>
                </m:sSubSup>
              </m:oMath>
            </m:oMathPara>
          </w:p>
        </w:tc>
        <w:tc>
          <w:tcPr>
            <w:tcW w:w="1701" w:type="dxa"/>
          </w:tcPr>
          <w:p w14:paraId="70B07CA9" w14:textId="77777777" w:rsidR="00A93D24" w:rsidRDefault="00A93D24" w:rsidP="002E7584">
            <w:pPr>
              <w:ind w:firstLine="0"/>
              <w:jc w:val="center"/>
            </w:pPr>
            <m:oMathPara>
              <m:oMath>
                <m:r>
                  <w:rPr>
                    <w:rFonts w:ascii="Cambria Math" w:hAnsi="Cambria Math"/>
                  </w:rPr>
                  <m:t>ba</m:t>
                </m:r>
                <m:sSup>
                  <m:sSupPr>
                    <m:ctrlPr>
                      <w:rPr>
                        <w:rFonts w:ascii="Cambria Math" w:hAnsi="Cambria Math"/>
                        <w:i/>
                      </w:rPr>
                    </m:ctrlPr>
                  </m:sSupPr>
                  <m:e>
                    <m:r>
                      <w:rPr>
                        <w:rFonts w:ascii="Cambria Math" w:hAnsi="Cambria Math"/>
                      </w:rPr>
                      <m:t>r</m:t>
                    </m:r>
                  </m:e>
                  <m:sup>
                    <m:r>
                      <w:rPr>
                        <w:rFonts w:ascii="Cambria Math" w:hAnsi="Cambria Math"/>
                      </w:rPr>
                      <m:t>-1</m:t>
                    </m:r>
                  </m:sup>
                </m:sSup>
              </m:oMath>
            </m:oMathPara>
          </w:p>
        </w:tc>
        <w:tc>
          <w:tcPr>
            <w:tcW w:w="4947" w:type="dxa"/>
            <w:vAlign w:val="center"/>
          </w:tcPr>
          <w:p w14:paraId="3DAB52DC" w14:textId="77777777" w:rsidR="00A93D24" w:rsidRDefault="00A93D24" w:rsidP="002E7584">
            <w:pPr>
              <w:ind w:firstLine="0"/>
              <w:jc w:val="center"/>
            </w:pPr>
            <m:oMathPara>
              <m:oMath>
                <m:r>
                  <w:rPr>
                    <w:rFonts w:ascii="Cambria Math" w:hAnsi="Cambria Math"/>
                  </w:rPr>
                  <m:t>2.27*</m:t>
                </m:r>
                <m:sSup>
                  <m:sSupPr>
                    <m:ctrlPr>
                      <w:rPr>
                        <w:rFonts w:ascii="Cambria Math" w:hAnsi="Cambria Math"/>
                        <w:i/>
                      </w:rPr>
                    </m:ctrlPr>
                  </m:sSupPr>
                  <m:e>
                    <m:r>
                      <w:rPr>
                        <w:rFonts w:ascii="Cambria Math" w:hAnsi="Cambria Math"/>
                      </w:rPr>
                      <m:t>10</m:t>
                    </m:r>
                  </m:e>
                  <m:sup>
                    <m:r>
                      <w:rPr>
                        <w:rFonts w:ascii="Cambria Math" w:hAnsi="Cambria Math"/>
                      </w:rPr>
                      <m:t>-1</m:t>
                    </m:r>
                  </m:sup>
                </m:sSup>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f>
                          <m:fPr>
                            <m:ctrlPr>
                              <w:rPr>
                                <w:rFonts w:ascii="Cambria Math" w:hAnsi="Cambria Math"/>
                                <w:i/>
                              </w:rPr>
                            </m:ctrlPr>
                          </m:fPr>
                          <m:num>
                            <m:r>
                              <w:rPr>
                                <w:rFonts w:ascii="Cambria Math" w:hAnsi="Cambria Math"/>
                              </w:rPr>
                              <m:t>128700</m:t>
                            </m:r>
                          </m:num>
                          <m:den>
                            <m:r>
                              <w:rPr>
                                <w:rFonts w:ascii="Cambria Math" w:hAnsi="Cambria Math"/>
                              </w:rPr>
                              <m:t>R</m:t>
                            </m:r>
                          </m:den>
                        </m:f>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PEN</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ref</m:t>
                                    </m:r>
                                  </m:sub>
                                </m:sSub>
                              </m:den>
                            </m:f>
                          </m:e>
                        </m:d>
                      </m:e>
                    </m:d>
                  </m:e>
                </m:func>
              </m:oMath>
            </m:oMathPara>
          </w:p>
        </w:tc>
        <w:tc>
          <w:tcPr>
            <w:tcW w:w="1350" w:type="dxa"/>
          </w:tcPr>
          <w:p w14:paraId="70969850" w14:textId="08C35BE0" w:rsidR="00A93D24" w:rsidRDefault="00A93D24" w:rsidP="002E7584">
            <w:pPr>
              <w:ind w:firstLine="0"/>
            </w:pPr>
            <w:r>
              <w:fldChar w:fldCharType="begin"/>
            </w:r>
            <w:r w:rsidR="00CA7A9D">
              <w:instrText xml:space="preserve"> ADDIN ZOTERO_ITEM CSL_CITATION {"citationID":"oCmqcrYl","properties":{"formattedCitation":"[64]","plainCitation":"[64]","noteIndex":0},"citationItems":[{"id":744,"uris":["http://zotero.org/users/12063231/items/6QIVDYJ5"],"itemData":{"id":744,"type":"article-journal","abstract":"A kinetic model was developed for the methane dehydroaromatization over a Mo2C/H-ZSM5 catalyst. Because the experimental observations show that the reaction and deactivation simultaneously take place in the catalyst activation (carburization) stage, the initial simulation time was specified as the time at which the activation was completed and the initial activities under each operating condition were estimated. The estimated values show that the initial activity of the Mo2C site is low in the early stage of the catalyst bed, which is probably due to the carbonization, while that of the H-ZSM5 site is very low in the later stage of the bed due to the encapsulation of coupled aromatics caused by the low confinement of Mo2C in the zeolite. Kinetic models were developed for the reaction and deactivation and the kinetic parameters were estimated by fitting the experimental data that were obtained after the activation was completed. The simulated results are in good agreement with the experimental data. The deactivation model indicates a higher temperature dependency of the Mo2C site compared with the H-ZSM5 site. In addition, the benzene and toluene yields abruptly decrease at very high temperature, indicating that a too high temperature should be avoided, although high temperatures are favored because of the endothermic characteristics of the production rate.","collection-title":"Special Issue for the 17th Korea-Japan Symposium on Catalysis","container-title":"Catalysis Today","DOI":"10.1016/j.cattod.2019.09.002","ISSN":"0920-5861","journalAbbreviation":"Catalysis Today","page":"140-147","source":"ScienceDirect","title":"Kinetic modeling of methane dehydroaromatization over a Mo2C/H-ZSM5 catalyst: Different deactivation behaviors of the Mo2C and H-ZSM5 sites","title-short":"Kinetic modeling of methane dehydroaromatization over a Mo2C/H-ZSM5 catalyst","volume":"352","author":[{"family":"Jeong","given":"Jaehun"},{"family":"Hwang","given":"Ahron"},{"family":"Kim","given":"Yong Tae"},{"family":"Hong","given":"Do-Young"},{"family":"Park","given":"Myung-June"}],"issued":{"date-parts":[["2020",8,1]]}}}],"schema":"https://github.com/citation-style-language/schema/raw/master/csl-citation.json"} </w:instrText>
            </w:r>
            <w:r>
              <w:fldChar w:fldCharType="separate"/>
            </w:r>
            <w:r w:rsidR="00CA7A9D" w:rsidRPr="00CA7A9D">
              <w:rPr>
                <w:rFonts w:ascii="Aptos" w:hAnsi="Aptos"/>
              </w:rPr>
              <w:t>[64]</w:t>
            </w:r>
            <w:r>
              <w:fldChar w:fldCharType="end"/>
            </w:r>
          </w:p>
        </w:tc>
      </w:tr>
      <w:tr w:rsidR="00A93D24" w14:paraId="3BAB272F" w14:textId="77777777" w:rsidTr="0043723E">
        <w:trPr>
          <w:jc w:val="center"/>
        </w:trPr>
        <w:tc>
          <w:tcPr>
            <w:tcW w:w="1177" w:type="dxa"/>
          </w:tcPr>
          <w:p w14:paraId="21E9C903" w14:textId="77777777" w:rsidR="00A93D24" w:rsidRDefault="00924E48" w:rsidP="002E7584">
            <w:pPr>
              <w:ind w:firstLine="0"/>
              <w:jc w:val="center"/>
            </w:pPr>
            <m:oMathPara>
              <m:oMath>
                <m:sSubSup>
                  <m:sSubSupPr>
                    <m:ctrlPr>
                      <w:rPr>
                        <w:rFonts w:ascii="Cambria Math" w:hAnsi="Cambria Math"/>
                        <w:i/>
                      </w:rPr>
                    </m:ctrlPr>
                  </m:sSubSupPr>
                  <m:e>
                    <m:r>
                      <w:rPr>
                        <w:rFonts w:ascii="Cambria Math" w:hAnsi="Cambria Math"/>
                      </w:rPr>
                      <m:t>K</m:t>
                    </m:r>
                  </m:e>
                  <m: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6</m:t>
                            </m:r>
                          </m:sub>
                        </m:sSub>
                        <m:r>
                          <w:rPr>
                            <w:rFonts w:ascii="Cambria Math" w:hAnsi="Cambria Math"/>
                          </w:rPr>
                          <m:t>H</m:t>
                        </m:r>
                      </m:e>
                      <m:sub>
                        <m:r>
                          <w:rPr>
                            <w:rFonts w:ascii="Cambria Math" w:hAnsi="Cambria Math"/>
                          </w:rPr>
                          <m:t>6</m:t>
                        </m:r>
                      </m:sub>
                    </m:sSub>
                  </m:sub>
                  <m:sup>
                    <m:r>
                      <w:rPr>
                        <w:rFonts w:ascii="Cambria Math" w:hAnsi="Cambria Math"/>
                      </w:rPr>
                      <m:t>a</m:t>
                    </m:r>
                    <m:sSub>
                      <m:sSubPr>
                        <m:ctrlPr>
                          <w:rPr>
                            <w:rFonts w:ascii="Cambria Math" w:hAnsi="Cambria Math"/>
                            <w:i/>
                          </w:rPr>
                        </m:ctrlPr>
                      </m:sSubPr>
                      <m:e>
                        <m:r>
                          <w:rPr>
                            <w:rFonts w:ascii="Cambria Math" w:hAnsi="Cambria Math"/>
                          </w:rPr>
                          <m:t>d</m:t>
                        </m:r>
                      </m:e>
                      <m:sub>
                        <m:r>
                          <w:rPr>
                            <w:rFonts w:ascii="Cambria Math" w:hAnsi="Cambria Math"/>
                          </w:rPr>
                          <m:t>2</m:t>
                        </m:r>
                      </m:sub>
                    </m:sSub>
                  </m:sup>
                </m:sSubSup>
              </m:oMath>
            </m:oMathPara>
          </w:p>
        </w:tc>
        <w:tc>
          <w:tcPr>
            <w:tcW w:w="1701" w:type="dxa"/>
          </w:tcPr>
          <w:p w14:paraId="20D13515" w14:textId="77777777" w:rsidR="00A93D24" w:rsidRDefault="00A93D24" w:rsidP="002E7584">
            <w:pPr>
              <w:ind w:firstLine="0"/>
              <w:jc w:val="center"/>
            </w:pPr>
            <m:oMathPara>
              <m:oMath>
                <m:r>
                  <w:rPr>
                    <w:rFonts w:ascii="Cambria Math" w:hAnsi="Cambria Math"/>
                  </w:rPr>
                  <m:t>ba</m:t>
                </m:r>
                <m:sSup>
                  <m:sSupPr>
                    <m:ctrlPr>
                      <w:rPr>
                        <w:rFonts w:ascii="Cambria Math" w:hAnsi="Cambria Math"/>
                        <w:i/>
                      </w:rPr>
                    </m:ctrlPr>
                  </m:sSupPr>
                  <m:e>
                    <m:r>
                      <w:rPr>
                        <w:rFonts w:ascii="Cambria Math" w:hAnsi="Cambria Math"/>
                      </w:rPr>
                      <m:t>r</m:t>
                    </m:r>
                  </m:e>
                  <m:sup>
                    <m:r>
                      <w:rPr>
                        <w:rFonts w:ascii="Cambria Math" w:hAnsi="Cambria Math"/>
                      </w:rPr>
                      <m:t>-1</m:t>
                    </m:r>
                  </m:sup>
                </m:sSup>
              </m:oMath>
            </m:oMathPara>
          </w:p>
        </w:tc>
        <w:tc>
          <w:tcPr>
            <w:tcW w:w="4947" w:type="dxa"/>
            <w:vAlign w:val="center"/>
          </w:tcPr>
          <w:p w14:paraId="14EE3AED" w14:textId="77777777" w:rsidR="00A93D24" w:rsidRDefault="00A93D24" w:rsidP="002E7584">
            <w:pPr>
              <w:ind w:firstLine="0"/>
              <w:jc w:val="center"/>
            </w:pPr>
            <m:oMathPara>
              <m:oMath>
                <m:r>
                  <w:rPr>
                    <w:rFonts w:ascii="Cambria Math" w:hAnsi="Cambria Math"/>
                  </w:rPr>
                  <m:t>4.88*</m:t>
                </m:r>
                <m:sSup>
                  <m:sSupPr>
                    <m:ctrlPr>
                      <w:rPr>
                        <w:rFonts w:ascii="Cambria Math" w:hAnsi="Cambria Math"/>
                        <w:i/>
                      </w:rPr>
                    </m:ctrlPr>
                  </m:sSupPr>
                  <m:e>
                    <m:r>
                      <w:rPr>
                        <w:rFonts w:ascii="Cambria Math" w:hAnsi="Cambria Math"/>
                      </w:rPr>
                      <m:t>10</m:t>
                    </m:r>
                  </m:e>
                  <m:sup>
                    <m:r>
                      <w:rPr>
                        <w:rFonts w:ascii="Cambria Math" w:hAnsi="Cambria Math"/>
                      </w:rPr>
                      <m:t>-2</m:t>
                    </m:r>
                  </m:sup>
                </m:sSup>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f>
                          <m:fPr>
                            <m:ctrlPr>
                              <w:rPr>
                                <w:rFonts w:ascii="Cambria Math" w:hAnsi="Cambria Math"/>
                                <w:i/>
                              </w:rPr>
                            </m:ctrlPr>
                          </m:fPr>
                          <m:num>
                            <m:r>
                              <w:rPr>
                                <w:rFonts w:ascii="Cambria Math" w:hAnsi="Cambria Math"/>
                              </w:rPr>
                              <m:t>174000</m:t>
                            </m:r>
                          </m:num>
                          <m:den>
                            <m:r>
                              <w:rPr>
                                <w:rFonts w:ascii="Cambria Math" w:hAnsi="Cambria Math"/>
                              </w:rPr>
                              <m:t>R</m:t>
                            </m:r>
                          </m:den>
                        </m:f>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PEN</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ref</m:t>
                                    </m:r>
                                  </m:sub>
                                </m:sSub>
                              </m:den>
                            </m:f>
                          </m:e>
                        </m:d>
                      </m:e>
                    </m:d>
                  </m:e>
                </m:func>
              </m:oMath>
            </m:oMathPara>
          </w:p>
        </w:tc>
        <w:tc>
          <w:tcPr>
            <w:tcW w:w="1350" w:type="dxa"/>
          </w:tcPr>
          <w:p w14:paraId="125756D7" w14:textId="6C021AF6" w:rsidR="00A93D24" w:rsidRDefault="00A93D24" w:rsidP="002E7584">
            <w:pPr>
              <w:ind w:firstLine="0"/>
            </w:pPr>
            <w:r>
              <w:fldChar w:fldCharType="begin"/>
            </w:r>
            <w:r w:rsidR="00CA7A9D">
              <w:instrText xml:space="preserve"> ADDIN ZOTERO_ITEM CSL_CITATION {"citationID":"QGZyxkD6","properties":{"formattedCitation":"[64]","plainCitation":"[64]","noteIndex":0},"citationItems":[{"id":744,"uris":["http://zotero.org/users/12063231/items/6QIVDYJ5"],"itemData":{"id":744,"type":"article-journal","abstract":"A kinetic model was developed for the methane dehydroaromatization over a Mo2C/H-ZSM5 catalyst. Because the experimental observations show that the reaction and deactivation simultaneously take place in the catalyst activation (carburization) stage, the initial simulation time was specified as the time at which the activation was completed and the initial activities under each operating condition were estimated. The estimated values show that the initial activity of the Mo2C site is low in the early stage of the catalyst bed, which is probably due to the carbonization, while that of the H-ZSM5 site is very low in the later stage of the bed due to the encapsulation of coupled aromatics caused by the low confinement of Mo2C in the zeolite. Kinetic models were developed for the reaction and deactivation and the kinetic parameters were estimated by fitting the experimental data that were obtained after the activation was completed. The simulated results are in good agreement with the experimental data. The deactivation model indicates a higher temperature dependency of the Mo2C site compared with the H-ZSM5 site. In addition, the benzene and toluene yields abruptly decrease at very high temperature, indicating that a too high temperature should be avoided, although high temperatures are favored because of the endothermic characteristics of the production rate.","collection-title":"Special Issue for the 17th Korea-Japan Symposium on Catalysis","container-title":"Catalysis Today","DOI":"10.1016/j.cattod.2019.09.002","ISSN":"0920-5861","journalAbbreviation":"Catalysis Today","page":"140-147","source":"ScienceDirect","title":"Kinetic modeling of methane dehydroaromatization over a Mo2C/H-ZSM5 catalyst: Different deactivation behaviors of the Mo2C and H-ZSM5 sites","title-short":"Kinetic modeling of methane dehydroaromatization over a Mo2C/H-ZSM5 catalyst","volume":"352","author":[{"family":"Jeong","given":"Jaehun"},{"family":"Hwang","given":"Ahron"},{"family":"Kim","given":"Yong Tae"},{"family":"Hong","given":"Do-Young"},{"family":"Park","given":"Myung-June"}],"issued":{"date-parts":[["2020",8,1]]}}}],"schema":"https://github.com/citation-style-language/schema/raw/master/csl-citation.json"} </w:instrText>
            </w:r>
            <w:r>
              <w:fldChar w:fldCharType="separate"/>
            </w:r>
            <w:r w:rsidR="00CA7A9D" w:rsidRPr="00CA7A9D">
              <w:rPr>
                <w:rFonts w:ascii="Aptos" w:hAnsi="Aptos"/>
              </w:rPr>
              <w:t>[64]</w:t>
            </w:r>
            <w:r>
              <w:fldChar w:fldCharType="end"/>
            </w:r>
          </w:p>
        </w:tc>
      </w:tr>
      <w:tr w:rsidR="00A93D24" w14:paraId="58D882F0" w14:textId="77777777" w:rsidTr="0043723E">
        <w:trPr>
          <w:jc w:val="center"/>
        </w:trPr>
        <w:tc>
          <w:tcPr>
            <w:tcW w:w="1177" w:type="dxa"/>
          </w:tcPr>
          <w:p w14:paraId="300B0EF1" w14:textId="77777777" w:rsidR="00A93D24" w:rsidRDefault="00924E48" w:rsidP="002E7584">
            <w:pPr>
              <w:ind w:firstLine="0"/>
              <w:jc w:val="center"/>
            </w:pPr>
            <m:oMathPara>
              <m:oMath>
                <m:sSubSup>
                  <m:sSubSupPr>
                    <m:ctrlPr>
                      <w:rPr>
                        <w:rFonts w:ascii="Cambria Math" w:hAnsi="Cambria Math"/>
                        <w:i/>
                      </w:rPr>
                    </m:ctrlPr>
                  </m:sSubSupPr>
                  <m:e>
                    <m:r>
                      <w:rPr>
                        <w:rFonts w:ascii="Cambria Math" w:hAnsi="Cambria Math"/>
                      </w:rPr>
                      <m:t>K</m:t>
                    </m:r>
                  </m:e>
                  <m:sub>
                    <m:sSub>
                      <m:sSubPr>
                        <m:ctrlPr>
                          <w:rPr>
                            <w:rFonts w:ascii="Cambria Math" w:hAnsi="Cambria Math"/>
                            <w:i/>
                          </w:rPr>
                        </m:ctrlPr>
                      </m:sSubPr>
                      <m:e>
                        <m:r>
                          <w:rPr>
                            <w:rFonts w:ascii="Cambria Math" w:hAnsi="Cambria Math"/>
                          </w:rPr>
                          <m:t>C</m:t>
                        </m:r>
                      </m:e>
                      <m:sub>
                        <m:r>
                          <w:rPr>
                            <w:rFonts w:ascii="Cambria Math" w:hAnsi="Cambria Math"/>
                          </w:rPr>
                          <m:t>7</m:t>
                        </m:r>
                      </m:sub>
                    </m:sSub>
                    <m:sSub>
                      <m:sSubPr>
                        <m:ctrlPr>
                          <w:rPr>
                            <w:rFonts w:ascii="Cambria Math" w:hAnsi="Cambria Math"/>
                            <w:i/>
                          </w:rPr>
                        </m:ctrlPr>
                      </m:sSubPr>
                      <m:e>
                        <m:r>
                          <w:rPr>
                            <w:rFonts w:ascii="Cambria Math" w:hAnsi="Cambria Math"/>
                          </w:rPr>
                          <m:t>H</m:t>
                        </m:r>
                      </m:e>
                      <m:sub>
                        <m:r>
                          <w:rPr>
                            <w:rFonts w:ascii="Cambria Math" w:hAnsi="Cambria Math"/>
                          </w:rPr>
                          <m:t>8</m:t>
                        </m:r>
                      </m:sub>
                    </m:sSub>
                  </m:sub>
                  <m:sup>
                    <m:r>
                      <w:rPr>
                        <w:rFonts w:ascii="Cambria Math" w:hAnsi="Cambria Math"/>
                      </w:rPr>
                      <m:t>a</m:t>
                    </m:r>
                    <m:sSub>
                      <m:sSubPr>
                        <m:ctrlPr>
                          <w:rPr>
                            <w:rFonts w:ascii="Cambria Math" w:hAnsi="Cambria Math"/>
                            <w:i/>
                          </w:rPr>
                        </m:ctrlPr>
                      </m:sSubPr>
                      <m:e>
                        <m:r>
                          <w:rPr>
                            <w:rFonts w:ascii="Cambria Math" w:hAnsi="Cambria Math"/>
                          </w:rPr>
                          <m:t>d</m:t>
                        </m:r>
                      </m:e>
                      <m:sub>
                        <m:r>
                          <w:rPr>
                            <w:rFonts w:ascii="Cambria Math" w:hAnsi="Cambria Math"/>
                          </w:rPr>
                          <m:t>2</m:t>
                        </m:r>
                      </m:sub>
                    </m:sSub>
                  </m:sup>
                </m:sSubSup>
              </m:oMath>
            </m:oMathPara>
          </w:p>
        </w:tc>
        <w:tc>
          <w:tcPr>
            <w:tcW w:w="1701" w:type="dxa"/>
          </w:tcPr>
          <w:p w14:paraId="3348F75D" w14:textId="77777777" w:rsidR="00A93D24" w:rsidRDefault="00A93D24" w:rsidP="002E7584">
            <w:pPr>
              <w:ind w:firstLine="0"/>
              <w:jc w:val="center"/>
            </w:pPr>
            <m:oMathPara>
              <m:oMath>
                <m:r>
                  <w:rPr>
                    <w:rFonts w:ascii="Cambria Math" w:hAnsi="Cambria Math"/>
                  </w:rPr>
                  <m:t>ba</m:t>
                </m:r>
                <m:sSup>
                  <m:sSupPr>
                    <m:ctrlPr>
                      <w:rPr>
                        <w:rFonts w:ascii="Cambria Math" w:hAnsi="Cambria Math"/>
                        <w:i/>
                      </w:rPr>
                    </m:ctrlPr>
                  </m:sSupPr>
                  <m:e>
                    <m:r>
                      <w:rPr>
                        <w:rFonts w:ascii="Cambria Math" w:hAnsi="Cambria Math"/>
                      </w:rPr>
                      <m:t>r</m:t>
                    </m:r>
                  </m:e>
                  <m:sup>
                    <m:r>
                      <w:rPr>
                        <w:rFonts w:ascii="Cambria Math" w:hAnsi="Cambria Math"/>
                      </w:rPr>
                      <m:t>-1</m:t>
                    </m:r>
                  </m:sup>
                </m:sSup>
              </m:oMath>
            </m:oMathPara>
          </w:p>
        </w:tc>
        <w:tc>
          <w:tcPr>
            <w:tcW w:w="4947" w:type="dxa"/>
            <w:vAlign w:val="center"/>
          </w:tcPr>
          <w:p w14:paraId="11466D06" w14:textId="77777777" w:rsidR="00A93D24" w:rsidRDefault="00A93D24" w:rsidP="002E7584">
            <w:pPr>
              <w:ind w:firstLine="0"/>
              <w:jc w:val="center"/>
            </w:pPr>
            <m:oMathPara>
              <m:oMath>
                <m:r>
                  <w:rPr>
                    <w:rFonts w:ascii="Cambria Math" w:hAnsi="Cambria Math"/>
                  </w:rPr>
                  <m:t>5.22*</m:t>
                </m:r>
                <m:sSup>
                  <m:sSupPr>
                    <m:ctrlPr>
                      <w:rPr>
                        <w:rFonts w:ascii="Cambria Math" w:hAnsi="Cambria Math"/>
                        <w:i/>
                      </w:rPr>
                    </m:ctrlPr>
                  </m:sSupPr>
                  <m:e>
                    <m:r>
                      <w:rPr>
                        <w:rFonts w:ascii="Cambria Math" w:hAnsi="Cambria Math"/>
                      </w:rPr>
                      <m:t>10</m:t>
                    </m:r>
                  </m:e>
                  <m:sup>
                    <m:r>
                      <w:rPr>
                        <w:rFonts w:ascii="Cambria Math" w:hAnsi="Cambria Math"/>
                      </w:rPr>
                      <m:t>-2</m:t>
                    </m:r>
                  </m:sup>
                </m:sSup>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f>
                          <m:fPr>
                            <m:ctrlPr>
                              <w:rPr>
                                <w:rFonts w:ascii="Cambria Math" w:hAnsi="Cambria Math"/>
                                <w:i/>
                              </w:rPr>
                            </m:ctrlPr>
                          </m:fPr>
                          <m:num>
                            <m:r>
                              <w:rPr>
                                <w:rFonts w:ascii="Cambria Math" w:hAnsi="Cambria Math"/>
                              </w:rPr>
                              <m:t>34850</m:t>
                            </m:r>
                          </m:num>
                          <m:den>
                            <m:r>
                              <w:rPr>
                                <w:rFonts w:ascii="Cambria Math" w:hAnsi="Cambria Math"/>
                              </w:rPr>
                              <m:t>R</m:t>
                            </m:r>
                          </m:den>
                        </m:f>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PEN</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ref</m:t>
                                    </m:r>
                                  </m:sub>
                                </m:sSub>
                              </m:den>
                            </m:f>
                          </m:e>
                        </m:d>
                      </m:e>
                    </m:d>
                  </m:e>
                </m:func>
              </m:oMath>
            </m:oMathPara>
          </w:p>
        </w:tc>
        <w:tc>
          <w:tcPr>
            <w:tcW w:w="1350" w:type="dxa"/>
          </w:tcPr>
          <w:p w14:paraId="55D14889" w14:textId="00943864" w:rsidR="00A93D24" w:rsidRDefault="00A93D24" w:rsidP="002E7584">
            <w:pPr>
              <w:ind w:firstLine="0"/>
            </w:pPr>
            <w:r>
              <w:fldChar w:fldCharType="begin"/>
            </w:r>
            <w:r w:rsidR="00CA7A9D">
              <w:instrText xml:space="preserve"> ADDIN ZOTERO_ITEM CSL_CITATION {"citationID":"DHOVNfDt","properties":{"formattedCitation":"[64]","plainCitation":"[64]","noteIndex":0},"citationItems":[{"id":744,"uris":["http://zotero.org/users/12063231/items/6QIVDYJ5"],"itemData":{"id":744,"type":"article-journal","abstract":"A kinetic model was developed for the methane dehydroaromatization over a Mo2C/H-ZSM5 catalyst. Because the experimental observations show that the reaction and deactivation simultaneously take place in the catalyst activation (carburization) stage, the initial simulation time was specified as the time at which the activation was completed and the initial activities under each operating condition were estimated. The estimated values show that the initial activity of the Mo2C site is low in the early stage of the catalyst bed, which is probably due to the carbonization, while that of the H-ZSM5 site is very low in the later stage of the bed due to the encapsulation of coupled aromatics caused by the low confinement of Mo2C in the zeolite. Kinetic models were developed for the reaction and deactivation and the kinetic parameters were estimated by fitting the experimental data that were obtained after the activation was completed. The simulated results are in good agreement with the experimental data. The deactivation model indicates a higher temperature dependency of the Mo2C site compared with the H-ZSM5 site. In addition, the benzene and toluene yields abruptly decrease at very high temperature, indicating that a too high temperature should be avoided, although high temperatures are favored because of the endothermic characteristics of the production rate.","collection-title":"Special Issue for the 17th Korea-Japan Symposium on Catalysis","container-title":"Catalysis Today","DOI":"10.1016/j.cattod.2019.09.002","ISSN":"0920-5861","journalAbbreviation":"Catalysis Today","page":"140-147","source":"ScienceDirect","title":"Kinetic modeling of methane dehydroaromatization over a Mo2C/H-ZSM5 catalyst: Different deactivation behaviors of the Mo2C and H-ZSM5 sites","title-short":"Kinetic modeling of methane dehydroaromatization over a Mo2C/H-ZSM5 catalyst","volume":"352","author":[{"family":"Jeong","given":"Jaehun"},{"family":"Hwang","given":"Ahron"},{"family":"Kim","given":"Yong Tae"},{"family":"Hong","given":"Do-Young"},{"family":"Park","given":"Myung-June"}],"issued":{"date-parts":[["2020",8,1]]}}}],"schema":"https://github.com/citation-style-language/schema/raw/master/csl-citation.json"} </w:instrText>
            </w:r>
            <w:r>
              <w:fldChar w:fldCharType="separate"/>
            </w:r>
            <w:r w:rsidR="00CA7A9D" w:rsidRPr="00CA7A9D">
              <w:rPr>
                <w:rFonts w:ascii="Aptos" w:hAnsi="Aptos"/>
              </w:rPr>
              <w:t>[64]</w:t>
            </w:r>
            <w:r>
              <w:fldChar w:fldCharType="end"/>
            </w:r>
          </w:p>
        </w:tc>
      </w:tr>
      <w:tr w:rsidR="00A93D24" w14:paraId="1B5CA7C1" w14:textId="77777777" w:rsidTr="0043723E">
        <w:trPr>
          <w:jc w:val="center"/>
        </w:trPr>
        <w:tc>
          <w:tcPr>
            <w:tcW w:w="1177" w:type="dxa"/>
          </w:tcPr>
          <w:p w14:paraId="052422DC" w14:textId="77777777" w:rsidR="00A93D24" w:rsidRDefault="00924E48" w:rsidP="002E7584">
            <w:pPr>
              <w:ind w:firstLine="0"/>
              <w:jc w:val="center"/>
            </w:pPr>
            <m:oMathPara>
              <m:oMath>
                <m:sSubSup>
                  <m:sSubSupPr>
                    <m:ctrlPr>
                      <w:rPr>
                        <w:rFonts w:ascii="Cambria Math" w:hAnsi="Cambria Math"/>
                        <w:i/>
                      </w:rPr>
                    </m:ctrlPr>
                  </m:sSubSupPr>
                  <m:e>
                    <m:r>
                      <w:rPr>
                        <w:rFonts w:ascii="Cambria Math" w:hAnsi="Cambria Math"/>
                      </w:rPr>
                      <m:t>K</m:t>
                    </m:r>
                  </m:e>
                  <m:sub>
                    <m:r>
                      <w:rPr>
                        <w:rFonts w:ascii="Cambria Math" w:hAnsi="Cambria Math"/>
                      </w:rPr>
                      <m:t>CO</m:t>
                    </m:r>
                  </m:sub>
                  <m:sup>
                    <m:r>
                      <w:rPr>
                        <w:rFonts w:ascii="Cambria Math" w:hAnsi="Cambria Math"/>
                      </w:rPr>
                      <m:t>a</m:t>
                    </m:r>
                    <m:sSub>
                      <m:sSubPr>
                        <m:ctrlPr>
                          <w:rPr>
                            <w:rFonts w:ascii="Cambria Math" w:hAnsi="Cambria Math"/>
                            <w:i/>
                          </w:rPr>
                        </m:ctrlPr>
                      </m:sSubPr>
                      <m:e>
                        <m:r>
                          <w:rPr>
                            <w:rFonts w:ascii="Cambria Math" w:hAnsi="Cambria Math"/>
                          </w:rPr>
                          <m:t>d</m:t>
                        </m:r>
                      </m:e>
                      <m:sub>
                        <m:r>
                          <w:rPr>
                            <w:rFonts w:ascii="Cambria Math" w:hAnsi="Cambria Math"/>
                          </w:rPr>
                          <m:t>1</m:t>
                        </m:r>
                      </m:sub>
                    </m:sSub>
                  </m:sup>
                </m:sSubSup>
              </m:oMath>
            </m:oMathPara>
          </w:p>
        </w:tc>
        <w:tc>
          <w:tcPr>
            <w:tcW w:w="1701" w:type="dxa"/>
          </w:tcPr>
          <w:p w14:paraId="5659F417" w14:textId="77777777" w:rsidR="00A93D24" w:rsidRDefault="00A93D24" w:rsidP="002E7584">
            <w:pPr>
              <w:ind w:firstLine="0"/>
              <w:jc w:val="center"/>
            </w:pPr>
            <m:oMathPara>
              <m:oMath>
                <m:r>
                  <w:rPr>
                    <w:rFonts w:ascii="Cambria Math" w:hAnsi="Cambria Math"/>
                  </w:rPr>
                  <m:t>ba</m:t>
                </m:r>
                <m:sSup>
                  <m:sSupPr>
                    <m:ctrlPr>
                      <w:rPr>
                        <w:rFonts w:ascii="Cambria Math" w:hAnsi="Cambria Math"/>
                        <w:i/>
                      </w:rPr>
                    </m:ctrlPr>
                  </m:sSupPr>
                  <m:e>
                    <m:r>
                      <w:rPr>
                        <w:rFonts w:ascii="Cambria Math" w:hAnsi="Cambria Math"/>
                      </w:rPr>
                      <m:t>r</m:t>
                    </m:r>
                  </m:e>
                  <m:sup>
                    <m:r>
                      <w:rPr>
                        <w:rFonts w:ascii="Cambria Math" w:hAnsi="Cambria Math"/>
                      </w:rPr>
                      <m:t>-1</m:t>
                    </m:r>
                  </m:sup>
                </m:sSup>
              </m:oMath>
            </m:oMathPara>
          </w:p>
        </w:tc>
        <w:tc>
          <w:tcPr>
            <w:tcW w:w="4947" w:type="dxa"/>
            <w:vAlign w:val="center"/>
          </w:tcPr>
          <w:p w14:paraId="53F5E99A" w14:textId="77777777" w:rsidR="00A93D24" w:rsidRDefault="00A93D24" w:rsidP="002E7584">
            <w:pPr>
              <w:ind w:firstLine="0"/>
              <w:jc w:val="center"/>
            </w:pPr>
            <m:oMathPara>
              <m:oMath>
                <m:r>
                  <w:rPr>
                    <w:rFonts w:ascii="Cambria Math" w:hAnsi="Cambria Math"/>
                  </w:rPr>
                  <m:t>1.575*</m:t>
                </m:r>
                <m:sSup>
                  <m:sSupPr>
                    <m:ctrlPr>
                      <w:rPr>
                        <w:rFonts w:ascii="Cambria Math" w:hAnsi="Cambria Math"/>
                        <w:i/>
                      </w:rPr>
                    </m:ctrlPr>
                  </m:sSupPr>
                  <m:e>
                    <m:r>
                      <w:rPr>
                        <w:rFonts w:ascii="Cambria Math" w:hAnsi="Cambria Math"/>
                      </w:rPr>
                      <m:t>10</m:t>
                    </m:r>
                  </m:e>
                  <m:sup>
                    <m:r>
                      <w:rPr>
                        <w:rFonts w:ascii="Cambria Math" w:hAnsi="Cambria Math"/>
                      </w:rPr>
                      <m:t>-1</m:t>
                    </m:r>
                  </m:sup>
                </m:sSup>
              </m:oMath>
            </m:oMathPara>
          </w:p>
        </w:tc>
        <w:tc>
          <w:tcPr>
            <w:tcW w:w="1350" w:type="dxa"/>
          </w:tcPr>
          <w:p w14:paraId="1C0F8B38" w14:textId="77777777" w:rsidR="00A93D24" w:rsidRDefault="00A93D24" w:rsidP="002E7584">
            <w:pPr>
              <w:ind w:firstLine="0"/>
            </w:pPr>
            <w:r>
              <w:t>This work</w:t>
            </w:r>
          </w:p>
        </w:tc>
      </w:tr>
      <w:tr w:rsidR="00A93D24" w14:paraId="6FD8DE46" w14:textId="77777777" w:rsidTr="0043723E">
        <w:trPr>
          <w:jc w:val="center"/>
        </w:trPr>
        <w:tc>
          <w:tcPr>
            <w:tcW w:w="1177" w:type="dxa"/>
          </w:tcPr>
          <w:p w14:paraId="4C9C6ABC" w14:textId="77777777" w:rsidR="00A93D24" w:rsidRDefault="00924E48" w:rsidP="002E7584">
            <w:pPr>
              <w:ind w:firstLine="0"/>
              <w:jc w:val="center"/>
            </w:pPr>
            <m:oMathPara>
              <m:oMath>
                <m:sSubSup>
                  <m:sSubSupPr>
                    <m:ctrlPr>
                      <w:rPr>
                        <w:rFonts w:ascii="Cambria Math" w:hAnsi="Cambria Math"/>
                        <w:i/>
                      </w:rPr>
                    </m:ctrlPr>
                  </m:sSubSupPr>
                  <m:e>
                    <m:r>
                      <w:rPr>
                        <w:rFonts w:ascii="Cambria Math" w:hAnsi="Cambria Math"/>
                      </w:rPr>
                      <m:t>K</m:t>
                    </m:r>
                  </m:e>
                  <m:sub>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rPr>
                          <m:t>2</m:t>
                        </m:r>
                      </m:sub>
                    </m:sSub>
                  </m:sub>
                  <m:sup>
                    <m:r>
                      <w:rPr>
                        <w:rFonts w:ascii="Cambria Math" w:hAnsi="Cambria Math"/>
                      </w:rPr>
                      <m:t>a</m:t>
                    </m:r>
                    <m:sSub>
                      <m:sSubPr>
                        <m:ctrlPr>
                          <w:rPr>
                            <w:rFonts w:ascii="Cambria Math" w:hAnsi="Cambria Math"/>
                            <w:i/>
                          </w:rPr>
                        </m:ctrlPr>
                      </m:sSubPr>
                      <m:e>
                        <m:r>
                          <w:rPr>
                            <w:rFonts w:ascii="Cambria Math" w:hAnsi="Cambria Math"/>
                          </w:rPr>
                          <m:t>d</m:t>
                        </m:r>
                      </m:e>
                      <m:sub>
                        <m:r>
                          <w:rPr>
                            <w:rFonts w:ascii="Cambria Math" w:hAnsi="Cambria Math"/>
                          </w:rPr>
                          <m:t>1</m:t>
                        </m:r>
                      </m:sub>
                    </m:sSub>
                  </m:sup>
                </m:sSubSup>
              </m:oMath>
            </m:oMathPara>
          </w:p>
        </w:tc>
        <w:tc>
          <w:tcPr>
            <w:tcW w:w="1701" w:type="dxa"/>
          </w:tcPr>
          <w:p w14:paraId="27B77D0C" w14:textId="77777777" w:rsidR="00A93D24" w:rsidRDefault="00A93D24" w:rsidP="002E7584">
            <w:pPr>
              <w:ind w:firstLine="0"/>
              <w:jc w:val="center"/>
            </w:pPr>
            <m:oMathPara>
              <m:oMath>
                <m:r>
                  <w:rPr>
                    <w:rFonts w:ascii="Cambria Math" w:hAnsi="Cambria Math"/>
                  </w:rPr>
                  <m:t>ba</m:t>
                </m:r>
                <m:sSup>
                  <m:sSupPr>
                    <m:ctrlPr>
                      <w:rPr>
                        <w:rFonts w:ascii="Cambria Math" w:hAnsi="Cambria Math"/>
                        <w:i/>
                      </w:rPr>
                    </m:ctrlPr>
                  </m:sSupPr>
                  <m:e>
                    <m:r>
                      <w:rPr>
                        <w:rFonts w:ascii="Cambria Math" w:hAnsi="Cambria Math"/>
                      </w:rPr>
                      <m:t>r</m:t>
                    </m:r>
                  </m:e>
                  <m:sup>
                    <m:r>
                      <w:rPr>
                        <w:rFonts w:ascii="Cambria Math" w:hAnsi="Cambria Math"/>
                      </w:rPr>
                      <m:t>-1</m:t>
                    </m:r>
                  </m:sup>
                </m:sSup>
              </m:oMath>
            </m:oMathPara>
          </w:p>
        </w:tc>
        <w:tc>
          <w:tcPr>
            <w:tcW w:w="4947" w:type="dxa"/>
            <w:vAlign w:val="center"/>
          </w:tcPr>
          <w:p w14:paraId="45450B87" w14:textId="77777777" w:rsidR="00A93D24" w:rsidRDefault="00A93D24" w:rsidP="002E7584">
            <w:pPr>
              <w:ind w:firstLine="0"/>
              <w:jc w:val="center"/>
            </w:pPr>
            <m:oMathPara>
              <m:oMath>
                <m:r>
                  <w:rPr>
                    <w:rFonts w:ascii="Cambria Math" w:hAnsi="Cambria Math"/>
                  </w:rPr>
                  <m:t>1.575*</m:t>
                </m:r>
                <m:sSup>
                  <m:sSupPr>
                    <m:ctrlPr>
                      <w:rPr>
                        <w:rFonts w:ascii="Cambria Math" w:hAnsi="Cambria Math"/>
                        <w:i/>
                      </w:rPr>
                    </m:ctrlPr>
                  </m:sSupPr>
                  <m:e>
                    <m:r>
                      <w:rPr>
                        <w:rFonts w:ascii="Cambria Math" w:hAnsi="Cambria Math"/>
                      </w:rPr>
                      <m:t>10</m:t>
                    </m:r>
                  </m:e>
                  <m:sup>
                    <m:r>
                      <w:rPr>
                        <w:rFonts w:ascii="Cambria Math" w:hAnsi="Cambria Math"/>
                      </w:rPr>
                      <m:t>-1</m:t>
                    </m:r>
                  </m:sup>
                </m:sSup>
              </m:oMath>
            </m:oMathPara>
          </w:p>
        </w:tc>
        <w:tc>
          <w:tcPr>
            <w:tcW w:w="1350" w:type="dxa"/>
          </w:tcPr>
          <w:p w14:paraId="04D80F8A" w14:textId="77777777" w:rsidR="00A93D24" w:rsidRDefault="00A93D24" w:rsidP="002E7584">
            <w:pPr>
              <w:ind w:firstLine="0"/>
            </w:pPr>
            <w:r>
              <w:t>This work</w:t>
            </w:r>
          </w:p>
        </w:tc>
      </w:tr>
      <w:tr w:rsidR="00A93D24" w14:paraId="3060AA53" w14:textId="77777777" w:rsidTr="0043723E">
        <w:trPr>
          <w:jc w:val="center"/>
        </w:trPr>
        <w:tc>
          <w:tcPr>
            <w:tcW w:w="1177" w:type="dxa"/>
          </w:tcPr>
          <w:p w14:paraId="6DD405A9" w14:textId="77777777" w:rsidR="00A93D24" w:rsidRDefault="00924E48" w:rsidP="002E7584">
            <w:pPr>
              <w:ind w:firstLine="0"/>
              <w:jc w:val="center"/>
            </w:pPr>
            <m:oMathPara>
              <m:oMath>
                <m:sSubSup>
                  <m:sSubSupPr>
                    <m:ctrlPr>
                      <w:rPr>
                        <w:rFonts w:ascii="Cambria Math" w:hAnsi="Cambria Math"/>
                        <w:i/>
                      </w:rPr>
                    </m:ctrlPr>
                  </m:sSubSupPr>
                  <m:e>
                    <m:r>
                      <w:rPr>
                        <w:rFonts w:ascii="Cambria Math" w:hAnsi="Cambria Math"/>
                      </w:rPr>
                      <m:t>K</m:t>
                    </m:r>
                  </m:e>
                  <m:sub>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sub>
                  <m:sup>
                    <m:r>
                      <w:rPr>
                        <w:rFonts w:ascii="Cambria Math" w:hAnsi="Cambria Math"/>
                      </w:rPr>
                      <m:t>a</m:t>
                    </m:r>
                    <m:sSub>
                      <m:sSubPr>
                        <m:ctrlPr>
                          <w:rPr>
                            <w:rFonts w:ascii="Cambria Math" w:hAnsi="Cambria Math"/>
                            <w:i/>
                          </w:rPr>
                        </m:ctrlPr>
                      </m:sSubPr>
                      <m:e>
                        <m:r>
                          <w:rPr>
                            <w:rFonts w:ascii="Cambria Math" w:hAnsi="Cambria Math"/>
                          </w:rPr>
                          <m:t>d</m:t>
                        </m:r>
                      </m:e>
                      <m:sub>
                        <m:r>
                          <w:rPr>
                            <w:rFonts w:ascii="Cambria Math" w:hAnsi="Cambria Math"/>
                          </w:rPr>
                          <m:t>1</m:t>
                        </m:r>
                      </m:sub>
                    </m:sSub>
                  </m:sup>
                </m:sSubSup>
              </m:oMath>
            </m:oMathPara>
          </w:p>
        </w:tc>
        <w:tc>
          <w:tcPr>
            <w:tcW w:w="1701" w:type="dxa"/>
          </w:tcPr>
          <w:p w14:paraId="79EA0353" w14:textId="77777777" w:rsidR="00A93D24" w:rsidRDefault="00A93D24" w:rsidP="002E7584">
            <w:pPr>
              <w:ind w:firstLine="0"/>
              <w:jc w:val="center"/>
            </w:pPr>
            <m:oMathPara>
              <m:oMath>
                <m:r>
                  <w:rPr>
                    <w:rFonts w:ascii="Cambria Math" w:hAnsi="Cambria Math"/>
                  </w:rPr>
                  <m:t>ba</m:t>
                </m:r>
                <m:sSup>
                  <m:sSupPr>
                    <m:ctrlPr>
                      <w:rPr>
                        <w:rFonts w:ascii="Cambria Math" w:hAnsi="Cambria Math"/>
                        <w:i/>
                      </w:rPr>
                    </m:ctrlPr>
                  </m:sSupPr>
                  <m:e>
                    <m:r>
                      <w:rPr>
                        <w:rFonts w:ascii="Cambria Math" w:hAnsi="Cambria Math"/>
                      </w:rPr>
                      <m:t>r</m:t>
                    </m:r>
                  </m:e>
                  <m:sup>
                    <m:r>
                      <w:rPr>
                        <w:rFonts w:ascii="Cambria Math" w:hAnsi="Cambria Math"/>
                      </w:rPr>
                      <m:t>-1</m:t>
                    </m:r>
                  </m:sup>
                </m:sSup>
              </m:oMath>
            </m:oMathPara>
          </w:p>
        </w:tc>
        <w:tc>
          <w:tcPr>
            <w:tcW w:w="4947" w:type="dxa"/>
            <w:vAlign w:val="center"/>
          </w:tcPr>
          <w:p w14:paraId="218E8CC0" w14:textId="77777777" w:rsidR="00A93D24" w:rsidRDefault="00A93D24" w:rsidP="002E7584">
            <w:pPr>
              <w:ind w:firstLine="0"/>
              <w:jc w:val="center"/>
            </w:pPr>
            <m:oMathPara>
              <m:oMath>
                <m:r>
                  <w:rPr>
                    <w:rFonts w:ascii="Cambria Math" w:hAnsi="Cambria Math"/>
                  </w:rPr>
                  <m:t>9*</m:t>
                </m:r>
                <m:sSup>
                  <m:sSupPr>
                    <m:ctrlPr>
                      <w:rPr>
                        <w:rFonts w:ascii="Cambria Math" w:hAnsi="Cambria Math"/>
                        <w:i/>
                      </w:rPr>
                    </m:ctrlPr>
                  </m:sSupPr>
                  <m:e>
                    <m:r>
                      <w:rPr>
                        <w:rFonts w:ascii="Cambria Math" w:hAnsi="Cambria Math"/>
                      </w:rPr>
                      <m:t>10</m:t>
                    </m:r>
                  </m:e>
                  <m:sup>
                    <m:r>
                      <w:rPr>
                        <w:rFonts w:ascii="Cambria Math" w:hAnsi="Cambria Math"/>
                      </w:rPr>
                      <m:t>-2</m:t>
                    </m:r>
                  </m:sup>
                </m:sSup>
              </m:oMath>
            </m:oMathPara>
          </w:p>
        </w:tc>
        <w:tc>
          <w:tcPr>
            <w:tcW w:w="1350" w:type="dxa"/>
          </w:tcPr>
          <w:p w14:paraId="74BA767E" w14:textId="77777777" w:rsidR="00A93D24" w:rsidRDefault="00A93D24" w:rsidP="002E7584">
            <w:pPr>
              <w:ind w:firstLine="0"/>
            </w:pPr>
            <w:r>
              <w:t>This work</w:t>
            </w:r>
          </w:p>
        </w:tc>
      </w:tr>
    </w:tbl>
    <w:p w14:paraId="0772F105" w14:textId="77777777" w:rsidR="00A93D24" w:rsidRPr="003E635F" w:rsidRDefault="00A93D24" w:rsidP="00A93D24">
      <w:pPr>
        <w:ind w:firstLine="0"/>
      </w:pPr>
    </w:p>
    <w:p w14:paraId="5F950F80" w14:textId="77777777" w:rsidR="00A93D24" w:rsidRDefault="00A93D24" w:rsidP="00A93D24">
      <w:pPr>
        <w:pStyle w:val="Heading2"/>
      </w:pPr>
      <w:bookmarkStart w:id="67" w:name="_Toc165641070"/>
      <w:r>
        <w:t>3.3 Mass Balance</w:t>
      </w:r>
      <w:bookmarkEnd w:id="67"/>
    </w:p>
    <w:p w14:paraId="748094A9" w14:textId="77777777" w:rsidR="00A93D24" w:rsidRDefault="00A93D24" w:rsidP="00A93D24">
      <w:pPr>
        <w:pStyle w:val="Heading3"/>
      </w:pPr>
      <w:bookmarkStart w:id="68" w:name="_Toc165641071"/>
      <w:r>
        <w:t>3.3.1 Model Discretization</w:t>
      </w:r>
      <w:bookmarkEnd w:id="68"/>
    </w:p>
    <w:p w14:paraId="03D41E92" w14:textId="38F4BE9D" w:rsidR="00A93D24" w:rsidRDefault="00A93D24" w:rsidP="00A93D24">
      <w:r>
        <w:t xml:space="preserve">The first step in the mass balance is understanding the discretization of the system. For a tubular PCFC, it </w:t>
      </w:r>
      <w:r w:rsidR="004E2075">
        <w:t>is</w:t>
      </w:r>
      <w:r>
        <w:t xml:space="preserve"> assumed that all conditions would be radially symmetric, therefore only 2 dimensions of discretization </w:t>
      </w:r>
      <w:r w:rsidR="0020124E">
        <w:t>are</w:t>
      </w:r>
      <w:r>
        <w:t xml:space="preserve"> needed. The assumption of radial symmetry has been proven to have a few drawbacks with regard to overpotential calculations for the electrochemistry </w:t>
      </w:r>
      <w:r>
        <w:fldChar w:fldCharType="begin"/>
      </w:r>
      <w:r w:rsidR="00CA7A9D">
        <w:instrText xml:space="preserve"> ADDIN ZOTERO_ITEM CSL_CITATION {"citationID":"gdKSkVhJ","properties":{"formattedCitation":"[82]","plainCitation":"[82]","noteIndex":0},"citationItems":[{"id":807,"uris":["http://zotero.org/users/12063231/items/SBZ3DNFV"],"itemData":{"id":807,"type":"article-journal","abstract":"In this paper, we develop two computational models for the electrical performance of the tubular solid oxide fuel cell designed by Siemens Westinghouse Corporation. The first model makes simplifying assumptions for activation and concentration polarizations and obtains an analytical solution. In the second procedure, we allow the polarizations to vary with the current density and solve the equations numerically. The results of the two methods are in good agreement with the experimentally quoted performance results. Thus, the relatively simple analytical procedure can be used to predict the performance of the cell as a function of cell dimensions.","container-title":"Journal of Fuel Cell Science and Technology","DOI":"10.1115/1.1842781","ISSN":"1550-624X","issue":"1","journalAbbreviation":"Journal of Fuel Cell Science and Technology","page":"38-44","source":"Silverchair","title":"Modeling the Performance of a Tubular Solid Oxide Fuel Cell","volume":"2","author":[{"family":"Bharadwaj","given":"A."},{"family":"Archer","given":"D. H."},{"family":"Rubin","given":"E. S."}],"issued":{"date-parts":[["2004",8,16]]}}}],"schema":"https://github.com/citation-style-language/schema/raw/master/csl-citation.json"} </w:instrText>
      </w:r>
      <w:r>
        <w:fldChar w:fldCharType="separate"/>
      </w:r>
      <w:r w:rsidR="00CA7A9D" w:rsidRPr="00CA7A9D">
        <w:rPr>
          <w:rFonts w:ascii="Aptos" w:hAnsi="Aptos"/>
        </w:rPr>
        <w:t>[82]</w:t>
      </w:r>
      <w:r>
        <w:fldChar w:fldCharType="end"/>
      </w:r>
      <w:r>
        <w:t xml:space="preserve">, but it is still reliable enough to be a standard assumption used in a variety of other tubular fuel cell models </w:t>
      </w:r>
      <w:r>
        <w:fldChar w:fldCharType="begin"/>
      </w:r>
      <w:r w:rsidR="00CA7A9D">
        <w:instrText xml:space="preserve"> ADDIN ZOTERO_ITEM CSL_CITATION {"citationID":"SHrfqOAg","properties":{"formattedCitation":"[75], [83]","plainCitation":"[75], [83]","noteIndex":0},"citationItems":[{"id":3,"uris":["http://zotero.org/users/12063231/items/3CHVZB3E"],"itemData":{"id":3,"type":"thesis","event-place":"Trondheim, Norway","language":"English","publisher":"Norwegian University of Science and Technology","publisher-place":"Trondheim, Norway","title":"Design, Operation and Control Modelling of SOFC/GT Hybrid Systems","URL":"https://ntnuopen.ntnu.no/ntnu-xmlui/bitstream/handle/11250/231300/125922_FULLTEXT01.pdf?sequence=1","author":[{"family":"Stiller","given":"Christoph"}],"issued":{"date-parts":[["2006",3]]}}},{"id":18,"uris":["http://zotero.org/users/12063231/items/97T3QV7R"],"itemData":{"id":18,"type":"article-journal","abstract":"This paper reports an extended Nernst–Planck computational model that couples charged-defect transport and stress in tubular electrochemical cell with a ceramic proton-conducting membrane. The model is particularly concerned with coupled chemo-mechanical behaviors, including how electrochemical phenomena affect internal stresses and vice versa. The computational model predicts transient and steady-state defect concentrations, fluxes, stresses within a thin BaZr0.8Y0.2O3−δ (BZY20) membrane. Depending on the polarization (i.e., imposed current density), the model predicts performance as a fuel cell or an electrolyzer. A sensitivity analysis reveals the importance of thermodynamic and transport properties, which are often not readily available.","container-title":"Membranes","DOI":"10.3390/membranes11060378","ISSN":"2077-0375","issue":"6","language":"en","license":"http://creativecommons.org/licenses/by/3.0/","note":"number: 6\npublisher: Multidisciplinary Digital Publishing Institute","page":"378","source":"www.mdpi.com","title":"Modeling Electro-Chemo-Mechanical Behaviors within the Dense BaZr0.8Y0.2O3−δ Protonic-Ceramic Membrane in a Long Tubular Electrochemical Cell","volume":"11","author":[{"family":"Taghikhani","given":"Kasra"},{"family":"Dubois","given":"Alexis"},{"family":"Berger","given":"John R."},{"family":"Ricote","given":"Sandrine"},{"family":"Zhu","given":"Huayang"},{"family":"Kee","given":"Robert J."}],"issued":{"date-parts":[["2021",6]]}}}],"schema":"https://github.com/citation-style-language/schema/raw/master/csl-citation.json"} </w:instrText>
      </w:r>
      <w:r>
        <w:fldChar w:fldCharType="separate"/>
      </w:r>
      <w:r w:rsidR="00CA7A9D" w:rsidRPr="00CA7A9D">
        <w:rPr>
          <w:rFonts w:ascii="Aptos" w:hAnsi="Aptos"/>
        </w:rPr>
        <w:t>[75], [83]</w:t>
      </w:r>
      <w:r>
        <w:fldChar w:fldCharType="end"/>
      </w:r>
      <w:r>
        <w:t xml:space="preserve">. The approach to the discretization in this study </w:t>
      </w:r>
      <w:r w:rsidR="004E2075">
        <w:t>is</w:t>
      </w:r>
      <w:r>
        <w:t xml:space="preserve"> largely taken from Stiller’s work, as seen below in </w:t>
      </w:r>
      <w:r>
        <w:fldChar w:fldCharType="begin"/>
      </w:r>
      <w:r>
        <w:instrText xml:space="preserve"> REF _Ref162453295 \h </w:instrText>
      </w:r>
      <w:r>
        <w:fldChar w:fldCharType="separate"/>
      </w:r>
      <w:r>
        <w:t>Figure 3.</w:t>
      </w:r>
      <w:r>
        <w:rPr>
          <w:noProof/>
        </w:rPr>
        <w:t>1</w:t>
      </w:r>
      <w:r>
        <w:fldChar w:fldCharType="end"/>
      </w:r>
      <w:r>
        <w:t xml:space="preserve"> </w:t>
      </w:r>
      <w:r>
        <w:fldChar w:fldCharType="begin"/>
      </w:r>
      <w:r w:rsidR="00CA7A9D">
        <w:instrText xml:space="preserve"> ADDIN ZOTERO_ITEM CSL_CITATION {"citationID":"sMItL6Sv","properties":{"formattedCitation":"[75]","plainCitation":"[75]","noteIndex":0},"citationItems":[{"id":3,"uris":["http://zotero.org/users/12063231/items/3CHVZB3E"],"itemData":{"id":3,"type":"thesis","event-place":"Trondheim, Norway","language":"English","publisher":"Norwegian University of Science and Technology","publisher-place":"Trondheim, Norway","title":"Design, Operation and Control Modelling of SOFC/GT Hybrid Systems","URL":"https://ntnuopen.ntnu.no/ntnu-xmlui/bitstream/handle/11250/231300/125922_FULLTEXT01.pdf?sequence=1","author":[{"family":"Stiller","given":"Christoph"}],"issued":{"date-parts":[["2006",3]]}}}],"schema":"https://github.com/citation-style-language/schema/raw/master/csl-citation.json"} </w:instrText>
      </w:r>
      <w:r>
        <w:fldChar w:fldCharType="separate"/>
      </w:r>
      <w:r w:rsidR="00CA7A9D" w:rsidRPr="00CA7A9D">
        <w:rPr>
          <w:rFonts w:ascii="Aptos" w:hAnsi="Aptos"/>
        </w:rPr>
        <w:t>[75]</w:t>
      </w:r>
      <w:r>
        <w:fldChar w:fldCharType="end"/>
      </w:r>
      <w:r>
        <w:t>:</w:t>
      </w:r>
    </w:p>
    <w:p w14:paraId="7BA56E39" w14:textId="77777777" w:rsidR="00A93D24" w:rsidRDefault="00A93D24" w:rsidP="00A93D24">
      <w:pPr>
        <w:keepNext/>
        <w:jc w:val="center"/>
      </w:pPr>
      <w:r>
        <w:rPr>
          <w:noProof/>
        </w:rPr>
        <w:drawing>
          <wp:inline distT="0" distB="0" distL="0" distR="0" wp14:anchorId="6B48A5EB" wp14:editId="5D121670">
            <wp:extent cx="3312905" cy="3387885"/>
            <wp:effectExtent l="0" t="0" r="0" b="3175"/>
            <wp:docPr id="183614172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141727" name="Picture 1" descr="A screenshot of a computer&#10;&#10;Description automatically generated"/>
                    <pic:cNvPicPr/>
                  </pic:nvPicPr>
                  <pic:blipFill rotWithShape="1">
                    <a:blip r:embed="rId20" cstate="print">
                      <a:extLst>
                        <a:ext uri="{28A0092B-C50C-407E-A947-70E740481C1C}">
                          <a14:useLocalDpi xmlns:a14="http://schemas.microsoft.com/office/drawing/2010/main" val="0"/>
                        </a:ext>
                      </a:extLst>
                    </a:blip>
                    <a:srcRect l="19626" t="9453" r="21503" b="47986"/>
                    <a:stretch/>
                  </pic:blipFill>
                  <pic:spPr bwMode="auto">
                    <a:xfrm>
                      <a:off x="0" y="0"/>
                      <a:ext cx="3326989" cy="3402288"/>
                    </a:xfrm>
                    <a:prstGeom prst="rect">
                      <a:avLst/>
                    </a:prstGeom>
                    <a:ln>
                      <a:noFill/>
                    </a:ln>
                    <a:extLst>
                      <a:ext uri="{53640926-AAD7-44D8-BBD7-CCE9431645EC}">
                        <a14:shadowObscured xmlns:a14="http://schemas.microsoft.com/office/drawing/2010/main"/>
                      </a:ext>
                    </a:extLst>
                  </pic:spPr>
                </pic:pic>
              </a:graphicData>
            </a:graphic>
          </wp:inline>
        </w:drawing>
      </w:r>
    </w:p>
    <w:p w14:paraId="148280D6" w14:textId="77777777" w:rsidR="00A93D24" w:rsidRDefault="00A93D24" w:rsidP="00A93D24">
      <w:pPr>
        <w:pStyle w:val="Caption"/>
      </w:pPr>
      <w:bookmarkStart w:id="69" w:name="_Ref162453295"/>
      <w:bookmarkStart w:id="70" w:name="_Toc165641136"/>
      <w:r>
        <w:t>Figure 3.</w:t>
      </w:r>
      <w:r>
        <w:fldChar w:fldCharType="begin"/>
      </w:r>
      <w:r>
        <w:instrText xml:space="preserve"> SEQ Figure \* ARABIC </w:instrText>
      </w:r>
      <w:r>
        <w:fldChar w:fldCharType="separate"/>
      </w:r>
      <w:r>
        <w:rPr>
          <w:noProof/>
        </w:rPr>
        <w:t>2</w:t>
      </w:r>
      <w:r>
        <w:fldChar w:fldCharType="end"/>
      </w:r>
      <w:bookmarkEnd w:id="69"/>
      <w:r>
        <w:t>: Discretization of the tubular PCFC. Seven sections are considered for the radial direction, while the height (Z-axis) is also discretized.</w:t>
      </w:r>
      <w:bookmarkEnd w:id="70"/>
    </w:p>
    <w:p w14:paraId="6D955C98" w14:textId="611E111F" w:rsidR="00A93D24" w:rsidRDefault="00A93D24" w:rsidP="00A93D24">
      <w:pPr>
        <w:rPr>
          <w:rFonts w:eastAsiaTheme="minorEastAsia"/>
        </w:rPr>
      </w:pPr>
      <w:r>
        <w:t xml:space="preserve">The red box in </w:t>
      </w:r>
      <w:r>
        <w:fldChar w:fldCharType="begin"/>
      </w:r>
      <w:r>
        <w:instrText xml:space="preserve"> REF _Ref162453295 \h </w:instrText>
      </w:r>
      <w:r>
        <w:fldChar w:fldCharType="separate"/>
      </w:r>
      <w:r>
        <w:t>Figure 3.</w:t>
      </w:r>
      <w:r>
        <w:rPr>
          <w:noProof/>
        </w:rPr>
        <w:t>1</w:t>
      </w:r>
      <w:r>
        <w:fldChar w:fldCharType="end"/>
      </w:r>
      <w:r>
        <w:t xml:space="preserve"> highlights the seven areas of discretization expanding out from the center of the cell. The seven units in numerical order are (1) the preheating fuel, (2) the fuel delivery tube (FDT), (3) reacting fuel, (4) anode, (5) electrolyte, (6) cathode, and (7) the air stream. The radii of these units vary with the thicknesses of the different units and are referred to as </w:t>
      </w:r>
      <m:oMath>
        <m:sSub>
          <m:sSubPr>
            <m:ctrlPr>
              <w:rPr>
                <w:rFonts w:ascii="Cambria Math" w:hAnsi="Cambria Math"/>
                <w:i/>
              </w:rPr>
            </m:ctrlPr>
          </m:sSubPr>
          <m:e>
            <m:r>
              <w:rPr>
                <w:rFonts w:ascii="Cambria Math" w:hAnsi="Cambria Math"/>
              </w:rPr>
              <m:t>r</m:t>
            </m:r>
          </m:e>
          <m:sub>
            <m:r>
              <w:rPr>
                <w:rFonts w:ascii="Cambria Math" w:hAnsi="Cambria Math"/>
              </w:rPr>
              <m:t>i</m:t>
            </m:r>
          </m:sub>
        </m:sSub>
      </m:oMath>
      <w:r>
        <w:rPr>
          <w:rFonts w:eastAsiaTheme="minorEastAsia"/>
        </w:rPr>
        <w:t xml:space="preserve"> where </w:t>
      </w:r>
      <m:oMath>
        <m:r>
          <w:rPr>
            <w:rFonts w:ascii="Cambria Math" w:eastAsiaTheme="minorEastAsia" w:hAnsi="Cambria Math"/>
          </w:rPr>
          <m:t>i</m:t>
        </m:r>
      </m:oMath>
      <w:r>
        <w:rPr>
          <w:rFonts w:eastAsiaTheme="minorEastAsia"/>
        </w:rPr>
        <w:t xml:space="preserve"> is the corresponding unit. The Z axis </w:t>
      </w:r>
      <w:r w:rsidR="00EB6FFF">
        <w:rPr>
          <w:rFonts w:eastAsiaTheme="minorEastAsia"/>
        </w:rPr>
        <w:t>is</w:t>
      </w:r>
      <w:r>
        <w:rPr>
          <w:rFonts w:eastAsiaTheme="minorEastAsia"/>
        </w:rPr>
        <w:t xml:space="preserve"> split into 15 sections where 0 is the inlet, and 15 is the outlet from the cell. </w:t>
      </w:r>
    </w:p>
    <w:p w14:paraId="160E1EAB" w14:textId="7CB22E6E" w:rsidR="00A93D24" w:rsidRDefault="00A93D24" w:rsidP="00A93D24">
      <w:pPr>
        <w:rPr>
          <w:rFonts w:eastAsiaTheme="minorEastAsia"/>
        </w:rPr>
      </w:pPr>
      <w:r>
        <w:rPr>
          <w:rFonts w:eastAsiaTheme="minorEastAsia"/>
        </w:rPr>
        <w:t xml:space="preserve">Given the above discretization setup, several important parameters need to be clarified. First, the active area is normally a simple calculation in planar cells. In this tubular case, it is calculated using the average radius between the inner and outer </w:t>
      </w:r>
      <w:r w:rsidR="002F1ED9">
        <w:rPr>
          <w:rFonts w:eastAsiaTheme="minorEastAsia"/>
        </w:rPr>
        <w:t>surfaces as</w:t>
      </w:r>
      <w:r>
        <w:rPr>
          <w:rFonts w:eastAsiaTheme="minorEastAsia"/>
        </w:rPr>
        <w:t xml:space="preserve"> follows</w:t>
      </w:r>
    </w:p>
    <w:p w14:paraId="36BB4BE1" w14:textId="77777777" w:rsidR="00A93D24" w:rsidRPr="006A7AE9" w:rsidRDefault="00A93D24" w:rsidP="00A93D24">
      <w:pPr>
        <w:jc w:val="right"/>
        <w:rPr>
          <w:rFonts w:eastAsiaTheme="minorEastAsia"/>
        </w:rPr>
      </w:pPr>
      <m:oMath>
        <m:r>
          <w:rPr>
            <w:rFonts w:ascii="Cambria Math" w:eastAsiaTheme="minorEastAsia" w:hAnsi="Cambria Math"/>
          </w:rPr>
          <m:t>A=2*π*</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6</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3</m:t>
                </m:r>
              </m:sub>
            </m:sSub>
          </m:num>
          <m:den>
            <m:r>
              <w:rPr>
                <w:rFonts w:ascii="Cambria Math" w:eastAsiaTheme="minorEastAsia" w:hAnsi="Cambria Math"/>
              </w:rPr>
              <m:t>2</m:t>
            </m:r>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cell</m:t>
            </m:r>
          </m:sub>
        </m:sSub>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(3.16)</w:t>
      </w:r>
    </w:p>
    <w:p w14:paraId="4A5AD4B3" w14:textId="77777777" w:rsidR="00A93D24" w:rsidRDefault="00A93D24" w:rsidP="00A93D24">
      <w:pPr>
        <w:ind w:firstLine="0"/>
        <w:rPr>
          <w:rFonts w:eastAsiaTheme="minorEastAsia"/>
        </w:rPr>
      </w:pPr>
      <w:r>
        <w:rPr>
          <w:rFonts w:eastAsiaTheme="minorEastAsia"/>
        </w:rPr>
        <w:t xml:space="preserve">where A is the active area,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6</m:t>
            </m:r>
          </m:sub>
        </m:sSub>
      </m:oMath>
      <w:r>
        <w:rPr>
          <w:rFonts w:eastAsiaTheme="minorEastAsia"/>
        </w:rPr>
        <w:t xml:space="preserve">and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3</m:t>
            </m:r>
          </m:sub>
        </m:sSub>
      </m:oMath>
      <w:r>
        <w:rPr>
          <w:rFonts w:eastAsiaTheme="minorEastAsia"/>
        </w:rPr>
        <w:t xml:space="preserve"> are the outer and inner radii respectively, and </w:t>
      </w: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cell</m:t>
            </m:r>
          </m:sub>
        </m:sSub>
      </m:oMath>
      <w:r>
        <w:rPr>
          <w:rFonts w:eastAsiaTheme="minorEastAsia"/>
        </w:rPr>
        <w:t xml:space="preserve"> is the length of the cell. </w:t>
      </w:r>
    </w:p>
    <w:p w14:paraId="199EA854" w14:textId="71477380" w:rsidR="00A93D24" w:rsidRDefault="00A93D24" w:rsidP="00A93D24">
      <w:r>
        <w:t xml:space="preserve">Another important parameter not depicted in </w:t>
      </w:r>
      <w:r>
        <w:fldChar w:fldCharType="begin"/>
      </w:r>
      <w:r>
        <w:instrText xml:space="preserve"> REF _Ref162453295 \h </w:instrText>
      </w:r>
      <w:r>
        <w:fldChar w:fldCharType="separate"/>
      </w:r>
      <w:r>
        <w:t xml:space="preserve">Figure </w:t>
      </w:r>
      <w:r>
        <w:rPr>
          <w:noProof/>
        </w:rPr>
        <w:t>1</w:t>
      </w:r>
      <w:r>
        <w:fldChar w:fldCharType="end"/>
      </w:r>
      <w:r>
        <w:t xml:space="preserve"> is the interconnect. Interconnects in tubular fuel cells are significantly different from planar configurations. Kee et al. has suggested a spiraling wire on both sides of the PEN structure for the interconnect </w:t>
      </w:r>
      <w:r>
        <w:fldChar w:fldCharType="begin"/>
      </w:r>
      <w:r w:rsidR="00CA7A9D">
        <w:instrText xml:space="preserve"> ADDIN ZOTERO_ITEM CSL_CITATION {"citationID":"aomeggc0uf","properties":{"formattedCitation":"[84]","plainCitation":"[84]","noteIndex":0},"citationItems":[{"id":132,"uris":["http://zotero.org/users/12063231/items/IMGWQA7S"],"itemData":{"id":132,"type":"article-journal","abstract":"Proton-conducting ceramics (protonic ceramics) form the basis for applications that include intermediate-temperature (e.g., 500 °C–700 °C) fuel cells, electrolyzers, and membrane reactors. The electrolyte membranes are typically perovskites such as heterovalently doped barium cerates and zirconates (e.g., BaCe1−x−y Zr x Y y O3−δ , BCZY; and BaCe1−x−y−z Zr x Y y Yb z O3−δ , BCZYYb). Although the materials are dominantly proton conductors, they are mixed ionic-electronic conductors (MIEC) with oxygen-ion and small-polaron mobility. The present paper is concerned primarily with steam-electrolysis applications with the reactors using tubular cell configurations. An important advantage of the protonic-ceramic cells is that they can produce nearly dry hydrogen. Each tubular cell is comprised of a negatrode (electrolysis cathode), proton-conducting electrolyte membrane, and a positrode (electrolysis anode). The tubular cells are typically supported on the relatively thick (order of one millimeter) composite negatrode, with thin (order tens of microns) external membrane and positrode layers. The paper explores considerations for scaling from laboratory-based demonstrations to deployable technology.","container-title":"Journal of The Electrochemical Society","DOI":"10.1149/1945-7111/ac6c4e","ISSN":"1945-7111","issue":"5","journalAbbreviation":"J. Electrochem. Soc.","language":"en","note":"publisher: IOP Publishing","page":"054525","source":"Institute of Physics","title":"Perspectives on Technical Challenges and Scaling Considerations for Tubular Protonic-Ceramic Electrolysis Cells and Stacks","volume":"169","author":[{"family":"Kee","given":"Robert J."},{"family":"Ricote","given":"Sandrine"},{"family":"Zhu","given":"Huayang"},{"family":"Braun","given":"Robert J."},{"family":"Carins","given":"George"},{"family":"Persky","given":"Joshua E."}],"issued":{"date-parts":[["2022",5]]}}}],"schema":"https://github.com/citation-style-language/schema/raw/master/csl-citation.json"} </w:instrText>
      </w:r>
      <w:r>
        <w:fldChar w:fldCharType="separate"/>
      </w:r>
      <w:r w:rsidR="00CA7A9D" w:rsidRPr="00CA7A9D">
        <w:rPr>
          <w:rFonts w:ascii="Aptos" w:hAnsi="Aptos"/>
        </w:rPr>
        <w:t>[84]</w:t>
      </w:r>
      <w:r>
        <w:fldChar w:fldCharType="end"/>
      </w:r>
      <w:r>
        <w:t>. However, in the discretization setup, this has been simplified such that the contact area between the interconnect and the electrodes is one fourth of the total active area. In other words, the spiraling interconnect occup</w:t>
      </w:r>
      <w:r w:rsidR="0097074A">
        <w:t>ies</w:t>
      </w:r>
      <w:r>
        <w:t xml:space="preserve"> a fourth of the available surface area on the anode and cathode. For the total cross-sectional area of the interconnect, which plays a role in overpotential calculations, a rectangle </w:t>
      </w:r>
      <w:r w:rsidR="00EB6FFF">
        <w:t>is</w:t>
      </w:r>
      <w:r>
        <w:t xml:space="preserve"> considered such that</w:t>
      </w:r>
    </w:p>
    <w:p w14:paraId="76AC550F" w14:textId="77777777" w:rsidR="00A93D24" w:rsidRPr="009F5E13" w:rsidRDefault="00924E48" w:rsidP="00A93D24">
      <w:pPr>
        <w:jc w:val="right"/>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IC</m:t>
            </m:r>
          </m:sub>
        </m:sSub>
        <m:r>
          <w:rPr>
            <w:rFonts w:ascii="Cambria Math" w:hAnsi="Cambria Math"/>
          </w:rPr>
          <m:t>=</m:t>
        </m:r>
        <m:f>
          <m:fPr>
            <m:ctrlPr>
              <w:rPr>
                <w:rFonts w:ascii="Cambria Math" w:hAnsi="Cambria Math"/>
                <w:i/>
              </w:rPr>
            </m:ctrlPr>
          </m:fPr>
          <m:num>
            <m:r>
              <w:rPr>
                <w:rFonts w:ascii="Cambria Math" w:hAnsi="Cambria Math"/>
              </w:rPr>
              <m:t>A</m:t>
            </m:r>
          </m:num>
          <m:den>
            <m:r>
              <w:rPr>
                <w:rFonts w:ascii="Cambria Math" w:hAnsi="Cambria Math"/>
              </w:rPr>
              <m:t>4</m:t>
            </m:r>
          </m:den>
        </m:f>
        <m:r>
          <w:rPr>
            <w:rFonts w:ascii="Cambria Math" w:hAnsi="Cambria Math"/>
          </w:rPr>
          <m:t>*</m:t>
        </m:r>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m:t>
        </m:r>
      </m:oMath>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t>(3.17)</w:t>
      </w:r>
    </w:p>
    <w:p w14:paraId="4C4829A4" w14:textId="77777777" w:rsidR="00A93D24" w:rsidRDefault="00A93D24" w:rsidP="00A93D24">
      <w:pPr>
        <w:pStyle w:val="Heading3"/>
        <w:rPr>
          <w:rFonts w:eastAsiaTheme="minorEastAsia"/>
        </w:rPr>
      </w:pPr>
      <w:bookmarkStart w:id="71" w:name="_Toc165641072"/>
      <w:r>
        <w:rPr>
          <w:rFonts w:eastAsiaTheme="minorEastAsia"/>
        </w:rPr>
        <w:t>3.3.2 Discretized Mass Balance</w:t>
      </w:r>
      <w:bookmarkEnd w:id="71"/>
    </w:p>
    <w:p w14:paraId="077268E6" w14:textId="77777777" w:rsidR="00A93D24" w:rsidRDefault="00A93D24" w:rsidP="00A93D24">
      <w:pPr>
        <w:rPr>
          <w:rFonts w:eastAsiaTheme="minorEastAsia"/>
        </w:rPr>
      </w:pPr>
      <w:r>
        <w:rPr>
          <w:rFonts w:eastAsiaTheme="minorEastAsia"/>
        </w:rPr>
        <w:t xml:space="preserve">The term “mass balance” may be misleading since </w:t>
      </w:r>
      <w:proofErr w:type="gramStart"/>
      <w:r>
        <w:rPr>
          <w:rFonts w:eastAsiaTheme="minorEastAsia"/>
        </w:rPr>
        <w:t>the majority of</w:t>
      </w:r>
      <w:proofErr w:type="gramEnd"/>
      <w:r>
        <w:rPr>
          <w:rFonts w:eastAsiaTheme="minorEastAsia"/>
        </w:rPr>
        <w:t xml:space="preserve"> the calculation work actually takes place in mole units rather than mass units. The inlet mass flow rate and molar concentrations of the process flow are considered as input parameters so the number of moles of each component can be calculated by the following formula:</w:t>
      </w:r>
    </w:p>
    <w:p w14:paraId="4B2EFDBF" w14:textId="77777777" w:rsidR="00A93D24" w:rsidRPr="006E57D6" w:rsidRDefault="00924E48" w:rsidP="00A93D24">
      <w:pPr>
        <w:jc w:val="right"/>
        <w:rPr>
          <w:rFonts w:eastAsiaTheme="minorEastAsia"/>
        </w:rPr>
      </w:pPr>
      <m:oMath>
        <m:sSub>
          <m:sSubPr>
            <m:ctrlPr>
              <w:rPr>
                <w:rFonts w:ascii="Cambria Math" w:hAnsi="Cambria Math"/>
                <w:i/>
              </w:rPr>
            </m:ctrlPr>
          </m:sSubPr>
          <m:e>
            <m:r>
              <w:rPr>
                <w:rFonts w:ascii="Cambria Math" w:hAnsi="Cambria Math"/>
              </w:rPr>
              <m:t>N</m:t>
            </m:r>
          </m:e>
          <m:sub>
            <m:r>
              <w:rPr>
                <w:rFonts w:ascii="Cambria Math" w:hAnsi="Cambria Math"/>
              </w:rPr>
              <m:t>s</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s</m:t>
                </m:r>
              </m:sub>
            </m:sSub>
          </m:num>
          <m:den>
            <m:r>
              <w:rPr>
                <w:rFonts w:ascii="Cambria Math" w:hAnsi="Cambria Math"/>
              </w:rPr>
              <m:t>M</m:t>
            </m:r>
            <m:sSub>
              <m:sSubPr>
                <m:ctrlPr>
                  <w:rPr>
                    <w:rFonts w:ascii="Cambria Math" w:hAnsi="Cambria Math"/>
                    <w:i/>
                  </w:rPr>
                </m:ctrlPr>
              </m:sSubPr>
              <m:e>
                <m:r>
                  <w:rPr>
                    <w:rFonts w:ascii="Cambria Math" w:hAnsi="Cambria Math"/>
                  </w:rPr>
                  <m:t>M</m:t>
                </m:r>
              </m:e>
              <m:sub>
                <m:r>
                  <w:rPr>
                    <w:rFonts w:ascii="Cambria Math" w:hAnsi="Cambria Math"/>
                  </w:rPr>
                  <m:t>s</m:t>
                </m:r>
              </m:sub>
            </m:sSub>
          </m:den>
        </m:f>
      </m:oMath>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t>(3.18)</w:t>
      </w:r>
    </w:p>
    <w:p w14:paraId="64C95915" w14:textId="77777777" w:rsidR="00A93D24" w:rsidRPr="006467C4" w:rsidRDefault="00A93D24" w:rsidP="00A93D24">
      <w:pPr>
        <w:ind w:firstLine="0"/>
        <w:rPr>
          <w:rFonts w:eastAsiaTheme="minorEastAsia"/>
        </w:rPr>
      </w:pPr>
      <m:oMathPara>
        <m:oMath>
          <m:r>
            <w:rPr>
              <w:rFonts w:ascii="Cambria Math" w:hAnsi="Cambria Math"/>
            </w:rPr>
            <m:t>s∈</m:t>
          </m:r>
          <m:d>
            <m:dPr>
              <m:begChr m:val="{"/>
              <m:endChr m:val="}"/>
              <m:ctrlPr>
                <w:rPr>
                  <w:rFonts w:ascii="Cambria Math" w:hAnsi="Cambria Math"/>
                  <w:i/>
                </w:rPr>
              </m:ctrlPr>
            </m:dPr>
            <m:e>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sSub>
                <m:sSubPr>
                  <m:ctrlPr>
                    <w:rPr>
                      <w:rFonts w:ascii="Cambria Math" w:hAnsi="Cambria Math"/>
                      <w:i/>
                    </w:rPr>
                  </m:ctrlPr>
                </m:sSubPr>
                <m:e>
                  <m:r>
                    <w:rPr>
                      <w:rFonts w:ascii="Cambria Math" w:hAnsi="Cambria Math"/>
                    </w:rPr>
                    <m:t>H</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6</m:t>
                  </m:r>
                </m:sub>
              </m:sSub>
              <m:sSub>
                <m:sSubPr>
                  <m:ctrlPr>
                    <w:rPr>
                      <w:rFonts w:ascii="Cambria Math" w:hAnsi="Cambria Math"/>
                      <w:i/>
                    </w:rPr>
                  </m:ctrlPr>
                </m:sSubPr>
                <m:e>
                  <m:r>
                    <w:rPr>
                      <w:rFonts w:ascii="Cambria Math" w:hAnsi="Cambria Math"/>
                    </w:rPr>
                    <m:t>H</m:t>
                  </m:r>
                </m:e>
                <m:sub>
                  <m:r>
                    <w:rPr>
                      <w:rFonts w:ascii="Cambria Math" w:hAnsi="Cambria Math"/>
                    </w:rPr>
                    <m:t>6</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7</m:t>
                  </m:r>
                </m:sub>
              </m:sSub>
              <m:sSub>
                <m:sSubPr>
                  <m:ctrlPr>
                    <w:rPr>
                      <w:rFonts w:ascii="Cambria Math" w:hAnsi="Cambria Math"/>
                      <w:i/>
                    </w:rPr>
                  </m:ctrlPr>
                </m:sSubPr>
                <m:e>
                  <m:r>
                    <w:rPr>
                      <w:rFonts w:ascii="Cambria Math" w:hAnsi="Cambria Math"/>
                    </w:rPr>
                    <m:t>H</m:t>
                  </m:r>
                </m:e>
                <m:sub>
                  <m:r>
                    <w:rPr>
                      <w:rFonts w:ascii="Cambria Math" w:hAnsi="Cambria Math"/>
                    </w:rPr>
                    <m:t>8</m:t>
                  </m:r>
                </m:sub>
              </m:sSub>
              <m:r>
                <w:rPr>
                  <w:rFonts w:ascii="Cambria Math" w:hAnsi="Cambria Math"/>
                </w:rPr>
                <m:t>,CO,C</m:t>
              </m:r>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sSub>
                <m:sSubPr>
                  <m:ctrlPr>
                    <w:rPr>
                      <w:rFonts w:ascii="Cambria Math" w:hAnsi="Cambria Math"/>
                      <w:i/>
                    </w:rPr>
                  </m:ctrlPr>
                </m:sSubPr>
                <m:e>
                  <m:r>
                    <w:rPr>
                      <w:rFonts w:ascii="Cambria Math" w:hAnsi="Cambria Math"/>
                    </w:rPr>
                    <m:t>N</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O</m:t>
                  </m:r>
                </m:e>
                <m:sub>
                  <m:r>
                    <w:rPr>
                      <w:rFonts w:ascii="Cambria Math" w:hAnsi="Cambria Math"/>
                    </w:rPr>
                    <m:t>2</m:t>
                  </m:r>
                </m:sub>
              </m:sSub>
            </m:e>
          </m:d>
        </m:oMath>
      </m:oMathPara>
    </w:p>
    <w:p w14:paraId="1B6B6C86" w14:textId="03A70C42" w:rsidR="00A93D24" w:rsidRDefault="00A93D24" w:rsidP="00A93D24">
      <w:pPr>
        <w:ind w:firstLine="0"/>
        <w:rPr>
          <w:rFonts w:eastAsiaTheme="minorEastAsia"/>
        </w:rPr>
      </w:pPr>
      <w:r>
        <w:rPr>
          <w:rFonts w:eastAsiaTheme="minorEastAsia"/>
        </w:rPr>
        <w:t xml:space="preserve">where </w:t>
      </w:r>
      <m:oMath>
        <m:r>
          <w:rPr>
            <w:rFonts w:ascii="Cambria Math" w:eastAsiaTheme="minorEastAsia" w:hAnsi="Cambria Math"/>
          </w:rPr>
          <m:t>N</m:t>
        </m:r>
      </m:oMath>
      <w:r>
        <w:rPr>
          <w:rFonts w:eastAsiaTheme="minorEastAsia"/>
        </w:rPr>
        <w:t xml:space="preserve"> is the number of moles, </w:t>
      </w:r>
      <m:oMath>
        <m:r>
          <w:rPr>
            <w:rFonts w:ascii="Cambria Math" w:eastAsiaTheme="minorEastAsia" w:hAnsi="Cambria Math"/>
          </w:rPr>
          <m:t>m</m:t>
        </m:r>
      </m:oMath>
      <w:r>
        <w:rPr>
          <w:rFonts w:eastAsiaTheme="minorEastAsia"/>
        </w:rPr>
        <w:t xml:space="preserve"> is the mass, and </w:t>
      </w:r>
      <m:oMath>
        <m:r>
          <w:rPr>
            <w:rFonts w:ascii="Cambria Math" w:eastAsiaTheme="minorEastAsia" w:hAnsi="Cambria Math"/>
          </w:rPr>
          <m:t>MM</m:t>
        </m:r>
      </m:oMath>
      <w:r>
        <w:rPr>
          <w:rFonts w:eastAsiaTheme="minorEastAsia"/>
        </w:rPr>
        <w:t xml:space="preserve"> is the molar mass of a particular species </w:t>
      </w:r>
      <m:oMath>
        <m:r>
          <w:rPr>
            <w:rFonts w:ascii="Cambria Math" w:eastAsiaTheme="minorEastAsia" w:hAnsi="Cambria Math"/>
          </w:rPr>
          <m:t>s</m:t>
        </m:r>
      </m:oMath>
      <w:r>
        <w:rPr>
          <w:rFonts w:eastAsiaTheme="minorEastAsia"/>
        </w:rPr>
        <w:t xml:space="preserve">. For calculations where the total number of moles in the stream </w:t>
      </w:r>
      <w:r w:rsidR="00EB6FFF">
        <w:rPr>
          <w:rFonts w:eastAsiaTheme="minorEastAsia"/>
        </w:rPr>
        <w:t>is</w:t>
      </w:r>
      <w:r>
        <w:rPr>
          <w:rFonts w:eastAsiaTheme="minorEastAsia"/>
        </w:rPr>
        <w:t xml:space="preserve"> required, this </w:t>
      </w:r>
      <w:r w:rsidR="00EB6FFF">
        <w:rPr>
          <w:rFonts w:eastAsiaTheme="minorEastAsia"/>
        </w:rPr>
        <w:t>is</w:t>
      </w:r>
      <w:r>
        <w:rPr>
          <w:rFonts w:eastAsiaTheme="minorEastAsia"/>
        </w:rPr>
        <w:t xml:space="preserve"> calculated </w:t>
      </w:r>
      <w:r w:rsidR="00505ECA">
        <w:rPr>
          <w:rFonts w:eastAsiaTheme="minorEastAsia"/>
        </w:rPr>
        <w:t>by adding the moles of each species together:</w:t>
      </w:r>
    </w:p>
    <w:p w14:paraId="032F07C2" w14:textId="0C50231F" w:rsidR="00A93D24" w:rsidRPr="00C96363" w:rsidRDefault="00924E48" w:rsidP="00A93D24">
      <w:pPr>
        <w:ind w:firstLine="0"/>
        <w:jc w:val="right"/>
        <w:rPr>
          <w:rFonts w:eastAsiaTheme="minorEastAsia"/>
        </w:rPr>
      </w:pPr>
      <m:oMath>
        <m:sSub>
          <m:sSubPr>
            <m:ctrlPr>
              <w:rPr>
                <w:rFonts w:ascii="Cambria Math" w:hAnsi="Cambria Math"/>
                <w:i/>
              </w:rPr>
            </m:ctrlPr>
          </m:sSubPr>
          <m:e>
            <m:r>
              <w:rPr>
                <w:rFonts w:ascii="Cambria Math" w:hAnsi="Cambria Math"/>
              </w:rPr>
              <m:t>N</m:t>
            </m:r>
          </m:e>
          <m:sub>
            <m:r>
              <w:rPr>
                <w:rFonts w:ascii="Cambria Math" w:hAnsi="Cambria Math"/>
              </w:rPr>
              <m:t>bulk</m:t>
            </m:r>
          </m:sub>
        </m:sSub>
        <m:r>
          <w:rPr>
            <w:rFonts w:ascii="Cambria Math" w:hAnsi="Cambria Math"/>
          </w:rPr>
          <m:t>=</m:t>
        </m:r>
        <m:r>
          <m:rPr>
            <m:sty m:val="p"/>
          </m:rPr>
          <w:rPr>
            <w:rFonts w:ascii="Cambria Math" w:hAnsi="Cambria Math"/>
          </w:rPr>
          <m:t>Σ</m:t>
        </m:r>
        <m:d>
          <m:dPr>
            <m:ctrlPr>
              <w:rPr>
                <w:rFonts w:ascii="Cambria Math" w:hAnsi="Cambria Math"/>
              </w:rPr>
            </m:ctrlPr>
          </m:dPr>
          <m:e>
            <m:sSub>
              <m:sSubPr>
                <m:ctrlPr>
                  <w:rPr>
                    <w:rFonts w:ascii="Cambria Math" w:hAnsi="Cambria Math"/>
                    <w:i/>
                  </w:rPr>
                </m:ctrlPr>
              </m:sSubPr>
              <m:e>
                <m:r>
                  <w:rPr>
                    <w:rFonts w:ascii="Cambria Math" w:hAnsi="Cambria Math"/>
                  </w:rPr>
                  <m:t>N</m:t>
                </m:r>
              </m:e>
              <m:sub>
                <m:r>
                  <w:rPr>
                    <w:rFonts w:ascii="Cambria Math" w:hAnsi="Cambria Math"/>
                  </w:rPr>
                  <m:t>s</m:t>
                </m:r>
              </m:sub>
            </m:sSub>
            <m:ctrlPr>
              <w:rPr>
                <w:rFonts w:ascii="Cambria Math" w:hAnsi="Cambria Math"/>
                <w:i/>
              </w:rPr>
            </m:ctrlPr>
          </m:e>
        </m:d>
      </m:oMath>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t>(3.19)</w:t>
      </w:r>
    </w:p>
    <w:p w14:paraId="3E493DFF" w14:textId="3A0C504D" w:rsidR="00A93D24" w:rsidRDefault="00A93D24" w:rsidP="00A93D24">
      <w:pPr>
        <w:ind w:firstLine="0"/>
      </w:pPr>
      <w:r>
        <w:rPr>
          <w:rFonts w:eastAsiaTheme="minorEastAsia"/>
        </w:rPr>
        <w:t>where</w:t>
      </w:r>
      <w:r w:rsidR="00505ECA">
        <w:rPr>
          <w:rFonts w:eastAsiaTheme="minorEastAsia"/>
        </w:rPr>
        <w:t xml:space="preserve"> </w:t>
      </w:r>
      <m:oMath>
        <m:r>
          <w:rPr>
            <w:rFonts w:ascii="Cambria Math" w:eastAsiaTheme="minorEastAsia" w:hAnsi="Cambria Math"/>
          </w:rPr>
          <m:t>N</m:t>
        </m:r>
      </m:oMath>
      <w:r>
        <w:rPr>
          <w:rFonts w:eastAsiaTheme="minorEastAsia"/>
        </w:rPr>
        <w:t xml:space="preserve"> is the</w:t>
      </w:r>
      <w:r w:rsidR="00505ECA">
        <w:rPr>
          <w:rFonts w:eastAsiaTheme="minorEastAsia"/>
        </w:rPr>
        <w:t xml:space="preserve"> number of moles</w:t>
      </w:r>
      <w:r>
        <w:rPr>
          <w:rFonts w:eastAsiaTheme="minorEastAsia"/>
        </w:rPr>
        <w:t xml:space="preserve"> of species </w:t>
      </w:r>
      <m:oMath>
        <m:r>
          <w:rPr>
            <w:rFonts w:ascii="Cambria Math" w:eastAsiaTheme="minorEastAsia" w:hAnsi="Cambria Math"/>
          </w:rPr>
          <m:t>s</m:t>
        </m:r>
      </m:oMath>
      <w:r>
        <w:rPr>
          <w:rFonts w:eastAsiaTheme="minorEastAsia"/>
        </w:rPr>
        <w:t xml:space="preserve">. Since the inlet concentrations are known, and the reactions dictate further changes in concentration through the cell, EES can combine these equations to converge a solution for these variables. The partial pressure for each species </w:t>
      </w:r>
      <m:oMath>
        <m:r>
          <w:rPr>
            <w:rFonts w:ascii="Cambria Math" w:eastAsiaTheme="minorEastAsia" w:hAnsi="Cambria Math"/>
          </w:rPr>
          <m:t>i</m:t>
        </m:r>
      </m:oMath>
      <w:r>
        <w:rPr>
          <w:rFonts w:eastAsiaTheme="minorEastAsia"/>
        </w:rPr>
        <w:t xml:space="preserve"> can also be determined as the product of the mol</w:t>
      </w:r>
      <w:r w:rsidR="00181881">
        <w:rPr>
          <w:rFonts w:eastAsiaTheme="minorEastAsia"/>
        </w:rPr>
        <w:t>e perce</w:t>
      </w:r>
      <w:r w:rsidR="006D0E64">
        <w:rPr>
          <w:rFonts w:eastAsiaTheme="minorEastAsia"/>
        </w:rPr>
        <w:t xml:space="preserve">nt </w:t>
      </w:r>
      <w:r>
        <w:rPr>
          <w:rFonts w:eastAsiaTheme="minorEastAsia"/>
        </w:rPr>
        <w:t xml:space="preserve">and the pressure. </w:t>
      </w:r>
      <w:r>
        <w:t>The partial pressure is critical to the reaction mechanisms as it determines the equilibrium of the reactions as discussed earlier.</w:t>
      </w:r>
    </w:p>
    <w:p w14:paraId="1ADC3309" w14:textId="77777777" w:rsidR="00A93D24" w:rsidRDefault="00A93D24" w:rsidP="00A93D24">
      <w:r>
        <w:t>With these terms formulated, the final step in the mass balance is to model the change in concentrations due to the reactions in the air and fuel bulk flow streams. For the fuel side, which does not contain significant amounts of nitrogen or oxygen, the following system of equations is used for each unit of discretization along the Z axis:</w:t>
      </w:r>
    </w:p>
    <w:p w14:paraId="0C9EB11F" w14:textId="284E5B71" w:rsidR="00A93D24" w:rsidRPr="008D7C51" w:rsidRDefault="00A93D24" w:rsidP="00A93D24">
      <w:pPr>
        <w:jc w:val="right"/>
        <w:rPr>
          <w:rFonts w:eastAsiaTheme="minorEastAsia"/>
        </w:rPr>
      </w:pPr>
      <m:oMath>
        <m:r>
          <w:rPr>
            <w:rFonts w:ascii="Cambria Math" w:hAnsi="Cambria Math"/>
          </w:rPr>
          <m:t>0=</m:t>
        </m:r>
        <m:sSub>
          <m:sSubPr>
            <m:ctrlPr>
              <w:rPr>
                <w:rFonts w:ascii="Cambria Math" w:hAnsi="Cambria Math"/>
                <w:i/>
              </w:rPr>
            </m:ctrlPr>
          </m:sSubPr>
          <m:e>
            <m:r>
              <w:rPr>
                <w:rFonts w:ascii="Cambria Math" w:hAnsi="Cambria Math"/>
              </w:rPr>
              <m:t>N</m:t>
            </m:r>
          </m:e>
          <m:sub>
            <m:r>
              <w:rPr>
                <w:rFonts w:ascii="Cambria Math" w:hAnsi="Cambria Math"/>
              </w:rPr>
              <m:t>CH4,i-1</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CH4,i</m:t>
            </m:r>
          </m:sub>
        </m:sSub>
        <m:r>
          <w:rPr>
            <w:rFonts w:ascii="Cambria Math" w:hAnsi="Cambria Math"/>
          </w:rPr>
          <m:t>-2*</m:t>
        </m:r>
        <m:sSub>
          <m:sSubPr>
            <m:ctrlPr>
              <w:rPr>
                <w:rFonts w:ascii="Cambria Math" w:hAnsi="Cambria Math"/>
                <w:i/>
              </w:rPr>
            </m:ctrlPr>
          </m:sSubPr>
          <m:e>
            <m:r>
              <w:rPr>
                <w:rFonts w:ascii="Cambria Math" w:hAnsi="Cambria Math"/>
              </w:rPr>
              <m:t>r</m:t>
            </m:r>
          </m:e>
          <m:sub>
            <m:r>
              <w:rPr>
                <w:rFonts w:ascii="Cambria Math" w:hAnsi="Cambria Math"/>
              </w:rPr>
              <m:t>me,i</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bt,i</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po,i</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sr,i</m:t>
            </m:r>
          </m:sub>
        </m:sSub>
      </m:oMath>
      <w:r>
        <w:rPr>
          <w:rFonts w:eastAsiaTheme="minorEastAsia"/>
        </w:rPr>
        <w:tab/>
      </w:r>
      <w:r>
        <w:rPr>
          <w:rFonts w:eastAsiaTheme="minorEastAsia"/>
        </w:rPr>
        <w:tab/>
      </w:r>
      <w:r>
        <w:rPr>
          <w:rFonts w:eastAsiaTheme="minorEastAsia"/>
        </w:rPr>
        <w:tab/>
        <w:t>(3.20)</w:t>
      </w:r>
    </w:p>
    <w:p w14:paraId="3EFDA55D" w14:textId="78B40200" w:rsidR="00A93D24" w:rsidRPr="002116F2" w:rsidRDefault="00A93D24" w:rsidP="00A93D24">
      <w:pPr>
        <w:rPr>
          <w:rFonts w:eastAsiaTheme="minorEastAsia"/>
        </w:rPr>
      </w:pPr>
      <m:oMathPara>
        <m:oMath>
          <m:r>
            <w:rPr>
              <w:rFonts w:ascii="Cambria Math" w:hAnsi="Cambria Math"/>
            </w:rPr>
            <m:t>0=</m:t>
          </m:r>
          <m:sSub>
            <m:sSubPr>
              <m:ctrlPr>
                <w:rPr>
                  <w:rFonts w:ascii="Cambria Math" w:hAnsi="Cambria Math"/>
                  <w:i/>
                </w:rPr>
              </m:ctrlPr>
            </m:sSubPr>
            <m:e>
              <m:r>
                <w:rPr>
                  <w:rFonts w:ascii="Cambria Math" w:hAnsi="Cambria Math"/>
                </w:rPr>
                <m:t>N</m:t>
              </m:r>
            </m:e>
            <m:sub>
              <m:r>
                <w:rPr>
                  <w:rFonts w:ascii="Cambria Math" w:hAnsi="Cambria Math"/>
                </w:rPr>
                <m:t>C2H4,i-1</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C2H4,i</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me,i</m:t>
              </m:r>
            </m:sub>
          </m:sSub>
          <m:r>
            <w:rPr>
              <w:rFonts w:ascii="Cambria Math" w:hAnsi="Cambria Math"/>
            </w:rPr>
            <m:t>-3*</m:t>
          </m:r>
          <m:sSub>
            <m:sSubPr>
              <m:ctrlPr>
                <w:rPr>
                  <w:rFonts w:ascii="Cambria Math" w:hAnsi="Cambria Math"/>
                  <w:i/>
                </w:rPr>
              </m:ctrlPr>
            </m:sSubPr>
            <m:e>
              <m:r>
                <w:rPr>
                  <w:rFonts w:ascii="Cambria Math" w:hAnsi="Cambria Math"/>
                </w:rPr>
                <m:t>r</m:t>
              </m:r>
            </m:e>
            <m:sub>
              <m:r>
                <w:rPr>
                  <w:rFonts w:ascii="Cambria Math" w:hAnsi="Cambria Math"/>
                </w:rPr>
                <m:t>eb,i</m:t>
              </m:r>
            </m:sub>
          </m:sSub>
        </m:oMath>
      </m:oMathPara>
    </w:p>
    <w:p w14:paraId="23BDB5FB" w14:textId="3E453975" w:rsidR="00A93D24" w:rsidRPr="00ED76B9" w:rsidRDefault="00A93D24" w:rsidP="00A93D24">
      <w:pPr>
        <w:rPr>
          <w:rFonts w:eastAsiaTheme="minorEastAsia"/>
        </w:rPr>
      </w:pPr>
      <m:oMathPara>
        <m:oMath>
          <m:r>
            <w:rPr>
              <w:rFonts w:ascii="Cambria Math" w:hAnsi="Cambria Math"/>
            </w:rPr>
            <m:t>0=</m:t>
          </m:r>
          <m:sSub>
            <m:sSubPr>
              <m:ctrlPr>
                <w:rPr>
                  <w:rFonts w:ascii="Cambria Math" w:hAnsi="Cambria Math"/>
                  <w:i/>
                </w:rPr>
              </m:ctrlPr>
            </m:sSubPr>
            <m:e>
              <m:r>
                <w:rPr>
                  <w:rFonts w:ascii="Cambria Math" w:hAnsi="Cambria Math"/>
                </w:rPr>
                <m:t>N</m:t>
              </m:r>
            </m:e>
            <m:sub>
              <m:r>
                <w:rPr>
                  <w:rFonts w:ascii="Cambria Math" w:hAnsi="Cambria Math"/>
                </w:rPr>
                <m:t>C6H6,i-1</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C6H6,i</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eb,i</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bt,i</m:t>
              </m:r>
            </m:sub>
          </m:sSub>
        </m:oMath>
      </m:oMathPara>
    </w:p>
    <w:p w14:paraId="3FFB25D1" w14:textId="7AF0E13D" w:rsidR="00A93D24" w:rsidRPr="00411A18" w:rsidRDefault="00A93D24" w:rsidP="00A93D24">
      <w:pPr>
        <w:rPr>
          <w:rFonts w:eastAsiaTheme="minorEastAsia"/>
        </w:rPr>
      </w:pPr>
      <m:oMathPara>
        <m:oMath>
          <m:r>
            <w:rPr>
              <w:rFonts w:ascii="Cambria Math" w:hAnsi="Cambria Math"/>
            </w:rPr>
            <m:t>0=</m:t>
          </m:r>
          <m:sSub>
            <m:sSubPr>
              <m:ctrlPr>
                <w:rPr>
                  <w:rFonts w:ascii="Cambria Math" w:hAnsi="Cambria Math"/>
                  <w:i/>
                </w:rPr>
              </m:ctrlPr>
            </m:sSubPr>
            <m:e>
              <m:r>
                <w:rPr>
                  <w:rFonts w:ascii="Cambria Math" w:hAnsi="Cambria Math"/>
                </w:rPr>
                <m:t>N</m:t>
              </m:r>
            </m:e>
            <m:sub>
              <m:r>
                <w:rPr>
                  <w:rFonts w:ascii="Cambria Math" w:hAnsi="Cambria Math"/>
                </w:rPr>
                <m:t xml:space="preserve">C7H8,i-1 </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C7H8,i</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bt,i</m:t>
              </m:r>
            </m:sub>
          </m:sSub>
        </m:oMath>
      </m:oMathPara>
    </w:p>
    <w:p w14:paraId="20E68F48" w14:textId="68BA267B" w:rsidR="00A93D24" w:rsidRPr="00BC7B90" w:rsidRDefault="00A93D24" w:rsidP="00A93D24">
      <w:pPr>
        <w:rPr>
          <w:rFonts w:eastAsiaTheme="minorEastAsia"/>
        </w:rPr>
      </w:pPr>
      <m:oMathPara>
        <m:oMath>
          <m:r>
            <w:rPr>
              <w:rFonts w:ascii="Cambria Math" w:eastAsiaTheme="minorEastAsia" w:hAnsi="Cambria Math"/>
            </w:rPr>
            <m:t>0=</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CO,i-1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CO,i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po,i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wgs,i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sr,i</m:t>
              </m:r>
            </m:sub>
          </m:sSub>
        </m:oMath>
      </m:oMathPara>
    </w:p>
    <w:p w14:paraId="48137427" w14:textId="156236A1" w:rsidR="00A93D24" w:rsidRPr="0023681C" w:rsidRDefault="00A93D24" w:rsidP="00A93D24">
      <w:pPr>
        <w:rPr>
          <w:rFonts w:eastAsiaTheme="minorEastAsia"/>
        </w:rPr>
      </w:pPr>
      <m:oMathPara>
        <m:oMath>
          <m:r>
            <w:rPr>
              <w:rFonts w:ascii="Cambria Math" w:eastAsiaTheme="minorEastAsia" w:hAnsi="Cambria Math"/>
            </w:rPr>
            <m:t>0=</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2</m:t>
                  </m:r>
                </m:sub>
              </m:sSub>
              <m:r>
                <w:rPr>
                  <w:rFonts w:ascii="Cambria Math" w:eastAsiaTheme="minorEastAsia" w:hAnsi="Cambria Math"/>
                </w:rPr>
                <m:t>,i-1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2</m:t>
                  </m:r>
                </m:sub>
              </m:s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wgs,i</m:t>
              </m:r>
            </m:sub>
          </m:sSub>
        </m:oMath>
      </m:oMathPara>
    </w:p>
    <w:p w14:paraId="2D5BE272" w14:textId="523406E6" w:rsidR="00A93D24" w:rsidRPr="00FD6CD4" w:rsidRDefault="00A93D24" w:rsidP="00A93D24">
      <w:pPr>
        <w:rPr>
          <w:rFonts w:eastAsiaTheme="minorEastAsia"/>
        </w:rPr>
      </w:pPr>
      <m:oMathPara>
        <m:oMath>
          <m:r>
            <w:rPr>
              <w:rFonts w:ascii="Cambria Math" w:eastAsiaTheme="minorEastAsia" w:hAnsi="Cambria Math"/>
            </w:rPr>
            <m:t>0=</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H2O,i-1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H2O,i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wgs,i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sr,i</m:t>
              </m:r>
            </m:sub>
          </m:sSub>
        </m:oMath>
      </m:oMathPara>
    </w:p>
    <w:p w14:paraId="390B06EE" w14:textId="25A35DE1" w:rsidR="00A93D24" w:rsidRPr="0065052D" w:rsidRDefault="00A93D24" w:rsidP="00A93D24">
      <w:pPr>
        <w:rPr>
          <w:rFonts w:eastAsiaTheme="minorEastAsia"/>
        </w:rPr>
      </w:pPr>
      <m:oMathPara>
        <m:oMath>
          <m:r>
            <w:rPr>
              <w:rFonts w:ascii="Cambria Math" w:eastAsiaTheme="minorEastAsia" w:hAnsi="Cambria Math"/>
            </w:rPr>
            <m:t>0=</m:t>
          </m:r>
          <m:sSub>
            <m:sSubPr>
              <m:ctrlPr>
                <w:rPr>
                  <w:rFonts w:ascii="Cambria Math" w:eastAsiaTheme="minorEastAsia" w:hAnsi="Cambria Math"/>
                  <w:i/>
                </w:rPr>
              </m:ctrlPr>
            </m:sSubPr>
            <m:e>
              <m:r>
                <w:rPr>
                  <w:rFonts w:ascii="Cambria Math" w:eastAsiaTheme="minorEastAsia" w:hAnsi="Cambria Math"/>
                </w:rPr>
                <m:t>N</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,i-1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,i</m:t>
              </m:r>
            </m:sub>
          </m:sSub>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me,i</m:t>
              </m:r>
            </m:sub>
          </m:sSub>
          <m:r>
            <w:rPr>
              <w:rFonts w:ascii="Cambria Math" w:eastAsiaTheme="minorEastAsia" w:hAnsi="Cambria Math"/>
            </w:rPr>
            <m:t>+3*</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eb,i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bt,i</m:t>
              </m:r>
            </m:sub>
          </m:sSub>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po,i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orr,i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wgs,i</m:t>
              </m:r>
            </m:sub>
          </m:sSub>
          <m:r>
            <w:rPr>
              <w:rFonts w:ascii="Cambria Math" w:eastAsiaTheme="minorEastAsia" w:hAnsi="Cambria Math"/>
            </w:rPr>
            <m:t>+3*</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sr,i</m:t>
              </m:r>
            </m:sub>
          </m:sSub>
        </m:oMath>
      </m:oMathPara>
    </w:p>
    <w:p w14:paraId="7715B84B" w14:textId="77777777" w:rsidR="00A93D24" w:rsidRDefault="00A93D24" w:rsidP="00A93D24">
      <w:pPr>
        <w:ind w:firstLine="0"/>
        <w:rPr>
          <w:rFonts w:eastAsiaTheme="minorEastAsia"/>
        </w:rPr>
      </w:pPr>
      <w:r>
        <w:rPr>
          <w:rFonts w:eastAsiaTheme="minorEastAsia"/>
        </w:rPr>
        <w:t xml:space="preserve">where </w:t>
      </w:r>
      <m:oMath>
        <m:r>
          <w:rPr>
            <w:rFonts w:ascii="Cambria Math" w:eastAsiaTheme="minorEastAsia" w:hAnsi="Cambria Math"/>
          </w:rPr>
          <m:t>i</m:t>
        </m:r>
      </m:oMath>
      <w:r>
        <w:rPr>
          <w:rFonts w:eastAsiaTheme="minorEastAsia"/>
        </w:rPr>
        <w:t xml:space="preserve"> is the discretization unit along the Z axis.</w:t>
      </w:r>
    </w:p>
    <w:p w14:paraId="174BFB4D" w14:textId="77777777" w:rsidR="00A93D24" w:rsidRDefault="00A93D24" w:rsidP="00A93D24">
      <w:pPr>
        <w:rPr>
          <w:rFonts w:eastAsiaTheme="minorEastAsia"/>
        </w:rPr>
      </w:pPr>
      <w:r>
        <w:rPr>
          <w:rFonts w:eastAsiaTheme="minorEastAsia"/>
        </w:rPr>
        <w:t xml:space="preserve">This setup accounts only for the reactions considered in this study. If other reactions were to be added in, the general form for the above system of equations could be written as </w:t>
      </w:r>
    </w:p>
    <w:p w14:paraId="58F47BBC" w14:textId="77777777" w:rsidR="00A93D24" w:rsidRPr="00DB252E" w:rsidRDefault="00A93D24" w:rsidP="00A93D24">
      <w:pPr>
        <w:jc w:val="right"/>
        <w:rPr>
          <w:rFonts w:eastAsiaTheme="minorEastAsia"/>
        </w:rPr>
      </w:pPr>
      <m:oMath>
        <m:r>
          <w:rPr>
            <w:rFonts w:ascii="Cambria Math" w:eastAsiaTheme="minorEastAsia" w:hAnsi="Cambria Math"/>
          </w:rPr>
          <m:t>0=</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s,i-1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s,i</m:t>
                </m:r>
              </m:sub>
            </m:sSub>
          </m:e>
        </m:d>
        <m:r>
          <w:rPr>
            <w:rFonts w:ascii="Cambria Math" w:eastAsiaTheme="minorEastAsia" w:hAnsi="Cambria Math"/>
          </w:rPr>
          <m:t>+</m:t>
        </m:r>
        <m:r>
          <m:rPr>
            <m:sty m:val="p"/>
          </m:rPr>
          <w:rPr>
            <w:rFonts w:ascii="Cambria Math" w:eastAsiaTheme="minorEastAsia" w:hAnsi="Cambria Math"/>
          </w:rPr>
          <m:t>Σ</m:t>
        </m:r>
        <m:d>
          <m:dPr>
            <m:ctrlPr>
              <w:rPr>
                <w:rFonts w:ascii="Cambria Math" w:eastAsiaTheme="minorEastAsia" w:hAnsi="Cambria Math"/>
              </w:rPr>
            </m:ctrlPr>
          </m:dPr>
          <m:e>
            <m:sSub>
              <m:sSubPr>
                <m:ctrlPr>
                  <w:rPr>
                    <w:rFonts w:ascii="Cambria Math" w:eastAsiaTheme="minorEastAsia" w:hAnsi="Cambria Math"/>
                    <w:i/>
                  </w:rPr>
                </m:ctrlPr>
              </m:sSubPr>
              <m:e>
                <m:r>
                  <w:rPr>
                    <w:rFonts w:ascii="Cambria Math" w:eastAsiaTheme="minorEastAsia" w:hAnsi="Cambria Math"/>
                  </w:rPr>
                  <m:t>ν</m:t>
                </m:r>
              </m:e>
              <m:sub>
                <m:r>
                  <w:rPr>
                    <w:rFonts w:ascii="Cambria Math" w:eastAsiaTheme="minorEastAsia" w:hAnsi="Cambria Math"/>
                  </w:rPr>
                  <m:t>s,k</m:t>
                </m:r>
              </m:sub>
            </m:sSub>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k</m:t>
                </m:r>
              </m:sub>
            </m:sSub>
            <m:ctrlPr>
              <w:rPr>
                <w:rFonts w:ascii="Cambria Math" w:eastAsiaTheme="minorEastAsia" w:hAnsi="Cambria Math"/>
                <w:i/>
              </w:rPr>
            </m:ctrlPr>
          </m:e>
        </m:d>
        <m:r>
          <w:rPr>
            <w:rFonts w:ascii="Cambria Math" w:eastAsiaTheme="minorEastAsia" w:hAnsi="Cambria Math"/>
          </w:rPr>
          <m:t>,  k∈{All reactions}</m:t>
        </m:r>
      </m:oMath>
      <w:r>
        <w:rPr>
          <w:rFonts w:eastAsiaTheme="minorEastAsia"/>
        </w:rPr>
        <w:tab/>
      </w:r>
      <w:r>
        <w:rPr>
          <w:rFonts w:eastAsiaTheme="minorEastAsia"/>
        </w:rPr>
        <w:tab/>
      </w:r>
      <w:r>
        <w:rPr>
          <w:rFonts w:eastAsiaTheme="minorEastAsia"/>
        </w:rPr>
        <w:tab/>
        <w:t>(3.21)</w:t>
      </w:r>
    </w:p>
    <w:p w14:paraId="363BAF11" w14:textId="77777777" w:rsidR="00A93D24" w:rsidRDefault="00A93D24" w:rsidP="00A93D24">
      <w:pPr>
        <w:ind w:firstLine="0"/>
        <w:rPr>
          <w:rFonts w:eastAsiaTheme="minorEastAsia"/>
        </w:rPr>
      </w:pPr>
      <w:r>
        <w:rPr>
          <w:rFonts w:eastAsiaTheme="minorEastAsia"/>
        </w:rPr>
        <w:t xml:space="preserve">where </w:t>
      </w:r>
      <m:oMath>
        <m:r>
          <w:rPr>
            <w:rFonts w:ascii="Cambria Math" w:eastAsiaTheme="minorEastAsia" w:hAnsi="Cambria Math"/>
          </w:rPr>
          <m:t xml:space="preserve">s </m:t>
        </m:r>
      </m:oMath>
      <w:r>
        <w:rPr>
          <w:rFonts w:eastAsiaTheme="minorEastAsia"/>
        </w:rPr>
        <w:t>is the component species (</w:t>
      </w:r>
      <m:oMath>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4</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m:t>
        </m:r>
      </m:oMath>
      <w:r>
        <w:rPr>
          <w:rFonts w:eastAsiaTheme="minorEastAsia"/>
        </w:rPr>
        <w:t xml:space="preserve">, </w:t>
      </w:r>
      <m:oMath>
        <m:r>
          <w:rPr>
            <w:rFonts w:ascii="Cambria Math" w:eastAsiaTheme="minorEastAsia" w:hAnsi="Cambria Math"/>
          </w:rPr>
          <m:t>k</m:t>
        </m:r>
      </m:oMath>
      <w:r>
        <w:rPr>
          <w:rFonts w:eastAsiaTheme="minorEastAsia"/>
        </w:rPr>
        <w:t xml:space="preserve"> is all included reactions, and </w:t>
      </w:r>
      <m:oMath>
        <m:r>
          <w:rPr>
            <w:rFonts w:ascii="Cambria Math" w:eastAsiaTheme="minorEastAsia" w:hAnsi="Cambria Math"/>
          </w:rPr>
          <m:t>ν</m:t>
        </m:r>
      </m:oMath>
      <w:r>
        <w:rPr>
          <w:rFonts w:eastAsiaTheme="minorEastAsia"/>
        </w:rPr>
        <w:t xml:space="preserve"> is the stoichiometric coefficient for the corresponding elementary component. Applying this general form to the air side yields the following equations:</w:t>
      </w:r>
    </w:p>
    <w:p w14:paraId="2AB7FBDD" w14:textId="432E81B5" w:rsidR="00A93D24" w:rsidRPr="00073D2E" w:rsidRDefault="00A93D24" w:rsidP="00A93D24">
      <w:pPr>
        <w:ind w:firstLine="0"/>
        <w:jc w:val="right"/>
        <w:rPr>
          <w:rFonts w:eastAsiaTheme="minorEastAsia"/>
          <w:color w:val="000000"/>
          <w:kern w:val="0"/>
          <w:sz w:val="20"/>
          <w:szCs w:val="20"/>
        </w:rPr>
      </w:pPr>
      <m:oMath>
        <m:r>
          <m:rPr>
            <m:sty m:val="p"/>
          </m:rPr>
          <w:rPr>
            <w:rFonts w:ascii="Cambria Math" w:hAnsi="Cambria Math" w:cs="Arial"/>
            <w:color w:val="000000"/>
            <w:kern w:val="0"/>
            <w:sz w:val="20"/>
            <w:szCs w:val="20"/>
          </w:rPr>
          <m:t>0=</m:t>
        </m:r>
        <m:sSub>
          <m:sSubPr>
            <m:ctrlPr>
              <w:rPr>
                <w:rFonts w:ascii="Cambria Math" w:hAnsi="Cambria Math" w:cs="Arial"/>
                <w:color w:val="000000"/>
                <w:kern w:val="0"/>
                <w:sz w:val="20"/>
                <w:szCs w:val="20"/>
              </w:rPr>
            </m:ctrlPr>
          </m:sSubPr>
          <m:e>
            <m:r>
              <m:rPr>
                <m:sty m:val="p"/>
              </m:rPr>
              <w:rPr>
                <w:rFonts w:ascii="Cambria Math" w:hAnsi="Cambria Math" w:cs="Arial"/>
                <w:color w:val="000000"/>
                <w:kern w:val="0"/>
                <w:sz w:val="20"/>
                <w:szCs w:val="20"/>
              </w:rPr>
              <m:t>N</m:t>
            </m:r>
          </m:e>
          <m:sub>
            <m:sSub>
              <m:sSubPr>
                <m:ctrlPr>
                  <w:rPr>
                    <w:rFonts w:ascii="Cambria Math" w:hAnsi="Cambria Math" w:cs="Arial"/>
                    <w:color w:val="000000"/>
                    <w:kern w:val="0"/>
                    <w:sz w:val="20"/>
                    <w:szCs w:val="20"/>
                  </w:rPr>
                </m:ctrlPr>
              </m:sSubPr>
              <m:e>
                <m:r>
                  <m:rPr>
                    <m:sty m:val="p"/>
                  </m:rPr>
                  <w:rPr>
                    <w:rFonts w:ascii="Cambria Math" w:hAnsi="Cambria Math" w:cs="Arial"/>
                    <w:color w:val="000000"/>
                    <w:kern w:val="0"/>
                    <w:sz w:val="20"/>
                    <w:szCs w:val="20"/>
                  </w:rPr>
                  <m:t>O</m:t>
                </m:r>
              </m:e>
              <m:sub>
                <m:r>
                  <m:rPr>
                    <m:sty m:val="p"/>
                  </m:rPr>
                  <w:rPr>
                    <w:rFonts w:ascii="Cambria Math" w:hAnsi="Cambria Math" w:cs="Arial"/>
                    <w:color w:val="000000"/>
                    <w:kern w:val="0"/>
                    <w:sz w:val="20"/>
                    <w:szCs w:val="20"/>
                  </w:rPr>
                  <m:t>2</m:t>
                </m:r>
              </m:sub>
            </m:sSub>
            <m:r>
              <w:rPr>
                <w:rFonts w:ascii="Cambria Math" w:hAnsi="Cambria Math" w:cs="Arial"/>
                <w:color w:val="000000"/>
                <w:kern w:val="0"/>
                <w:sz w:val="20"/>
                <w:szCs w:val="20"/>
              </w:rPr>
              <m:t>,i-1</m:t>
            </m:r>
          </m:sub>
        </m:sSub>
        <m:r>
          <m:rPr>
            <m:sty m:val="p"/>
          </m:rPr>
          <w:rPr>
            <w:rFonts w:ascii="Cambria Math" w:hAnsi="Cambria Math" w:cs="Arial"/>
            <w:color w:val="000000"/>
            <w:kern w:val="0"/>
            <w:sz w:val="20"/>
            <w:szCs w:val="20"/>
          </w:rPr>
          <m:t>-</m:t>
        </m:r>
        <m:sSub>
          <m:sSubPr>
            <m:ctrlPr>
              <w:rPr>
                <w:rFonts w:ascii="Cambria Math" w:hAnsi="Cambria Math" w:cs="Arial"/>
                <w:color w:val="000000"/>
                <w:kern w:val="0"/>
                <w:sz w:val="20"/>
                <w:szCs w:val="20"/>
              </w:rPr>
            </m:ctrlPr>
          </m:sSubPr>
          <m:e>
            <m:r>
              <m:rPr>
                <m:sty m:val="p"/>
              </m:rPr>
              <w:rPr>
                <w:rFonts w:ascii="Cambria Math" w:hAnsi="Cambria Math" w:cs="Arial"/>
                <w:color w:val="000000"/>
                <w:kern w:val="0"/>
                <w:sz w:val="20"/>
                <w:szCs w:val="20"/>
              </w:rPr>
              <m:t>N</m:t>
            </m:r>
          </m:e>
          <m:sub>
            <m:sSub>
              <m:sSubPr>
                <m:ctrlPr>
                  <w:rPr>
                    <w:rFonts w:ascii="Cambria Math" w:hAnsi="Cambria Math" w:cs="Arial"/>
                    <w:color w:val="000000"/>
                    <w:kern w:val="0"/>
                    <w:sz w:val="20"/>
                    <w:szCs w:val="20"/>
                  </w:rPr>
                </m:ctrlPr>
              </m:sSubPr>
              <m:e>
                <m:r>
                  <m:rPr>
                    <m:sty m:val="p"/>
                  </m:rPr>
                  <w:rPr>
                    <w:rFonts w:ascii="Cambria Math" w:hAnsi="Cambria Math" w:cs="Arial"/>
                    <w:color w:val="000000"/>
                    <w:kern w:val="0"/>
                    <w:sz w:val="20"/>
                    <w:szCs w:val="20"/>
                  </w:rPr>
                  <m:t>O</m:t>
                </m:r>
              </m:e>
              <m:sub>
                <m:r>
                  <m:rPr>
                    <m:sty m:val="p"/>
                  </m:rPr>
                  <w:rPr>
                    <w:rFonts w:ascii="Cambria Math" w:hAnsi="Cambria Math" w:cs="Arial"/>
                    <w:color w:val="000000"/>
                    <w:kern w:val="0"/>
                    <w:sz w:val="20"/>
                    <w:szCs w:val="20"/>
                  </w:rPr>
                  <m:t>2</m:t>
                </m:r>
              </m:sub>
            </m:sSub>
            <m:r>
              <w:rPr>
                <w:rFonts w:ascii="Cambria Math" w:hAnsi="Cambria Math" w:cs="Arial"/>
                <w:color w:val="000000"/>
                <w:kern w:val="0"/>
                <w:sz w:val="20"/>
                <w:szCs w:val="20"/>
              </w:rPr>
              <m:t>,i</m:t>
            </m:r>
          </m:sub>
        </m:sSub>
        <m:r>
          <m:rPr>
            <m:sty m:val="p"/>
          </m:rPr>
          <w:rPr>
            <w:rFonts w:ascii="Cambria Math" w:hAnsi="Cambria Math" w:cs="Arial"/>
            <w:color w:val="000000"/>
            <w:kern w:val="0"/>
            <w:sz w:val="20"/>
            <w:szCs w:val="20"/>
          </w:rPr>
          <m:t>-.5*</m:t>
        </m:r>
        <m:sSub>
          <m:sSubPr>
            <m:ctrlPr>
              <w:rPr>
                <w:rFonts w:ascii="Cambria Math" w:hAnsi="Cambria Math" w:cs="Arial"/>
                <w:color w:val="000000"/>
                <w:kern w:val="0"/>
                <w:sz w:val="20"/>
                <w:szCs w:val="20"/>
              </w:rPr>
            </m:ctrlPr>
          </m:sSubPr>
          <m:e>
            <m:r>
              <m:rPr>
                <m:sty m:val="p"/>
              </m:rPr>
              <w:rPr>
                <w:rFonts w:ascii="Cambria Math" w:hAnsi="Cambria Math" w:cs="Arial"/>
                <w:color w:val="000000"/>
                <w:kern w:val="0"/>
                <w:sz w:val="20"/>
                <w:szCs w:val="20"/>
              </w:rPr>
              <m:t>r</m:t>
            </m:r>
          </m:e>
          <m:sub>
            <m:r>
              <m:rPr>
                <m:sty m:val="p"/>
              </m:rPr>
              <w:rPr>
                <w:rFonts w:ascii="Cambria Math" w:hAnsi="Cambria Math" w:cs="Arial"/>
                <w:color w:val="000000"/>
                <w:kern w:val="0"/>
                <w:sz w:val="20"/>
                <w:szCs w:val="20"/>
              </w:rPr>
              <m:t>orr</m:t>
            </m:r>
            <m:r>
              <w:rPr>
                <w:rFonts w:ascii="Cambria Math" w:hAnsi="Cambria Math" w:cs="Arial"/>
                <w:color w:val="000000"/>
                <w:kern w:val="0"/>
                <w:sz w:val="20"/>
                <w:szCs w:val="20"/>
              </w:rPr>
              <m:t>,i</m:t>
            </m:r>
          </m:sub>
        </m:sSub>
        <m:r>
          <m:rPr>
            <m:sty m:val="p"/>
          </m:rPr>
          <w:rPr>
            <w:rFonts w:ascii="Cambria Math" w:hAnsi="Cambria Math" w:cs="Arial"/>
            <w:color w:val="000000"/>
            <w:kern w:val="0"/>
            <w:sz w:val="20"/>
            <w:szCs w:val="20"/>
          </w:rPr>
          <m:t>-.5*</m:t>
        </m:r>
        <m:sSub>
          <m:sSubPr>
            <m:ctrlPr>
              <w:rPr>
                <w:rFonts w:ascii="Cambria Math" w:hAnsi="Cambria Math" w:cs="Arial"/>
                <w:color w:val="000000"/>
                <w:kern w:val="0"/>
                <w:sz w:val="20"/>
                <w:szCs w:val="20"/>
              </w:rPr>
            </m:ctrlPr>
          </m:sSubPr>
          <m:e>
            <m:r>
              <m:rPr>
                <m:sty m:val="p"/>
              </m:rPr>
              <w:rPr>
                <w:rFonts w:ascii="Cambria Math" w:hAnsi="Cambria Math" w:cs="Arial"/>
                <w:color w:val="000000"/>
                <w:kern w:val="0"/>
                <w:sz w:val="20"/>
                <w:szCs w:val="20"/>
              </w:rPr>
              <m:t>r</m:t>
            </m:r>
          </m:e>
          <m:sub>
            <m:r>
              <m:rPr>
                <m:sty m:val="p"/>
              </m:rPr>
              <w:rPr>
                <w:rFonts w:ascii="Cambria Math" w:hAnsi="Cambria Math" w:cs="Arial"/>
                <w:color w:val="000000"/>
                <w:kern w:val="0"/>
                <w:sz w:val="20"/>
                <w:szCs w:val="20"/>
              </w:rPr>
              <m:t>po</m:t>
            </m:r>
            <m:r>
              <w:rPr>
                <w:rFonts w:ascii="Cambria Math" w:hAnsi="Cambria Math" w:cs="Arial"/>
                <w:color w:val="000000"/>
                <w:kern w:val="0"/>
                <w:sz w:val="20"/>
                <w:szCs w:val="20"/>
              </w:rPr>
              <m:t>,i</m:t>
            </m:r>
          </m:sub>
        </m:sSub>
      </m:oMath>
      <w:r>
        <w:rPr>
          <w:rFonts w:eastAsiaTheme="minorEastAsia"/>
          <w:color w:val="000000"/>
          <w:kern w:val="0"/>
          <w:sz w:val="20"/>
          <w:szCs w:val="20"/>
        </w:rPr>
        <w:tab/>
      </w:r>
      <w:r>
        <w:rPr>
          <w:rFonts w:eastAsiaTheme="minorEastAsia"/>
          <w:color w:val="000000"/>
          <w:kern w:val="0"/>
          <w:sz w:val="20"/>
          <w:szCs w:val="20"/>
        </w:rPr>
        <w:tab/>
      </w:r>
      <w:r>
        <w:rPr>
          <w:rFonts w:eastAsiaTheme="minorEastAsia"/>
          <w:color w:val="000000"/>
          <w:kern w:val="0"/>
          <w:sz w:val="20"/>
          <w:szCs w:val="20"/>
        </w:rPr>
        <w:tab/>
      </w:r>
      <w:r w:rsidRPr="009A325C">
        <w:rPr>
          <w:rFonts w:eastAsiaTheme="minorEastAsia"/>
          <w:color w:val="000000"/>
          <w:kern w:val="0"/>
        </w:rPr>
        <w:t>(3.22)</w:t>
      </w:r>
    </w:p>
    <w:p w14:paraId="6F461B35" w14:textId="77777777" w:rsidR="00A93D24" w:rsidRPr="004E664C" w:rsidRDefault="00A93D24" w:rsidP="00A93D24">
      <w:pPr>
        <w:ind w:firstLine="0"/>
        <w:rPr>
          <w:rFonts w:eastAsiaTheme="minorEastAsia"/>
        </w:rPr>
      </w:pPr>
      <m:oMathPara>
        <m:oMath>
          <m:r>
            <w:rPr>
              <w:rFonts w:ascii="Cambria Math" w:eastAsiaTheme="minorEastAsia" w:hAnsi="Cambria Math"/>
            </w:rPr>
            <m:t>0=</m:t>
          </m:r>
          <m:sSub>
            <m:sSubPr>
              <m:ctrlPr>
                <w:rPr>
                  <w:rFonts w:ascii="Cambria Math" w:eastAsiaTheme="minorEastAsia" w:hAnsi="Cambria Math"/>
                  <w:i/>
                </w:rPr>
              </m:ctrlPr>
            </m:sSubPr>
            <m:e>
              <m:r>
                <w:rPr>
                  <w:rFonts w:ascii="Cambria Math" w:eastAsiaTheme="minorEastAsia" w:hAnsi="Cambria Math"/>
                </w:rPr>
                <m:t>N</m:t>
              </m:r>
            </m:e>
            <m:sub>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2</m:t>
                  </m:r>
                </m:sub>
              </m:sSub>
              <m:r>
                <w:rPr>
                  <w:rFonts w:ascii="Cambria Math" w:eastAsiaTheme="minorEastAsia" w:hAnsi="Cambria Math"/>
                </w:rPr>
                <m:t>,i-1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2</m:t>
                  </m:r>
                </m:sub>
              </m:sSub>
              <m:r>
                <w:rPr>
                  <w:rFonts w:ascii="Cambria Math" w:eastAsiaTheme="minorEastAsia" w:hAnsi="Cambria Math"/>
                </w:rPr>
                <m:t>,i</m:t>
              </m:r>
            </m:sub>
          </m:sSub>
        </m:oMath>
      </m:oMathPara>
    </w:p>
    <w:p w14:paraId="6F8EBCDB" w14:textId="5BF36E9F" w:rsidR="00A93D24" w:rsidRPr="00F05055" w:rsidRDefault="00A93D24" w:rsidP="00A93D24">
      <w:pPr>
        <w:ind w:firstLine="0"/>
        <w:rPr>
          <w:rFonts w:eastAsiaTheme="minorEastAsia"/>
        </w:rPr>
      </w:pPr>
      <m:oMathPara>
        <m:oMath>
          <m:r>
            <w:rPr>
              <w:rFonts w:ascii="Cambria Math" w:eastAsiaTheme="minorEastAsia" w:hAnsi="Cambria Math"/>
            </w:rPr>
            <m:t>0=</m:t>
          </m:r>
          <m:sSub>
            <m:sSubPr>
              <m:ctrlPr>
                <w:rPr>
                  <w:rFonts w:ascii="Cambria Math" w:eastAsiaTheme="minorEastAsia" w:hAnsi="Cambria Math"/>
                  <w:i/>
                </w:rPr>
              </m:ctrlPr>
            </m:sSubPr>
            <m:e>
              <m:r>
                <w:rPr>
                  <w:rFonts w:ascii="Cambria Math" w:eastAsiaTheme="minorEastAsia" w:hAnsi="Cambria Math"/>
                </w:rPr>
                <m:t>N</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O,i-1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O,i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orr,i</m:t>
              </m:r>
            </m:sub>
          </m:sSub>
        </m:oMath>
      </m:oMathPara>
    </w:p>
    <w:p w14:paraId="51F02075" w14:textId="77777777" w:rsidR="00A93D24" w:rsidRDefault="00A93D24" w:rsidP="00A93D24">
      <w:pPr>
        <w:pStyle w:val="Heading2"/>
        <w:rPr>
          <w:rFonts w:eastAsiaTheme="minorEastAsia"/>
        </w:rPr>
      </w:pPr>
      <w:bookmarkStart w:id="72" w:name="_Toc165641073"/>
      <w:r>
        <w:rPr>
          <w:rFonts w:eastAsiaTheme="minorEastAsia"/>
        </w:rPr>
        <w:t>3.4 Electrochemical Model</w:t>
      </w:r>
      <w:bookmarkEnd w:id="72"/>
    </w:p>
    <w:p w14:paraId="041A0EEF" w14:textId="77777777" w:rsidR="00A93D24" w:rsidRDefault="00A93D24" w:rsidP="00A93D24">
      <w:pPr>
        <w:pStyle w:val="Heading3"/>
      </w:pPr>
      <w:bookmarkStart w:id="73" w:name="_Toc165641074"/>
      <w:r>
        <w:t>3.4.1 Nernst Equation</w:t>
      </w:r>
      <w:bookmarkEnd w:id="73"/>
    </w:p>
    <w:p w14:paraId="76BBA5E9" w14:textId="77777777" w:rsidR="00A93D24" w:rsidRDefault="00A93D24" w:rsidP="00A93D24">
      <w:r>
        <w:t xml:space="preserve">Electrochemical modelling of fuel cells typically begins setting up the Nernst equation, which represents the theoretical maximum voltage an electrochemical reaction can generate, or the electromotive force. In this study, it is assumed that only the conducted protons contribute to the generated current. Specifically, that means the oxygen ions that are conducted to mitigate coking are ignored, and no other component in the fuel plays a role in the electrochemical process. Therefore, the Nernst equation in this system is represented by </w:t>
      </w:r>
    </w:p>
    <w:p w14:paraId="17D8D99A" w14:textId="77777777" w:rsidR="00A93D24" w:rsidRPr="00345B2F" w:rsidRDefault="00924E48" w:rsidP="00A93D24">
      <w:pPr>
        <w:jc w:val="right"/>
        <w:rPr>
          <w:rFonts w:eastAsiaTheme="minorEastAsia"/>
        </w:rPr>
      </w:pPr>
      <m:oMath>
        <m:sSub>
          <m:sSubPr>
            <m:ctrlPr>
              <w:rPr>
                <w:rFonts w:ascii="Cambria Math" w:hAnsi="Cambria Math"/>
                <w:i/>
              </w:rPr>
            </m:ctrlPr>
          </m:sSubPr>
          <m:e>
            <m:r>
              <w:rPr>
                <w:rFonts w:ascii="Cambria Math" w:hAnsi="Cambria Math"/>
              </w:rPr>
              <m:t>E</m:t>
            </m:r>
          </m:e>
          <m:sub>
            <m:r>
              <w:rPr>
                <w:rFonts w:ascii="Cambria Math" w:hAnsi="Cambria Math"/>
              </w:rPr>
              <m:t>nernst</m:t>
            </m:r>
          </m:sub>
        </m:sSub>
        <m:r>
          <w:rPr>
            <w:rFonts w:ascii="Cambria Math" w:hAnsi="Cambria Math"/>
          </w:rPr>
          <m:t>=</m:t>
        </m:r>
        <m:d>
          <m:dPr>
            <m:ctrlPr>
              <w:rPr>
                <w:rFonts w:ascii="Cambria Math" w:hAnsi="Cambria Math"/>
                <w:i/>
              </w:rPr>
            </m:ctrlPr>
          </m:dPr>
          <m:e>
            <m:f>
              <m:fPr>
                <m:ctrlPr>
                  <w:rPr>
                    <w:rFonts w:ascii="Cambria Math" w:hAnsi="Cambria Math"/>
                    <w:i/>
                  </w:rPr>
                </m:ctrlPr>
              </m:fPr>
              <m:num>
                <m:r>
                  <m:rPr>
                    <m:sty m:val="p"/>
                  </m:rPr>
                  <w:rPr>
                    <w:rFonts w:ascii="Cambria Math" w:hAnsi="Cambria Math"/>
                  </w:rPr>
                  <m:t>-</m:t>
                </m:r>
                <m:r>
                  <m:rPr>
                    <m:sty m:val="p"/>
                  </m:rPr>
                  <w:rPr>
                    <w:rFonts w:ascii="Cambria Math" w:hAnsi="Cambria Math"/>
                  </w:rPr>
                  <m:t>Δ</m:t>
                </m:r>
                <m:sSub>
                  <m:sSubPr>
                    <m:ctrlPr>
                      <w:rPr>
                        <w:rFonts w:ascii="Cambria Math" w:hAnsi="Cambria Math"/>
                        <w:i/>
                      </w:rPr>
                    </m:ctrlPr>
                  </m:sSubPr>
                  <m:e>
                    <m:r>
                      <w:rPr>
                        <w:rFonts w:ascii="Cambria Math" w:hAnsi="Cambria Math"/>
                      </w:rPr>
                      <m:t>G</m:t>
                    </m:r>
                  </m:e>
                  <m:sub>
                    <m:r>
                      <w:rPr>
                        <w:rFonts w:ascii="Cambria Math" w:hAnsi="Cambria Math"/>
                      </w:rPr>
                      <m:t>orr</m:t>
                    </m:r>
                  </m:sub>
                </m:sSub>
              </m:num>
              <m:den>
                <m:r>
                  <w:rPr>
                    <w:rFonts w:ascii="Cambria Math" w:hAnsi="Cambria Math"/>
                  </w:rPr>
                  <m:t>n</m:t>
                </m:r>
                <m:r>
                  <w:rPr>
                    <w:rFonts w:ascii="Cambria Math" w:hAnsi="Cambria Math"/>
                  </w:rPr>
                  <m:t>*</m:t>
                </m:r>
                <m:r>
                  <w:rPr>
                    <w:rFonts w:ascii="Cambria Math" w:hAnsi="Cambria Math"/>
                  </w:rPr>
                  <m:t>F</m:t>
                </m:r>
              </m:den>
            </m:f>
          </m:e>
        </m:d>
        <m:r>
          <w:rPr>
            <w:rFonts w:ascii="Cambria Math" w:hAnsi="Cambria Math"/>
          </w:rPr>
          <m:t>+</m:t>
        </m:r>
        <m:f>
          <m:fPr>
            <m:ctrlPr>
              <w:rPr>
                <w:rFonts w:ascii="Cambria Math" w:hAnsi="Cambria Math"/>
                <w:i/>
              </w:rPr>
            </m:ctrlPr>
          </m:fPr>
          <m:num>
            <m:r>
              <w:rPr>
                <w:rFonts w:ascii="Cambria Math" w:hAnsi="Cambria Math"/>
              </w:rPr>
              <m:t>R</m:t>
            </m:r>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PEN</m:t>
                </m:r>
              </m:sub>
            </m:sSub>
          </m:num>
          <m:den>
            <m:r>
              <w:rPr>
                <w:rFonts w:ascii="Cambria Math" w:hAnsi="Cambria Math"/>
              </w:rPr>
              <m:t>n</m:t>
            </m:r>
            <m:r>
              <w:rPr>
                <w:rFonts w:ascii="Cambria Math" w:hAnsi="Cambria Math"/>
              </w:rPr>
              <m:t>*</m:t>
            </m:r>
            <m:r>
              <w:rPr>
                <w:rFonts w:ascii="Cambria Math" w:hAnsi="Cambria Math"/>
              </w:rPr>
              <m:t>F</m:t>
            </m:r>
          </m:den>
        </m:f>
        <m:d>
          <m:dPr>
            <m:ctrlPr>
              <w:rPr>
                <w:rFonts w:ascii="Cambria Math" w:hAnsi="Cambria Math"/>
                <w:i/>
              </w:rPr>
            </m:ctrlPr>
          </m:dPr>
          <m:e>
            <m:func>
              <m:funcPr>
                <m:ctrlPr>
                  <w:rPr>
                    <w:rFonts w:ascii="Cambria Math" w:eastAsiaTheme="minorEastAsia" w:hAnsi="Cambria Math"/>
                    <w:i/>
                  </w:rPr>
                </m:ctrlPr>
              </m:funcPr>
              <m:fName>
                <m:r>
                  <m:rPr>
                    <m:sty m:val="p"/>
                  </m:rPr>
                  <w:rPr>
                    <w:rFonts w:ascii="Cambria Math" w:eastAsiaTheme="minorEastAsia" w:hAnsi="Cambria Math"/>
                  </w:rPr>
                  <m:t>ln</m:t>
                </m:r>
              </m:fName>
              <m:e>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P</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sub>
                        </m:sSub>
                        <m:sSubSup>
                          <m:sSubSupPr>
                            <m:ctrlPr>
                              <w:rPr>
                                <w:rFonts w:ascii="Cambria Math" w:eastAsiaTheme="minorEastAsia" w:hAnsi="Cambria Math"/>
                                <w:i/>
                              </w:rPr>
                            </m:ctrlPr>
                          </m:sSubSupPr>
                          <m:e>
                            <m:r>
                              <w:rPr>
                                <w:rFonts w:ascii="Cambria Math" w:eastAsiaTheme="minorEastAsia" w:hAnsi="Cambria Math"/>
                              </w:rPr>
                              <m:t>P</m:t>
                            </m:r>
                          </m:e>
                          <m:sub>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2</m:t>
                                </m:r>
                              </m:sub>
                            </m:sSub>
                          </m:sub>
                          <m:sup>
                            <m:r>
                              <w:rPr>
                                <w:rFonts w:ascii="Cambria Math" w:eastAsiaTheme="minorEastAsia" w:hAnsi="Cambria Math"/>
                              </w:rPr>
                              <m:t>.5</m:t>
                            </m:r>
                          </m:sup>
                        </m:sSubSup>
                      </m:num>
                      <m:den>
                        <m:sSub>
                          <m:sSubPr>
                            <m:ctrlPr>
                              <w:rPr>
                                <w:rFonts w:ascii="Cambria Math" w:eastAsiaTheme="minorEastAsia" w:hAnsi="Cambria Math"/>
                                <w:i/>
                              </w:rPr>
                            </m:ctrlPr>
                          </m:sSubPr>
                          <m:e>
                            <m:r>
                              <w:rPr>
                                <w:rFonts w:ascii="Cambria Math" w:eastAsiaTheme="minorEastAsia" w:hAnsi="Cambria Math"/>
                              </w:rPr>
                              <m:t>P</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O</m:t>
                            </m:r>
                          </m:sub>
                        </m:sSub>
                      </m:den>
                    </m:f>
                  </m:e>
                </m:d>
              </m:e>
            </m:func>
            <m:r>
              <w:rPr>
                <w:rFonts w:ascii="Cambria Math" w:eastAsiaTheme="minorEastAsia" w:hAnsi="Cambria Math"/>
              </w:rPr>
              <m:t>+</m:t>
            </m:r>
            <m:func>
              <m:funcPr>
                <m:ctrlPr>
                  <w:rPr>
                    <w:rFonts w:ascii="Cambria Math" w:eastAsiaTheme="minorEastAsia" w:hAnsi="Cambria Math"/>
                  </w:rPr>
                </m:ctrlPr>
              </m:funcPr>
              <m:fName>
                <m:r>
                  <m:rPr>
                    <m:sty m:val="p"/>
                  </m:rPr>
                  <w:rPr>
                    <w:rFonts w:ascii="Cambria Math" w:eastAsiaTheme="minorEastAsia" w:hAnsi="Cambria Math"/>
                  </w:rPr>
                  <m:t>ln</m:t>
                </m:r>
                <m:ctrlPr>
                  <w:rPr>
                    <w:rFonts w:ascii="Cambria Math" w:eastAsiaTheme="minorEastAsia" w:hAnsi="Cambria Math"/>
                    <w:i/>
                  </w:rPr>
                </m:ctrlPr>
              </m:fName>
              <m:e>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cell</m:t>
                            </m:r>
                          </m:sub>
                        </m:sSub>
                      </m:num>
                      <m:den>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ambient</m:t>
                            </m:r>
                          </m:sub>
                        </m:sSub>
                      </m:den>
                    </m:f>
                  </m:e>
                </m:d>
              </m:e>
            </m:func>
            <m:ctrlPr>
              <w:rPr>
                <w:rFonts w:ascii="Cambria Math" w:eastAsiaTheme="minorEastAsia" w:hAnsi="Cambria Math"/>
                <w:i/>
              </w:rPr>
            </m:ctrlPr>
          </m:e>
        </m:d>
      </m:oMath>
      <w:r w:rsidR="00A93D24">
        <w:rPr>
          <w:rFonts w:eastAsiaTheme="minorEastAsia"/>
        </w:rPr>
        <w:tab/>
      </w:r>
      <w:r w:rsidR="00A93D24">
        <w:rPr>
          <w:rFonts w:eastAsiaTheme="minorEastAsia"/>
        </w:rPr>
        <w:tab/>
        <w:t>(3.23)</w:t>
      </w:r>
    </w:p>
    <w:p w14:paraId="7520A975" w14:textId="77777777" w:rsidR="00A93D24" w:rsidRDefault="00A93D24" w:rsidP="00A93D24">
      <w:pPr>
        <w:ind w:firstLine="0"/>
        <w:rPr>
          <w:rFonts w:eastAsiaTheme="minorEastAsia"/>
        </w:rPr>
      </w:pPr>
      <w:r>
        <w:rPr>
          <w:rFonts w:eastAsiaTheme="minorEastAsia"/>
        </w:rPr>
        <w:t xml:space="preserve">where </w:t>
      </w:r>
      <m:oMath>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orr</m:t>
            </m:r>
          </m:sub>
        </m:sSub>
      </m:oMath>
      <w:r>
        <w:rPr>
          <w:rFonts w:eastAsiaTheme="minorEastAsia"/>
        </w:rPr>
        <w:t xml:space="preserve">is the Gibbs free energy change for the water formation reaction, the partial pressures represent the hydrogen on the fuel side, and the oxygen and water on the air side, and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cell</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ambient</m:t>
            </m:r>
          </m:sub>
        </m:sSub>
      </m:oMath>
      <w:r>
        <w:rPr>
          <w:rFonts w:eastAsiaTheme="minorEastAsia"/>
        </w:rPr>
        <w:t xml:space="preserve"> represent the cell and ambient pressures, respectively. For the water formation reaction, </w:t>
      </w:r>
      <m:oMath>
        <m:r>
          <w:rPr>
            <w:rFonts w:ascii="Cambria Math" w:eastAsiaTheme="minorEastAsia" w:hAnsi="Cambria Math"/>
          </w:rPr>
          <m:t>n=2</m:t>
        </m:r>
      </m:oMath>
      <w:r>
        <w:rPr>
          <w:rFonts w:eastAsiaTheme="minorEastAsia"/>
        </w:rPr>
        <w:t xml:space="preserve"> since there are 2 protons required for the reaction.</w:t>
      </w:r>
    </w:p>
    <w:p w14:paraId="0111D668" w14:textId="7F340A93" w:rsidR="00A93D24" w:rsidRDefault="00A93D24" w:rsidP="00A93D24">
      <w:pPr>
        <w:rPr>
          <w:rFonts w:eastAsiaTheme="minorEastAsia"/>
        </w:rPr>
      </w:pPr>
      <w:r>
        <w:t xml:space="preserve">Since </w:t>
      </w:r>
      <m:oMath>
        <m:sSub>
          <m:sSubPr>
            <m:ctrlPr>
              <w:rPr>
                <w:rFonts w:ascii="Cambria Math" w:hAnsi="Cambria Math"/>
                <w:i/>
              </w:rPr>
            </m:ctrlPr>
          </m:sSubPr>
          <m:e>
            <m:r>
              <w:rPr>
                <w:rFonts w:ascii="Cambria Math" w:hAnsi="Cambria Math"/>
              </w:rPr>
              <m:t>E</m:t>
            </m:r>
          </m:e>
          <m:sub>
            <m:r>
              <w:rPr>
                <w:rFonts w:ascii="Cambria Math" w:hAnsi="Cambria Math"/>
              </w:rPr>
              <m:t>nernst</m:t>
            </m:r>
          </m:sub>
        </m:sSub>
      </m:oMath>
      <w:r>
        <w:rPr>
          <w:rFonts w:eastAsiaTheme="minorEastAsia"/>
        </w:rPr>
        <w:t xml:space="preserve"> represents the maximum voltage, there are realistic losses that need to be considered. These losses, or overpotentials, typically take three forms: Ohmic, Activation, and Concentration </w:t>
      </w:r>
      <w:r>
        <w:rPr>
          <w:rFonts w:eastAsiaTheme="minorEastAsia"/>
        </w:rPr>
        <w:fldChar w:fldCharType="begin"/>
      </w:r>
      <w:r w:rsidR="00CA7A9D">
        <w:rPr>
          <w:rFonts w:eastAsiaTheme="minorEastAsia"/>
        </w:rPr>
        <w:instrText xml:space="preserve"> ADDIN ZOTERO_ITEM CSL_CITATION {"citationID":"a15n09l8l4c","properties":{"formattedCitation":"[75], [76], [77], [78], [85]","plainCitation":"[75], [76], [77], [78], [85]","noteIndex":0},"citationItems":[{"id":809,"uris":["http://zotero.org/users/12063231/items/86VEYUNF"],"itemData":{"id":809,"type":"article-journal","container-title":"Fuel Cells","DOI":"10.1002/fuce.200900082","issue":"6","language":"English","page":"1074-1094","title":"Modelling and Performance Evaluation of Solid Oxide Fuel Cell for Building Integrated Co- and Polygeneration","volume":"10","author":[{"family":"Kazempoor","given":"Pejman"},{"family":"Dorer","given":"Viktor"},{"family":"Fathollah","given":"Ommi"}],"issued":{"date-parts":[["2010"]]}}},{"id":805,"uris":["http://zotero.org/users/12063231/items/IV7WWVFD"],"itemData":{"id":805,"type":"thesis","event-place":"Ann Arbor, MI","language":"English","number-of-pages":"183","publisher":"University of Michigan","publisher-place":"Ann Arbor, MI","title":"Dynamic Modeling and Control of Planar SOFC Power Systems","author":[{"family":"Xi","given":"Handa"}],"issued":{"date-parts":[["2007"]]}}},{"id":3,"uris":["http://zotero.org/users/12063231/items/3CHVZB3E"],"itemData":{"id":3,"type":"thesis","event-place":"Trondheim, Norway","language":"English","publisher":"Norwegian University of Science and Technology","publisher-place":"Trondheim, Norway","title":"Design, Operation and Control Modelling of SOFC/GT Hybrid Systems","URL":"https://ntnuopen.ntnu.no/ntnu-xmlui/bitstream/handle/11250/231300/125922_FULLTEXT01.pdf?sequence=1","author":[{"family":"Stiller","given":"Christoph"}],"issued":{"date-parts":[["2006",3]]}}},{"id":885,"uris":["http://zotero.org/users/12063231/items/2YPLBP28"],"itemData":{"id":885,"type":"article-journal","abstract":"The need for electrical energy storage (EES) is being driven by the deployment of increasing amounts of intermittent renewable energy resources. In addition to their fuel flexibility, high efficiency, scalability, and long-term cost outlook, reversible (regenerative) solid oxide cell (rSOC) systems have the potential for round-trip efficiencies competitive with the other available energy storage technologies. Accordingly, the focus of the current study is to investigate modeling methods for high temperature rSOCs in order to facilitate future endeavors related to establishing optimal operating conditions and system designs. Previously developed solid oxide fuel cell (SOFC) and solid-oxide electrolytic cell (SOEC) models are integrated to form a general rSOC model. The model is first calibrated and validated based on the available experimental data in the extant literature. The validation results show that the fitting parameters extracted from the calibration study can precisely simulate the cell behavior under various operating conditions. The effects of key operating parameters, such as temperature, gas composition and fuel utilization, on the voltage–current density performance characteristic and thermoneutral voltage are then investigated. It is also observed that the total electrochemical losses of the cell can be significantly different in each operating mode (fuel cell and electrolyzing) under certain operating conditions. Advantages of pressurized operation on thermal management are also discussed.","container-title":"International Journal of Hydrogen Energy","DOI":"10.1016/j.ijhydene.2014.01.186","ISSN":"0360-3199","issue":"11","journalAbbreviation":"International Journal of Hydrogen Energy","page":"5955-5971","source":"ScienceDirect","title":"Model validation and performance analysis of regenerative solid oxide cells for energy storage applications: Reversible operation","title-short":"Model validation and performance analysis of regenerative solid oxide cells for energy storage applications","volume":"39","author":[{"family":"Kazempoor","given":"P."},{"family":"Braun","given":"R. J."}],"issued":{"date-parts":[["2014",4,4]]}}},{"id":887,"uris":["http://zotero.org/users/12063231/items/WHDJHSA2"],"itemData":{"id":887,"type":"article-journal","abstract":"The use of regenerative, high temperature solid oxide cells (SOCs) as energy storage devices has the potential for round-trip efficiencies that are competitive with other storage technologies. The focus of the current study is to investigate regenerative SOC operation (i.e., working in both fuel cell and electrolysis modes) through a combination of modeling and numerical simulation. As an intermediate step, this paper focuses on the electrolysis mode and presents a dynamic cell model that couples the reversible electrochemistry, reactant chemistry, and the thermo-fluidic phenomena inside a cell channel. The model is calibrated and validated using available experimental and numerical data for button cells, single cells, and multi-cell stacks supplied with either steam or syngas. Parametric studies are also performed to show how the investigated parameters affect model validity. The results show that the present model can accurately simulate the electrolytic cell behavior, especially in the low current range, which is a favored operating point in practical systems. It is observed that improvements in stack-level model precision require further investigation to better represent the contact resistance of the stack components and to improve the estimation of the activation polarization throughout the operating envelope. It is also concluded that the CO2 electrochemical reaction can be neglected when the concentration of the steam supplied to the cell is high enough to support the water–gas shift reaction.","container-title":"International Journal of Hydrogen Energy","DOI":"10.1016/j.ijhydene.2013.12.010","ISSN":"0360-3199","issue":"6","journalAbbreviation":"International Journal of Hydrogen Energy","page":"2669-2684","source":"ScienceDirect","title":"Model validation and performance analysis of regenerative solid oxide cells: Electrolytic operation","title-short":"Model validation and performance analysis of regenerative solid oxide cells","volume":"39","author":[{"family":"Kazempoor","given":"P."},{"family":"Braun","given":"R. J."}],"issued":{"date-parts":[["2014",2,14]]}}}],"schema":"https://github.com/citation-style-language/schema/raw/master/csl-citation.json"} </w:instrText>
      </w:r>
      <w:r>
        <w:rPr>
          <w:rFonts w:eastAsiaTheme="minorEastAsia"/>
        </w:rPr>
        <w:fldChar w:fldCharType="separate"/>
      </w:r>
      <w:r w:rsidR="00CA7A9D" w:rsidRPr="00CA7A9D">
        <w:rPr>
          <w:rFonts w:ascii="Aptos" w:hAnsi="Aptos"/>
        </w:rPr>
        <w:t>[75], [76], [77], [78], [85]</w:t>
      </w:r>
      <w:r>
        <w:rPr>
          <w:rFonts w:eastAsiaTheme="minorEastAsia"/>
        </w:rPr>
        <w:fldChar w:fldCharType="end"/>
      </w:r>
      <w:r>
        <w:rPr>
          <w:rFonts w:eastAsiaTheme="minorEastAsia"/>
        </w:rPr>
        <w:t>. This makes the true voltage output from the system calculated by:</w:t>
      </w:r>
    </w:p>
    <w:p w14:paraId="245B12A6" w14:textId="77777777" w:rsidR="00A93D24" w:rsidRPr="00E66746" w:rsidRDefault="00924E48" w:rsidP="00A93D24">
      <w:pPr>
        <w:ind w:firstLine="0"/>
        <w:jc w:val="right"/>
        <w:rPr>
          <w:rFonts w:eastAsiaTheme="minorEastAsia"/>
        </w:rPr>
      </w:pPr>
      <m:oMath>
        <m:sSub>
          <m:sSubPr>
            <m:ctrlPr>
              <w:rPr>
                <w:rFonts w:ascii="Cambria Math" w:hAnsi="Cambria Math"/>
                <w:i/>
              </w:rPr>
            </m:ctrlPr>
          </m:sSubPr>
          <m:e>
            <m:r>
              <w:rPr>
                <w:rFonts w:ascii="Cambria Math" w:hAnsi="Cambria Math"/>
              </w:rPr>
              <m:t>V</m:t>
            </m:r>
          </m:e>
          <m:sub>
            <m:r>
              <w:rPr>
                <w:rFonts w:ascii="Cambria Math" w:hAnsi="Cambria Math"/>
              </w:rPr>
              <m:t>cell</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nernst</m:t>
            </m:r>
          </m:sub>
        </m:sSub>
        <m:r>
          <w:rPr>
            <w:rFonts w:ascii="Cambria Math" w:hAnsi="Cambria Math"/>
          </w:rPr>
          <m:t>-</m:t>
        </m:r>
        <m:sSub>
          <m:sSubPr>
            <m:ctrlPr>
              <w:rPr>
                <w:rFonts w:ascii="Cambria Math" w:hAnsi="Cambria Math"/>
                <w:i/>
              </w:rPr>
            </m:ctrlPr>
          </m:sSubPr>
          <m:e>
            <m:r>
              <w:rPr>
                <w:rFonts w:ascii="Cambria Math" w:hAnsi="Cambria Math"/>
              </w:rPr>
              <m:t>η</m:t>
            </m:r>
          </m:e>
          <m:sub>
            <m:r>
              <w:rPr>
                <w:rFonts w:ascii="Cambria Math" w:hAnsi="Cambria Math"/>
              </w:rPr>
              <m:t>O</m:t>
            </m:r>
            <m:r>
              <w:rPr>
                <w:rFonts w:ascii="Cambria Math" w:hAnsi="Cambria Math"/>
              </w:rPr>
              <m:t>h</m:t>
            </m:r>
            <m:r>
              <w:rPr>
                <w:rFonts w:ascii="Cambria Math" w:hAnsi="Cambria Math"/>
              </w:rPr>
              <m:t>m</m:t>
            </m:r>
          </m:sub>
        </m:sSub>
        <m:r>
          <w:rPr>
            <w:rFonts w:ascii="Cambria Math" w:hAnsi="Cambria Math"/>
          </w:rPr>
          <m:t>-</m:t>
        </m:r>
        <m:sSub>
          <m:sSubPr>
            <m:ctrlPr>
              <w:rPr>
                <w:rFonts w:ascii="Cambria Math" w:hAnsi="Cambria Math"/>
              </w:rPr>
            </m:ctrlPr>
          </m:sSubPr>
          <m:e>
            <m:r>
              <w:rPr>
                <w:rFonts w:ascii="Cambria Math" w:hAnsi="Cambria Math"/>
              </w:rPr>
              <m:t>η</m:t>
            </m:r>
            <m:ctrlPr>
              <w:rPr>
                <w:rFonts w:ascii="Cambria Math" w:hAnsi="Cambria Math"/>
                <w:i/>
              </w:rPr>
            </m:ctrlPr>
          </m:e>
          <m:sub>
            <m:r>
              <m:rPr>
                <m:sty m:val="p"/>
              </m:rPr>
              <w:rPr>
                <w:rFonts w:ascii="Cambria Math" w:hAnsi="Cambria Math"/>
              </w:rPr>
              <m:t>Act</m:t>
            </m:r>
          </m:sub>
        </m:sSub>
        <m:r>
          <w:rPr>
            <w:rFonts w:ascii="Cambria Math" w:hAnsi="Cambria Math"/>
          </w:rPr>
          <m:t>-</m:t>
        </m:r>
        <m:sSub>
          <m:sSubPr>
            <m:ctrlPr>
              <w:rPr>
                <w:rFonts w:ascii="Cambria Math" w:hAnsi="Cambria Math"/>
                <w:i/>
              </w:rPr>
            </m:ctrlPr>
          </m:sSubPr>
          <m:e>
            <m:r>
              <w:rPr>
                <w:rFonts w:ascii="Cambria Math" w:hAnsi="Cambria Math"/>
              </w:rPr>
              <m:t>η</m:t>
            </m:r>
          </m:e>
          <m:sub>
            <m:r>
              <w:rPr>
                <w:rFonts w:ascii="Cambria Math" w:hAnsi="Cambria Math"/>
              </w:rPr>
              <m:t>Conc</m:t>
            </m:r>
          </m:sub>
        </m:sSub>
      </m:oMath>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t>(3.24)</w:t>
      </w:r>
    </w:p>
    <w:p w14:paraId="54E72CFE" w14:textId="6E9DFBC8" w:rsidR="00A93D24" w:rsidRPr="00E66746" w:rsidRDefault="00A93D24" w:rsidP="00A93D24">
      <w:r>
        <w:t>To calculate the power density, the average current density through the cell is considered as an input parameter. The model then fluctuate</w:t>
      </w:r>
      <w:r w:rsidR="0097074A">
        <w:t>s</w:t>
      </w:r>
      <w:r>
        <w:t xml:space="preserve"> the current through the cell to meet the declared average value according to the demands of the overpotential calculations, which rely heavily on the current. </w:t>
      </w:r>
    </w:p>
    <w:p w14:paraId="43B5E494" w14:textId="77777777" w:rsidR="00A93D24" w:rsidRDefault="00A93D24" w:rsidP="00A93D24">
      <w:pPr>
        <w:pStyle w:val="Heading3"/>
        <w:rPr>
          <w:rFonts w:eastAsiaTheme="minorEastAsia"/>
        </w:rPr>
      </w:pPr>
      <w:bookmarkStart w:id="74" w:name="_Toc165641075"/>
      <w:r>
        <w:rPr>
          <w:rFonts w:eastAsiaTheme="minorEastAsia"/>
        </w:rPr>
        <w:t>3.4.2 Ohmic Overpotential</w:t>
      </w:r>
      <w:bookmarkEnd w:id="74"/>
    </w:p>
    <w:p w14:paraId="340ECAE6" w14:textId="266A5E8A" w:rsidR="00A93D24" w:rsidRDefault="00A93D24" w:rsidP="00A93D24">
      <w:r>
        <w:rPr>
          <w:rFonts w:eastAsiaTheme="minorEastAsia"/>
        </w:rPr>
        <w:t xml:space="preserve">The Ohmic overpotential is the direct result of energy loss due to the conductivity of the materials. </w:t>
      </w:r>
      <w:r>
        <w:t xml:space="preserve">Therefore, the calculation of the ohmic overpotential is derived directly from Ohm’s law </w:t>
      </w:r>
      <w:r>
        <w:fldChar w:fldCharType="begin"/>
      </w:r>
      <w:r w:rsidR="00CA7A9D">
        <w:instrText xml:space="preserve"> ADDIN ZOTERO_ITEM CSL_CITATION {"citationID":"a2f37u58qq2","properties":{"formattedCitation":"[77]","plainCitation":"[77]","noteIndex":0},"citationItems":[{"id":809,"uris":["http://zotero.org/users/12063231/items/86VEYUNF"],"itemData":{"id":809,"type":"article-journal","container-title":"Fuel Cells","DOI":"10.1002/fuce.200900082","issue":"6","language":"English","page":"1074-1094","title":"Modelling and Performance Evaluation of Solid Oxide Fuel Cell for Building Integrated Co- and Polygeneration","volume":"10","author":[{"family":"Kazempoor","given":"Pejman"},{"family":"Dorer","given":"Viktor"},{"family":"Fathollah","given":"Ommi"}],"issued":{"date-parts":[["2010"]]}}}],"schema":"https://github.com/citation-style-language/schema/raw/master/csl-citation.json"} </w:instrText>
      </w:r>
      <w:r>
        <w:fldChar w:fldCharType="separate"/>
      </w:r>
      <w:r w:rsidR="00CA7A9D" w:rsidRPr="00CA7A9D">
        <w:rPr>
          <w:rFonts w:ascii="Aptos" w:hAnsi="Aptos"/>
        </w:rPr>
        <w:t>[77]</w:t>
      </w:r>
      <w:r>
        <w:fldChar w:fldCharType="end"/>
      </w:r>
      <w:r>
        <w:t>:</w:t>
      </w:r>
    </w:p>
    <w:p w14:paraId="368A97D2" w14:textId="77777777" w:rsidR="00A93D24" w:rsidRPr="0080017A" w:rsidRDefault="00924E48" w:rsidP="00A93D24">
      <w:pPr>
        <w:jc w:val="right"/>
        <w:rPr>
          <w:rFonts w:eastAsiaTheme="minorEastAsia"/>
        </w:rPr>
      </w:pPr>
      <m:oMath>
        <m:sSub>
          <m:sSubPr>
            <m:ctrlPr>
              <w:rPr>
                <w:rFonts w:ascii="Cambria Math" w:hAnsi="Cambria Math"/>
                <w:i/>
              </w:rPr>
            </m:ctrlPr>
          </m:sSubPr>
          <m:e>
            <m:r>
              <w:rPr>
                <w:rFonts w:ascii="Cambria Math" w:hAnsi="Cambria Math"/>
              </w:rPr>
              <m:t>η</m:t>
            </m:r>
          </m:e>
          <m:sub>
            <m:r>
              <w:rPr>
                <w:rFonts w:ascii="Cambria Math" w:hAnsi="Cambria Math"/>
              </w:rPr>
              <m:t>O</m:t>
            </m:r>
            <m:r>
              <w:rPr>
                <w:rFonts w:ascii="Cambria Math" w:hAnsi="Cambria Math"/>
              </w:rPr>
              <m:t>h</m:t>
            </m:r>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cell</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o</m:t>
            </m:r>
            <m:r>
              <w:rPr>
                <w:rFonts w:ascii="Cambria Math" w:hAnsi="Cambria Math"/>
              </w:rPr>
              <m:t>h</m:t>
            </m:r>
            <m:r>
              <w:rPr>
                <w:rFonts w:ascii="Cambria Math" w:hAnsi="Cambria Math"/>
              </w:rPr>
              <m:t>m</m:t>
            </m:r>
          </m:sub>
        </m:sSub>
      </m:oMath>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t>(3.25)</w:t>
      </w:r>
    </w:p>
    <w:p w14:paraId="7DEF2AF4" w14:textId="2E26D5A0" w:rsidR="00A93D24" w:rsidRDefault="00A93D24" w:rsidP="00A93D24">
      <w:pPr>
        <w:ind w:firstLine="0"/>
        <w:rPr>
          <w:rFonts w:eastAsiaTheme="minorEastAsia"/>
        </w:rPr>
      </w:pPr>
      <w:r>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ohm</m:t>
            </m:r>
          </m:sub>
        </m:sSub>
      </m:oMath>
      <w:r>
        <w:rPr>
          <w:rFonts w:eastAsiaTheme="minorEastAsia"/>
        </w:rPr>
        <w:t xml:space="preserve"> is the total ohmic resistance through the cell and its interconnects, and </w:t>
      </w: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cell</m:t>
            </m:r>
          </m:sub>
        </m:sSub>
      </m:oMath>
      <w:r>
        <w:rPr>
          <w:rFonts w:eastAsiaTheme="minorEastAsia"/>
        </w:rPr>
        <w:t xml:space="preserve"> is the current through the cell. In this model, the approach for calculating the total cell ohmic resistance is taken from the work of Campanari and Iora </w:t>
      </w:r>
      <w:r>
        <w:rPr>
          <w:rFonts w:eastAsiaTheme="minorEastAsia"/>
        </w:rPr>
        <w:fldChar w:fldCharType="begin"/>
      </w:r>
      <w:r w:rsidR="00CA7A9D">
        <w:rPr>
          <w:rFonts w:eastAsiaTheme="minorEastAsia"/>
        </w:rPr>
        <w:instrText xml:space="preserve"> ADDIN ZOTERO_ITEM CSL_CITATION {"citationID":"ad25m9gubh","properties":{"formattedCitation":"[86]","plainCitation":"[86]","noteIndex":0},"citationItems":[{"id":817,"uris":["http://zotero.org/users/12063231/items/XIKYTC9T"],"itemData":{"id":817,"type":"article-journal","abstract":"This paper discusses the development of a finite volume model for a planar solid oxide fuel cell. Two different levels of detail for the definition of the basic cell elements are considered, the first with the assumption of isothermal behavior for a finite volume, defined by a portion of the cell PEN structure with pertinent air and fuel channels, and the second with a more refined element subdivision, capable of simulating temperature differences at a smaller scale. The model applies a detailed electrochemical and thermal analysis to a planar SOFC of a defined geometry (with co-flow, counter-flow or cross-flow configuration), material properties and input flows. Electrochemical modeling includes an evaluation of ohmic, activation and diffusion losses as well as a kinetic model of the hydrocarbon reactions involved. The model calculates internal profiles of temperature, flow composition, current density, and cell energy balances. Internal heat exchange coefficients are evaluated with a specific fluid-dynamic analysis. After a preliminary calibration of the model, a comparison of the simulation results generated by the two models is presented and a parametric analysis to investigate the effects of different assumptions on a selection of key parameters (heat losses, air stoichiometric ratio and inlet temperatures) is carried out. The results show that the refined model developed here could significantly help in the design of efficient fuel cell stack projects and in the careful consideration of the influence of heat losses, air ratio and the endothermic reforming reaction on cell temperature distribution and global performances.","container-title":"Fuel Cells","DOI":"10.1002/fuce.200400057","ISSN":"1615-6854","issue":"1","language":"en","license":"Copyright © 2005 WILEY-VCH Verlag GmbH &amp; Co. KGaA, Weinheim","note":"_eprint: https://onlinelibrary.wiley.com/doi/pdf/10.1002/fuce.200400057","page":"34-51","source":"Wiley Online Library","title":"Comparison of Finite Volume SOFC Models for the Simulation of a Planar Cell Geometry","volume":"5","author":[{"family":"Campanari","given":"S."},{"family":"Iora","given":"P."}],"issued":{"date-parts":[["2005"]]}}}],"schema":"https://github.com/citation-style-language/schema/raw/master/csl-citation.json"} </w:instrText>
      </w:r>
      <w:r>
        <w:rPr>
          <w:rFonts w:eastAsiaTheme="minorEastAsia"/>
        </w:rPr>
        <w:fldChar w:fldCharType="separate"/>
      </w:r>
      <w:r w:rsidR="00CA7A9D" w:rsidRPr="00CA7A9D">
        <w:rPr>
          <w:rFonts w:ascii="Aptos" w:hAnsi="Aptos"/>
        </w:rPr>
        <w:t>[86]</w:t>
      </w:r>
      <w:r>
        <w:rPr>
          <w:rFonts w:eastAsiaTheme="minorEastAsia"/>
        </w:rPr>
        <w:fldChar w:fldCharType="end"/>
      </w:r>
      <w:r>
        <w:rPr>
          <w:rFonts w:eastAsiaTheme="minorEastAsia"/>
        </w:rPr>
        <w:t>, which assumes that the current flow path is perpendicular to the PEN surface. This allows the two resistances (the PEN and the interconnect) to be considered in series with each other:</w:t>
      </w:r>
    </w:p>
    <w:p w14:paraId="5B4FC069" w14:textId="77777777" w:rsidR="00A93D24" w:rsidRPr="002C7CD3" w:rsidRDefault="00924E48" w:rsidP="00A93D24">
      <w:pPr>
        <w:ind w:firstLine="0"/>
        <w:jc w:val="right"/>
        <w:rPr>
          <w:rFonts w:eastAsiaTheme="minorEastAsia"/>
        </w:rPr>
      </w:pPr>
      <m:oMath>
        <m:sSub>
          <m:sSubPr>
            <m:ctrlPr>
              <w:rPr>
                <w:rFonts w:ascii="Cambria Math" w:eastAsiaTheme="minorEastAsia" w:hAnsi="Cambria Math"/>
                <w:i/>
              </w:rPr>
            </m:ctrlPr>
          </m:sSubPr>
          <m:e>
            <m:r>
              <w:rPr>
                <w:rFonts w:ascii="Cambria Math" w:eastAsiaTheme="minorEastAsia" w:hAnsi="Cambria Math"/>
              </w:rPr>
              <m:t>η</m:t>
            </m:r>
          </m:e>
          <m:sub>
            <m:r>
              <w:rPr>
                <w:rFonts w:ascii="Cambria Math" w:eastAsiaTheme="minorEastAsia" w:hAnsi="Cambria Math"/>
              </w:rPr>
              <m:t>o</m:t>
            </m:r>
            <m:r>
              <w:rPr>
                <w:rFonts w:ascii="Cambria Math" w:eastAsiaTheme="minorEastAsia" w:hAnsi="Cambria Math"/>
              </w:rPr>
              <m:t>h</m:t>
            </m:r>
            <m:r>
              <w:rPr>
                <w:rFonts w:ascii="Cambria Math" w:eastAsiaTheme="minorEastAsia" w:hAnsi="Cambria Math"/>
              </w:rPr>
              <m:t>m</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o</m:t>
            </m:r>
            <m:r>
              <w:rPr>
                <w:rFonts w:ascii="Cambria Math" w:eastAsiaTheme="minorEastAsia" w:hAnsi="Cambria Math"/>
              </w:rPr>
              <m:t>h</m:t>
            </m:r>
            <m:r>
              <w:rPr>
                <w:rFonts w:ascii="Cambria Math" w:eastAsiaTheme="minorEastAsia" w:hAnsi="Cambria Math"/>
              </w:rPr>
              <m:t>m</m:t>
            </m:r>
            <m:r>
              <w:rPr>
                <w:rFonts w:ascii="Cambria Math" w:eastAsiaTheme="minorEastAsia" w:hAnsi="Cambria Math"/>
              </w:rPr>
              <m:t>,</m:t>
            </m:r>
            <m:r>
              <w:rPr>
                <w:rFonts w:ascii="Cambria Math" w:eastAsiaTheme="minorEastAsia" w:hAnsi="Cambria Math"/>
              </w:rPr>
              <m:t>PEN</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o</m:t>
            </m:r>
            <m:r>
              <w:rPr>
                <w:rFonts w:ascii="Cambria Math" w:eastAsiaTheme="minorEastAsia" w:hAnsi="Cambria Math"/>
              </w:rPr>
              <m:t>h</m:t>
            </m:r>
            <m:r>
              <w:rPr>
                <w:rFonts w:ascii="Cambria Math" w:eastAsiaTheme="minorEastAsia" w:hAnsi="Cambria Math"/>
              </w:rPr>
              <m:t>m</m:t>
            </m:r>
            <m:r>
              <w:rPr>
                <w:rFonts w:ascii="Cambria Math" w:eastAsiaTheme="minorEastAsia" w:hAnsi="Cambria Math"/>
              </w:rPr>
              <m:t>,</m:t>
            </m:r>
            <m:r>
              <w:rPr>
                <w:rFonts w:ascii="Cambria Math" w:eastAsiaTheme="minorEastAsia" w:hAnsi="Cambria Math"/>
              </w:rPr>
              <m:t>IC</m:t>
            </m:r>
          </m:sub>
        </m:sSub>
      </m:oMath>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t>(3.26)</w:t>
      </w:r>
    </w:p>
    <w:p w14:paraId="1D955A08" w14:textId="77777777" w:rsidR="00A93D24" w:rsidRDefault="00A93D24" w:rsidP="00A93D24">
      <w:pPr>
        <w:ind w:firstLine="0"/>
        <w:rPr>
          <w:rFonts w:eastAsiaTheme="minorEastAsia"/>
        </w:rPr>
      </w:pPr>
      <w:r>
        <w:rPr>
          <w:rFonts w:eastAsiaTheme="minorEastAsia"/>
        </w:rPr>
        <w:t xml:space="preserve">where </w:t>
      </w:r>
      <m:oMath>
        <m:r>
          <w:rPr>
            <w:rFonts w:ascii="Cambria Math" w:eastAsiaTheme="minorEastAsia" w:hAnsi="Cambria Math"/>
          </w:rPr>
          <m:t>R</m:t>
        </m:r>
      </m:oMath>
      <w:r>
        <w:rPr>
          <w:rFonts w:eastAsiaTheme="minorEastAsia"/>
        </w:rPr>
        <w:t xml:space="preserve"> represents the total resistance in ohms due to the PEN structure and interconnect respectively. </w:t>
      </w:r>
    </w:p>
    <w:p w14:paraId="05ABAF3D" w14:textId="681E1F36" w:rsidR="00A93D24" w:rsidRDefault="00A93D24" w:rsidP="00A93D24">
      <w:r>
        <w:t xml:space="preserve">For the PEN, the specific resistivity of PCFC electrodes </w:t>
      </w:r>
      <w:r w:rsidR="00EB6FFF">
        <w:t>is</w:t>
      </w:r>
      <w:r>
        <w:t xml:space="preserve"> analyzed by Liu et al. For simplicity, the anode, electrolyte, and cathode are considered as one whole with respect to the resistance, rather than analyzing the resistance of each of them individually. The results from their study are used to estimate the relationship of the specific resistivity of the whole PEN structure with temperature </w:t>
      </w:r>
      <w:r>
        <w:fldChar w:fldCharType="begin"/>
      </w:r>
      <w:r w:rsidR="00CA7A9D">
        <w:instrText xml:space="preserve"> ADDIN ZOTERO_ITEM CSL_CITATION {"citationID":"ahk2aru3oo","properties":{"formattedCitation":"[33]","plainCitation":"[33]","noteIndex":0},"citationItems":[{"id":591,"uris":["http://zotero.org/users/12063231/items/BE5BSF4A"],"itemData":{"id":591,"type":"article-journal","abstract":"The typically high temperatures (≥500</w:instrText>
      </w:r>
      <w:r w:rsidR="00CA7A9D">
        <w:rPr>
          <w:rFonts w:ascii="Arial" w:hAnsi="Arial" w:cs="Arial"/>
        </w:rPr>
        <w:instrText> </w:instrText>
      </w:r>
      <w:r w:rsidR="00CA7A9D">
        <w:rPr>
          <w:rFonts w:ascii="Aptos" w:hAnsi="Aptos" w:cs="Aptos"/>
        </w:rPr>
        <w:instrText>°</w:instrText>
      </w:r>
      <w:r w:rsidR="00CA7A9D">
        <w:instrText>C) at which ceramic electrochemical cells operate place constraints on device materials and construction. Here Liu and colleagues design reversible proton-conducting electrochemical cells that can operate with high performance at temperatures of 450</w:instrText>
      </w:r>
      <w:r w:rsidR="00CA7A9D">
        <w:rPr>
          <w:rFonts w:ascii="Arial" w:hAnsi="Arial" w:cs="Arial"/>
        </w:rPr>
        <w:instrText> </w:instrText>
      </w:r>
      <w:r w:rsidR="00CA7A9D">
        <w:rPr>
          <w:rFonts w:ascii="Aptos" w:hAnsi="Aptos" w:cs="Aptos"/>
        </w:rPr>
        <w:instrText>°</w:instrText>
      </w:r>
      <w:r w:rsidR="00CA7A9D">
        <w:instrText xml:space="preserve">C and below.","container-title":"Nature Energy","DOI":"10.1038/s41560-023-01350-4","ISSN":"2058-7546","issue":"10","journalAbbreviation":"Nat Energy","language":"en","license":"2023 The Author(s), under exclusive licence to Springer Nature Limited","note":"number: 10\npublisher: Nature Publishing Group","page":"1145-1157","source":"www.nature.com","title":"Lowering the operating temperature of protonic ceramic electrochemical cells to &lt;450 </w:instrText>
      </w:r>
      <w:r w:rsidR="00CA7A9D">
        <w:rPr>
          <w:rFonts w:ascii="Aptos" w:hAnsi="Aptos" w:cs="Aptos"/>
        </w:rPr>
        <w:instrText>°</w:instrText>
      </w:r>
      <w:r w:rsidR="00CA7A9D">
        <w:instrText xml:space="preserve">C","volume":"8","author":[{"family":"Liu","given":"Fan"},{"family":"Deng","given":"Hao"},{"family":"Diercks","given":"David"},{"family":"Kumar","given":"Praveen"},{"family":"Jabbar","given":"Mohammed Hussain Abdul"},{"family":"Gumeci","given":"Cenk"},{"family":"Furuya","given":"Yoshihisa"},{"family":"Dale","given":"Nilesh"},{"family":"Oku","given":"Takanori"},{"family":"Usuda","given":"Masahiro"},{"family":"Kazempoor","given":"Pejman"},{"family":"Fang","given":"Liyang"},{"family":"Chen","given":"Di"},{"family":"Liu","given":"Bin"},{"family":"Duan","given":"Chuancheng"}],"issued":{"date-parts":[["2023",10]]}}}],"schema":"https://github.com/citation-style-language/schema/raw/master/csl-citation.json"} </w:instrText>
      </w:r>
      <w:r>
        <w:fldChar w:fldCharType="separate"/>
      </w:r>
      <w:r w:rsidR="00CA7A9D" w:rsidRPr="00CA7A9D">
        <w:rPr>
          <w:rFonts w:ascii="Aptos" w:hAnsi="Aptos"/>
        </w:rPr>
        <w:t>[33]</w:t>
      </w:r>
      <w:r>
        <w:fldChar w:fldCharType="end"/>
      </w:r>
      <w:r>
        <w:t>:</w:t>
      </w:r>
    </w:p>
    <w:p w14:paraId="266E71D5" w14:textId="77777777" w:rsidR="00A93D24" w:rsidRPr="0003498B" w:rsidRDefault="00A93D24" w:rsidP="00A93D24">
      <w:pPr>
        <w:jc w:val="right"/>
        <w:rPr>
          <w:rFonts w:eastAsiaTheme="minorEastAsia"/>
        </w:rPr>
      </w:pPr>
      <m:oMath>
        <m:r>
          <w:rPr>
            <w:rFonts w:ascii="Cambria Math" w:hAnsi="Cambria Math"/>
          </w:rPr>
          <m:t>s</m:t>
        </m:r>
        <m:sSub>
          <m:sSubPr>
            <m:ctrlPr>
              <w:rPr>
                <w:rFonts w:ascii="Cambria Math" w:hAnsi="Cambria Math"/>
                <w:i/>
              </w:rPr>
            </m:ctrlPr>
          </m:sSubPr>
          <m:e>
            <m:r>
              <w:rPr>
                <w:rFonts w:ascii="Cambria Math" w:hAnsi="Cambria Math"/>
              </w:rPr>
              <m:t>r</m:t>
            </m:r>
          </m:e>
          <m:sub>
            <m:r>
              <w:rPr>
                <w:rFonts w:ascii="Cambria Math" w:hAnsi="Cambria Math"/>
              </w:rPr>
              <m:t>PEN</m:t>
            </m:r>
          </m:sub>
        </m:sSub>
        <m:r>
          <w:rPr>
            <w:rFonts w:ascii="Cambria Math" w:hAnsi="Cambria Math"/>
          </w:rPr>
          <m:t>=0.00381</m:t>
        </m:r>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f>
                  <m:fPr>
                    <m:ctrlPr>
                      <w:rPr>
                        <w:rFonts w:ascii="Cambria Math" w:hAnsi="Cambria Math"/>
                        <w:i/>
                      </w:rPr>
                    </m:ctrlPr>
                  </m:fPr>
                  <m:num>
                    <m:r>
                      <w:rPr>
                        <w:rFonts w:ascii="Cambria Math" w:hAnsi="Cambria Math"/>
                      </w:rPr>
                      <m:t>27600</m:t>
                    </m:r>
                  </m:num>
                  <m:den>
                    <m:r>
                      <w:rPr>
                        <w:rFonts w:ascii="Cambria Math" w:hAnsi="Cambria Math"/>
                      </w:rPr>
                      <m:t>R*</m:t>
                    </m:r>
                    <m:sSub>
                      <m:sSubPr>
                        <m:ctrlPr>
                          <w:rPr>
                            <w:rFonts w:ascii="Cambria Math" w:hAnsi="Cambria Math"/>
                            <w:i/>
                          </w:rPr>
                        </m:ctrlPr>
                      </m:sSubPr>
                      <m:e>
                        <m:r>
                          <w:rPr>
                            <w:rFonts w:ascii="Cambria Math" w:hAnsi="Cambria Math"/>
                          </w:rPr>
                          <m:t>T</m:t>
                        </m:r>
                      </m:e>
                      <m:sub>
                        <m:r>
                          <w:rPr>
                            <w:rFonts w:ascii="Cambria Math" w:hAnsi="Cambria Math"/>
                          </w:rPr>
                          <m:t>PEN</m:t>
                        </m:r>
                      </m:sub>
                    </m:sSub>
                  </m:den>
                </m:f>
              </m:e>
            </m:d>
          </m:e>
        </m:func>
      </m:oMath>
      <w:r>
        <w:rPr>
          <w:rFonts w:eastAsiaTheme="minorEastAsia"/>
        </w:rPr>
        <w:tab/>
      </w:r>
      <w:r>
        <w:rPr>
          <w:rFonts w:eastAsiaTheme="minorEastAsia"/>
        </w:rPr>
        <w:tab/>
      </w:r>
      <w:r>
        <w:rPr>
          <w:rFonts w:eastAsiaTheme="minorEastAsia"/>
        </w:rPr>
        <w:tab/>
      </w:r>
      <w:r>
        <w:rPr>
          <w:rFonts w:eastAsiaTheme="minorEastAsia"/>
        </w:rPr>
        <w:tab/>
        <w:t>(3.27)</w:t>
      </w:r>
    </w:p>
    <w:p w14:paraId="7611B478" w14:textId="77777777" w:rsidR="00A93D24" w:rsidRDefault="00A93D24" w:rsidP="00A93D24">
      <w:pPr>
        <w:ind w:firstLine="0"/>
        <w:rPr>
          <w:rFonts w:eastAsiaTheme="minorEastAsia"/>
        </w:rPr>
      </w:pPr>
      <w:r>
        <w:rPr>
          <w:rFonts w:eastAsiaTheme="minorEastAsia"/>
        </w:rPr>
        <w:t xml:space="preserve">where </w:t>
      </w:r>
      <m:oMath>
        <m:r>
          <w:rPr>
            <w:rFonts w:ascii="Cambria Math" w:eastAsiaTheme="minorEastAsia" w:hAnsi="Cambria Math"/>
          </w:rPr>
          <m:t>s</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PEN</m:t>
            </m:r>
          </m:sub>
        </m:sSub>
      </m:oMath>
      <w:r>
        <w:rPr>
          <w:rFonts w:eastAsiaTheme="minorEastAsia"/>
        </w:rPr>
        <w:t xml:space="preserve"> is the specific resistivity of the PEN structure in </w:t>
      </w:r>
      <m:oMath>
        <m:r>
          <m:rPr>
            <m:sty m:val="p"/>
          </m:rPr>
          <w:rPr>
            <w:rFonts w:ascii="Cambria Math" w:eastAsiaTheme="minorEastAsia" w:hAnsi="Cambria Math"/>
          </w:rPr>
          <m:t>Ω</m:t>
        </m:r>
        <m:r>
          <w:rPr>
            <w:rFonts w:ascii="Cambria Math" w:eastAsiaTheme="minorEastAsia" w:hAnsi="Cambria Math"/>
          </w:rPr>
          <m:t>c</m:t>
        </m:r>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2</m:t>
            </m:r>
          </m:sup>
        </m:sSup>
      </m:oMath>
      <w:r>
        <w:rPr>
          <w:rFonts w:eastAsiaTheme="minorEastAsia"/>
        </w:rPr>
        <w:t xml:space="preserve">. This then yields a value for total resistance as </w:t>
      </w:r>
    </w:p>
    <w:p w14:paraId="2045535C" w14:textId="77777777" w:rsidR="00A93D24" w:rsidRPr="00BC38A9" w:rsidRDefault="00924E48" w:rsidP="00A93D24">
      <w:pPr>
        <w:ind w:firstLine="0"/>
        <w:jc w:val="right"/>
        <w:rPr>
          <w:rFonts w:eastAsiaTheme="minorEastAsia"/>
        </w:rPr>
      </w:pPr>
      <m:oMath>
        <m:sSub>
          <m:sSubPr>
            <m:ctrlPr>
              <w:rPr>
                <w:rFonts w:ascii="Cambria Math" w:hAnsi="Cambria Math"/>
                <w:i/>
              </w:rPr>
            </m:ctrlPr>
          </m:sSubPr>
          <m:e>
            <m:r>
              <w:rPr>
                <w:rFonts w:ascii="Cambria Math" w:hAnsi="Cambria Math"/>
              </w:rPr>
              <m:t>R</m:t>
            </m:r>
          </m:e>
          <m:sub>
            <m:r>
              <w:rPr>
                <w:rFonts w:ascii="Cambria Math" w:hAnsi="Cambria Math"/>
              </w:rPr>
              <m:t>o</m:t>
            </m:r>
            <m:r>
              <w:rPr>
                <w:rFonts w:ascii="Cambria Math" w:hAnsi="Cambria Math"/>
              </w:rPr>
              <m:t>h</m:t>
            </m:r>
            <m:r>
              <w:rPr>
                <w:rFonts w:ascii="Cambria Math" w:hAnsi="Cambria Math"/>
              </w:rPr>
              <m:t>m</m:t>
            </m:r>
            <m:r>
              <w:rPr>
                <w:rFonts w:ascii="Cambria Math" w:hAnsi="Cambria Math"/>
              </w:rPr>
              <m:t>,</m:t>
            </m:r>
            <m:r>
              <w:rPr>
                <w:rFonts w:ascii="Cambria Math" w:hAnsi="Cambria Math"/>
              </w:rPr>
              <m:t>PEN</m:t>
            </m:r>
          </m:sub>
        </m:sSub>
        <m:r>
          <w:rPr>
            <w:rFonts w:ascii="Cambria Math" w:hAnsi="Cambria Math"/>
          </w:rPr>
          <m:t>=</m:t>
        </m:r>
        <m:sSub>
          <m:sSubPr>
            <m:ctrlPr>
              <w:rPr>
                <w:rFonts w:ascii="Cambria Math" w:eastAsiaTheme="minorEastAsia" w:hAnsi="Cambria Math"/>
                <w:i/>
              </w:rPr>
            </m:ctrlPr>
          </m:sSubPr>
          <m:e>
            <m:r>
              <w:rPr>
                <w:rFonts w:ascii="Cambria Math" w:hAnsi="Cambria Math"/>
              </w:rPr>
              <m:t>i</m:t>
            </m:r>
            <m:ctrlPr>
              <w:rPr>
                <w:rFonts w:ascii="Cambria Math" w:hAnsi="Cambria Math"/>
                <w:i/>
              </w:rPr>
            </m:ctrlPr>
          </m:e>
          <m:sub>
            <m:r>
              <w:rPr>
                <w:rFonts w:ascii="Cambria Math" w:eastAsiaTheme="minorEastAsia" w:hAnsi="Cambria Math"/>
              </w:rPr>
              <m:t>cell</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s</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PEN</m:t>
                </m:r>
              </m:sub>
            </m:sSub>
          </m:num>
          <m:den>
            <m:r>
              <w:rPr>
                <w:rFonts w:ascii="Cambria Math" w:eastAsiaTheme="minorEastAsia" w:hAnsi="Cambria Math"/>
              </w:rPr>
              <m:t>A</m:t>
            </m:r>
          </m:den>
        </m:f>
      </m:oMath>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t>(3.28)</w:t>
      </w:r>
    </w:p>
    <w:p w14:paraId="1E9BBC54" w14:textId="2D9C74F1" w:rsidR="00A93D24" w:rsidRDefault="00A93D24" w:rsidP="00A93D24">
      <w:r>
        <w:t xml:space="preserve">For the interconnect, temperature dependent data </w:t>
      </w:r>
      <w:r w:rsidR="00EB6FFF">
        <w:t>is</w:t>
      </w:r>
      <w:r>
        <w:t xml:space="preserve"> difficult to find. Instead, a value of </w:t>
      </w:r>
      <m:oMath>
        <m:r>
          <w:rPr>
            <w:rFonts w:ascii="Cambria Math" w:hAnsi="Cambria Math"/>
          </w:rPr>
          <m:t>1.176*</m:t>
        </m:r>
        <m:sSup>
          <m:sSupPr>
            <m:ctrlPr>
              <w:rPr>
                <w:rFonts w:ascii="Cambria Math" w:hAnsi="Cambria Math"/>
                <w:i/>
              </w:rPr>
            </m:ctrlPr>
          </m:sSupPr>
          <m:e>
            <m:r>
              <w:rPr>
                <w:rFonts w:ascii="Cambria Math" w:hAnsi="Cambria Math"/>
              </w:rPr>
              <m:t>10</m:t>
            </m:r>
          </m:e>
          <m:sup>
            <m:r>
              <w:rPr>
                <w:rFonts w:ascii="Cambria Math" w:hAnsi="Cambria Math"/>
              </w:rPr>
              <m:t>-4</m:t>
            </m:r>
          </m:sup>
        </m:sSup>
        <m:r>
          <w:rPr>
            <w:rFonts w:ascii="Cambria Math" w:hAnsi="Cambria Math"/>
          </w:rPr>
          <m:t xml:space="preserve"> </m:t>
        </m:r>
        <m:r>
          <m:rPr>
            <m:sty m:val="p"/>
          </m:rPr>
          <w:rPr>
            <w:rFonts w:ascii="Cambria Math" w:hAnsi="Cambria Math"/>
          </w:rPr>
          <m:t>Ω</m:t>
        </m:r>
        <m:r>
          <w:rPr>
            <w:rFonts w:ascii="Cambria Math" w:hAnsi="Cambria Math"/>
          </w:rPr>
          <m:t>cm</m:t>
        </m:r>
      </m:oMath>
      <w:r>
        <w:rPr>
          <w:rFonts w:eastAsiaTheme="minorEastAsia"/>
        </w:rPr>
        <w:t xml:space="preserve"> </w:t>
      </w:r>
      <w:r>
        <w:t>based on previous SOFC models</w:t>
      </w:r>
      <w:r w:rsidR="00721349">
        <w:t xml:space="preserve"> </w:t>
      </w:r>
      <w:r w:rsidR="00A3593B">
        <w:fldChar w:fldCharType="begin"/>
      </w:r>
      <w:r w:rsidR="00CA7A9D">
        <w:instrText xml:space="preserve"> ADDIN ZOTERO_ITEM CSL_CITATION {"citationID":"aefis29tdp","properties":{"formattedCitation":"[85]","plainCitation":"[85]","noteIndex":0},"citationItems":[{"id":887,"uris":["http://zotero.org/users/12063231/items/WHDJHSA2"],"itemData":{"id":887,"type":"article-journal","abstract":"The use of regenerative, high temperature solid oxide cells (SOCs) as energy storage devices has the potential for round-trip efficiencies that are competitive with other storage technologies. The focus of the current study is to investigate regenerative SOC operation (i.e., working in both fuel cell and electrolysis modes) through a combination of modeling and numerical simulation. As an intermediate step, this paper focuses on the electrolysis mode and presents a dynamic cell model that couples the reversible electrochemistry, reactant chemistry, and the thermo-fluidic phenomena inside a cell channel. The model is calibrated and validated using available experimental and numerical data for button cells, single cells, and multi-cell stacks supplied with either steam or syngas. Parametric studies are also performed to show how the investigated parameters affect model validity. The results show that the present model can accurately simulate the electrolytic cell behavior, especially in the low current range, which is a favored operating point in practical systems. It is observed that improvements in stack-level model precision require further investigation to better represent the contact resistance of the stack components and to improve the estimation of the activation polarization throughout the operating envelope. It is also concluded that the CO2 electrochemical reaction can be neglected when the concentration of the steam supplied to the cell is high enough to support the water–gas shift reaction.","container-title":"International Journal of Hydrogen Energy","DOI":"10.1016/j.ijhydene.2013.12.010","ISSN":"0360-3199","issue":"6","journalAbbreviation":"International Journal of Hydrogen Energy","page":"2669-2684","source":"ScienceDirect","title":"Model validation and performance analysis of regenerative solid oxide cells: Electrolytic operation","title-short":"Model validation and performance analysis of regenerative solid oxide cells","volume":"39","author":[{"family":"Kazempoor","given":"P."},{"family":"Braun","given":"R. J."}],"issued":{"date-parts":[["2014",2,14]]}}}],"schema":"https://github.com/citation-style-language/schema/raw/master/csl-citation.json"} </w:instrText>
      </w:r>
      <w:r w:rsidR="00A3593B">
        <w:fldChar w:fldCharType="separate"/>
      </w:r>
      <w:r w:rsidR="00CA7A9D" w:rsidRPr="00CA7A9D">
        <w:rPr>
          <w:rFonts w:ascii="Aptos" w:hAnsi="Aptos"/>
        </w:rPr>
        <w:t>[85]</w:t>
      </w:r>
      <w:r w:rsidR="00A3593B">
        <w:fldChar w:fldCharType="end"/>
      </w:r>
      <w:r>
        <w:t xml:space="preserve"> </w:t>
      </w:r>
      <w:r w:rsidR="00EB6FFF">
        <w:t>is</w:t>
      </w:r>
      <w:r>
        <w:t xml:space="preserve"> used. The resistance due to the interconnect is then calculated by</w:t>
      </w:r>
    </w:p>
    <w:p w14:paraId="57949611" w14:textId="77777777" w:rsidR="00A93D24" w:rsidRPr="003B5A4A" w:rsidRDefault="00924E48" w:rsidP="00A93D24">
      <w:pPr>
        <w:jc w:val="right"/>
        <w:rPr>
          <w:rFonts w:eastAsiaTheme="minorEastAsia"/>
        </w:rPr>
      </w:pPr>
      <m:oMath>
        <m:sSub>
          <m:sSubPr>
            <m:ctrlPr>
              <w:rPr>
                <w:rFonts w:ascii="Cambria Math" w:hAnsi="Cambria Math"/>
                <w:i/>
              </w:rPr>
            </m:ctrlPr>
          </m:sSubPr>
          <m:e>
            <m:r>
              <w:rPr>
                <w:rFonts w:ascii="Cambria Math" w:hAnsi="Cambria Math"/>
              </w:rPr>
              <m:t>R</m:t>
            </m:r>
          </m:e>
          <m:sub>
            <m:r>
              <w:rPr>
                <w:rFonts w:ascii="Cambria Math" w:hAnsi="Cambria Math"/>
              </w:rPr>
              <m:t>o</m:t>
            </m:r>
            <m:r>
              <w:rPr>
                <w:rFonts w:ascii="Cambria Math" w:hAnsi="Cambria Math"/>
              </w:rPr>
              <m:t>h</m:t>
            </m:r>
            <m:r>
              <w:rPr>
                <w:rFonts w:ascii="Cambria Math" w:hAnsi="Cambria Math"/>
              </w:rPr>
              <m:t>m</m:t>
            </m:r>
            <m:r>
              <w:rPr>
                <w:rFonts w:ascii="Cambria Math" w:hAnsi="Cambria Math"/>
              </w:rPr>
              <m:t>,</m:t>
            </m:r>
            <m:r>
              <w:rPr>
                <w:rFonts w:ascii="Cambria Math" w:hAnsi="Cambria Math"/>
              </w:rPr>
              <m:t>IC</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cell</m:t>
            </m:r>
          </m:sub>
        </m:sSub>
        <m:r>
          <w:rPr>
            <w:rFonts w:ascii="Cambria Math" w:eastAsiaTheme="minorEastAsia" w:hAnsi="Cambria Math"/>
          </w:rPr>
          <m:t>*</m:t>
        </m:r>
        <m:r>
          <w:rPr>
            <w:rFonts w:ascii="Cambria Math" w:eastAsiaTheme="minorEastAsia" w:hAnsi="Cambria Math"/>
          </w:rPr>
          <m:t>1.176*</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m:t>
            </m:r>
            <m:r>
              <w:rPr>
                <w:rFonts w:ascii="Cambria Math" w:eastAsiaTheme="minorEastAsia" w:hAnsi="Cambria Math"/>
              </w:rPr>
              <m:t>4</m:t>
            </m:r>
          </m:sup>
        </m:sSup>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3</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m:t>
                </m:r>
              </m:sub>
            </m:sSub>
          </m:num>
          <m:den>
            <m:f>
              <m:fPr>
                <m:ctrlPr>
                  <w:rPr>
                    <w:rFonts w:ascii="Cambria Math" w:eastAsiaTheme="minorEastAsia" w:hAnsi="Cambria Math"/>
                    <w:i/>
                  </w:rPr>
                </m:ctrlPr>
              </m:fPr>
              <m:num>
                <m:r>
                  <w:rPr>
                    <w:rFonts w:ascii="Cambria Math" w:eastAsiaTheme="minorEastAsia" w:hAnsi="Cambria Math"/>
                  </w:rPr>
                  <m:t>A</m:t>
                </m:r>
              </m:num>
              <m:den>
                <m:r>
                  <w:rPr>
                    <w:rFonts w:ascii="Cambria Math" w:eastAsiaTheme="minorEastAsia" w:hAnsi="Cambria Math"/>
                  </w:rPr>
                  <m:t>4</m:t>
                </m:r>
              </m:den>
            </m:f>
          </m:den>
        </m:f>
      </m:oMath>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t>(3.29)</w:t>
      </w:r>
    </w:p>
    <w:p w14:paraId="7A4DE2D0" w14:textId="77777777" w:rsidR="00A93D24" w:rsidRDefault="00A93D24" w:rsidP="00A93D24">
      <w:pPr>
        <w:ind w:firstLine="0"/>
        <w:rPr>
          <w:rFonts w:eastAsiaTheme="minorEastAsia"/>
        </w:rPr>
      </w:pPr>
      <w:r>
        <w:rPr>
          <w:rFonts w:eastAsiaTheme="minorEastAsia"/>
        </w:rPr>
        <w:t xml:space="preserve">where </w:t>
      </w:r>
      <m:oMath>
        <m:f>
          <m:fPr>
            <m:ctrlPr>
              <w:rPr>
                <w:rFonts w:ascii="Cambria Math" w:eastAsiaTheme="minorEastAsia" w:hAnsi="Cambria Math"/>
                <w:i/>
              </w:rPr>
            </m:ctrlPr>
          </m:fPr>
          <m:num>
            <m:r>
              <w:rPr>
                <w:rFonts w:ascii="Cambria Math" w:eastAsiaTheme="minorEastAsia" w:hAnsi="Cambria Math"/>
              </w:rPr>
              <m:t>A</m:t>
            </m:r>
          </m:num>
          <m:den>
            <m:r>
              <w:rPr>
                <w:rFonts w:ascii="Cambria Math" w:eastAsiaTheme="minorEastAsia" w:hAnsi="Cambria Math"/>
              </w:rPr>
              <m:t>4</m:t>
            </m:r>
          </m:den>
        </m:f>
      </m:oMath>
      <w:r>
        <w:rPr>
          <w:rFonts w:eastAsiaTheme="minorEastAsia"/>
        </w:rPr>
        <w:t xml:space="preserve"> represents the area of the interconnect in </w:t>
      </w:r>
      <m:oMath>
        <m:r>
          <w:rPr>
            <w:rFonts w:ascii="Cambria Math" w:eastAsiaTheme="minorEastAsia" w:hAnsi="Cambria Math"/>
          </w:rPr>
          <m:t>cm</m:t>
        </m:r>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3</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m:t>
            </m:r>
          </m:sub>
        </m:sSub>
      </m:oMath>
      <w:r>
        <w:rPr>
          <w:rFonts w:eastAsiaTheme="minorEastAsia"/>
        </w:rPr>
        <w:t xml:space="preserve"> is considered as the maximum height of the interconnect. </w:t>
      </w:r>
    </w:p>
    <w:p w14:paraId="19034132" w14:textId="3A46246D" w:rsidR="00A93D24" w:rsidRDefault="00A93D24" w:rsidP="00A93D24">
      <w:r>
        <w:t xml:space="preserve">When the two resistances are added together, the resistance from the PEN structure is 2-3 orders of magnitude larger than the ohmic losses from the interconnect. This is expected as a large portion of the raw material cost of PCFCs is attributed to obtaining interconnect materials designed with especially high conductivities </w:t>
      </w:r>
      <w:r>
        <w:fldChar w:fldCharType="begin"/>
      </w:r>
      <w:r w:rsidR="00CA7A9D">
        <w:instrText xml:space="preserve"> ADDIN ZOTERO_ITEM CSL_CITATION {"citationID":"abhkkakafa","properties":{"formattedCitation":"[20]","plainCitation":"[20]","noteIndex":0},"citationItems":[{"id":83,"uris":["http://zotero.org/users/12063231/items/NHNHNLC2"],"itemData":{"id":83,"type":"article-journal","abstract":"Recent progress in the performance of intermediate temperature (500–600 °C) protonic ceramic fuel cells (PCFCs) has demonstrated both fuel flexibility and increasing power density that approach commercial application requirements. These developments may eventually position the technology as a viable alternative to solid oxide fuel cells (SOFCs) and molten carbonate fuel cells (MCFCs). The PCFCs investigated in this work are based on a BaZr0.8Y0.2O3-δ (BZY20) thin electrolyte supported by BZY20/Ni porous anodes, and a triple conducting cathode material comprised of BaCo0.4Fe0.4Zr0.1Y0.1O3-δ (BCFZY0.1). These cells are prepared using a low-cost solid-state reactive sintering (SSRS) process, and are capable of power densities of 0.156 W cm−2 at 500 °C operating directly from methane fuel. We develop a manufacturing cost model to estimate the Nth generation production costs of PCFC stack technology using high volume manufacturing processes and compare them to the state-of-the-art in SOFC technology. The low-cost cell manufacturing enabled by the SSRS technique compensates for the lower PCFC power density and the trade-off between operating temperature and efficiency enables the use of lower-cost stainless steel materials. PCFC stack production cost estimates are found to be as much as 27–37% lower at 550 °C than SOFCs operating at 800 °C.","container-title":"Journal of Power Sources","DOI":"10.1016/j.jpowsour.2017.09.024","ISSN":"0378-7753","journalAbbreviation":"Journal of Power Sources","page":"65-77","source":"ScienceDirect","title":"Benchmarking the expected stack manufacturing cost of next generation, intermediate-temperature protonic ceramic fuel cells with solid oxide fuel cell technology","volume":"369","author":[{"family":"Dubois","given":"Alexis"},{"family":"Ricote","given":"Sandrine"},{"family":"Braun","given":"Robert J."}],"issued":{"date-parts":[["2017",11,30]]}}}],"schema":"https://github.com/citation-style-language/schema/raw/master/csl-citation.json"} </w:instrText>
      </w:r>
      <w:r>
        <w:fldChar w:fldCharType="separate"/>
      </w:r>
      <w:r w:rsidR="00CA7A9D" w:rsidRPr="00CA7A9D">
        <w:rPr>
          <w:rFonts w:ascii="Aptos" w:hAnsi="Aptos"/>
        </w:rPr>
        <w:t>[20]</w:t>
      </w:r>
      <w:r>
        <w:fldChar w:fldCharType="end"/>
      </w:r>
      <w:r>
        <w:t>.</w:t>
      </w:r>
    </w:p>
    <w:p w14:paraId="2CE8E9EA" w14:textId="77777777" w:rsidR="00A93D24" w:rsidRDefault="00A93D24" w:rsidP="00A93D24">
      <w:pPr>
        <w:pStyle w:val="Heading3"/>
        <w:rPr>
          <w:rFonts w:eastAsiaTheme="minorEastAsia"/>
        </w:rPr>
      </w:pPr>
      <w:bookmarkStart w:id="75" w:name="_Toc165641076"/>
      <w:r>
        <w:rPr>
          <w:rFonts w:eastAsiaTheme="minorEastAsia"/>
        </w:rPr>
        <w:t>3.4.3 Activation Overpotential</w:t>
      </w:r>
      <w:bookmarkEnd w:id="75"/>
    </w:p>
    <w:p w14:paraId="7E628C2C" w14:textId="5326D9BE" w:rsidR="00A93D24" w:rsidRDefault="00A93D24" w:rsidP="00A93D24">
      <w:r>
        <w:t xml:space="preserve">The activation overpotential comes from the extra potential needed to overcome the activation energy barriers of the electrochemical reaction </w:t>
      </w:r>
      <w:r>
        <w:fldChar w:fldCharType="begin"/>
      </w:r>
      <w:r w:rsidR="00CA7A9D">
        <w:instrText xml:space="preserve"> ADDIN ZOTERO_ITEM CSL_CITATION {"citationID":"a2kharjifft","properties":{"formattedCitation":"[76], [77], [87]","plainCitation":"[76], [77], [87]","noteIndex":0},"citationItems":[{"id":819,"uris":["http://zotero.org/users/12063231/items/IVRFUHXZ"],"itemData":{"id":819,"type":"article-journal","abstract":"This paper presents a complete polarization model of a solid oxide fuel cell (SOFC) that eliminates the ambiguity of the suitability of such model when used under different design and operating conditions. The Butler–Volmer equation is used in the model to describe the activation overpotential instead of using simplified expressions such as the Tafel equation and the linear current–potential equation. In the concentration overpotential, both ordinary and Knudsen diffusions are considered to cater for different porous electrode designs. Sensitivity tests are then conducted to show the effect of the thickness of the respective fuel cell components on the drop in cell voltage. Results show that the performance of an anode-supported fuel cell is superior to that using cathode as the support under elevated operating pressure in the cathode compartment. The former can achieve an improved operating range of current density under normal atmospheric conditions.","container-title":"Journal of Power Sources","DOI":"10.1016/S0378-7753(00)00556-5","ISSN":"0378-7753","issue":"1","journalAbbreviation":"Journal of Power Sources","page":"130-140","source":"ScienceDirect","title":"A complete polarization model of a solid oxide fuel cell and its sensitivity to the change of cell component thickness","volume":"93","author":[{"family":"Chan","given":"S. H"},{"family":"Khor","given":"K. A"},{"family":"Xia","given":"Z. T"}],"issued":{"date-parts":[["2001",2,1]]}}},{"id":805,"uris":["http://zotero.org/users/12063231/items/IV7WWVFD"],"itemData":{"id":805,"type":"thesis","event-place":"Ann Arbor, MI","language":"English","number-of-pages":"183","publisher":"University of Michigan","publisher-place":"Ann Arbor, MI","title":"Dynamic Modeling and Control of Planar SOFC Power Systems","author":[{"family":"Xi","given":"Handa"}],"issued":{"date-parts":[["2007"]]}}},{"id":809,"uris":["http://zotero.org/users/12063231/items/86VEYUNF"],"itemData":{"id":809,"type":"article-journal","container-title":"Fuel Cells","DOI":"10.1002/fuce.200900082","issue":"6","language":"English","page":"1074-1094","title":"Modelling and Performance Evaluation of Solid Oxide Fuel Cell for Building Integrated Co- and Polygeneration","volume":"10","author":[{"family":"Kazempoor","given":"Pejman"},{"family":"Dorer","given":"Viktor"},{"family":"Fathollah","given":"Ommi"}],"issued":{"date-parts":[["2010"]]}}}],"schema":"https://github.com/citation-style-language/schema/raw/master/csl-citation.json"} </w:instrText>
      </w:r>
      <w:r>
        <w:fldChar w:fldCharType="separate"/>
      </w:r>
      <w:r w:rsidR="00CA7A9D" w:rsidRPr="00CA7A9D">
        <w:rPr>
          <w:rFonts w:ascii="Aptos" w:hAnsi="Aptos"/>
        </w:rPr>
        <w:t>[76], [77], [87]</w:t>
      </w:r>
      <w:r>
        <w:fldChar w:fldCharType="end"/>
      </w:r>
      <w:r>
        <w:t xml:space="preserve">. In both SOFC and PCFC models, this overpotential has been represented using the Butler-Volmer equation </w:t>
      </w:r>
      <w:r>
        <w:fldChar w:fldCharType="begin"/>
      </w:r>
      <w:r w:rsidR="00CA7A9D">
        <w:instrText xml:space="preserve"> ADDIN ZOTERO_ITEM CSL_CITATION {"citationID":"a213mscod0i","properties":{"formattedCitation":"[77], [78], [85], [87], [88]","plainCitation":"[77], [78], [85], [87], [88]","noteIndex":0},"citationItems":[{"id":819,"uris":["http://zotero.org/users/12063231/items/IVRFUHXZ"],"itemData":{"id":819,"type":"article-journal","abstract":"This paper presents a complete polarization model of a solid oxide fuel cell (SOFC) that eliminates the ambiguity of the suitability of such model when used under different design and operating conditions. The Butler–Volmer equation is used in the model to describe the activation overpotential instead of using simplified expressions such as the Tafel equation and the linear current–potential equation. In the concentration overpotential, both ordinary and Knudsen diffusions are considered to cater for different porous electrode designs. Sensitivity tests are then conducted to show the effect of the thickness of the respective fuel cell components on the drop in cell voltage. Results show that the performance of an anode-supported fuel cell is superior to that using cathode as the support under elevated operating pressure in the cathode compartment. The former can achieve an improved operating range of current density under normal atmospheric conditions.","container-title":"Journal of Power Sources","DOI":"10.1016/S0378-7753(00)00556-5","ISSN":"0378-7753","issue":"1","journalAbbreviation":"Journal of Power Sources","page":"130-140","source":"ScienceDirect","title":"A complete polarization model of a solid oxide fuel cell and its sensitivity to the change of cell component thickness","volume":"93","author":[{"family":"Chan","given":"S. H"},{"family":"Khor","given":"K. A"},{"family":"Xia","given":"Z. T"}],"issued":{"date-parts":[["2001",2,1]]}}},{"id":809,"uris":["http://zotero.org/users/12063231/items/86VEYUNF"],"itemData":{"id":809,"type":"article-journal","container-title":"Fuel Cells","DOI":"10.1002/fuce.200900082","issue":"6","language":"English","page":"1074-1094","title":"Modelling and Performance Evaluation of Solid Oxide Fuel Cell for Building Integrated Co- and Polygeneration","volume":"10","author":[{"family":"Kazempoor","given":"Pejman"},{"family":"Dorer","given":"Viktor"},{"family":"Fathollah","given":"Ommi"}],"issued":{"date-parts":[["2010"]]}}},{"id":774,"uris":["http://zotero.org/users/12063231/items/RRTFAJZR"],"itemData":{"id":774,"type":"chapter","abstract":"&lt;p&gt;This chapter discusses the theory and performance of electrolysis cells based upon proton-conducting ceramics (protonic ceramic electrolysis cells (PCECs)). To put PCECs in perspective in relation to other ceramic-based electrochemical cells, the discussion initially compares oxygen-ion-conducting membranes as well as fuel-cell performance.&lt;/p&gt;","container-title":"High-Temperature Electrolysis: From fundamentals to applications","language":"en","note":"DOI: 10.1088/978-0-7503-3951-3ch12","publisher":"IOP Publishing","source":"iopscience.iop.org","title":"Thermodynamics, transport, and electrochemistry in protonic ceramic electrolysis cells","URL":"https://iopscience.iop.org/book/edit/978-0-7503-3951-3/chapter/bk978-0-7503-3951-3ch12","author":[{"family":"Zhu","given":"Huayang"},{"family":"Ricote","given":"Sandrine"},{"family":"Kee","given":"Robert J."}],"accessed":{"date-parts":[["2024",2,6]]},"issued":{"date-parts":[["2023",1,1]]}}},{"id":885,"uris":["http://zotero.org/users/12063231/items/2YPLBP28"],"itemData":{"id":885,"type":"article-journal","abstract":"The need for electrical energy storage (EES) is being driven by the deployment of increasing amounts of intermittent renewable energy resources. In addition to their fuel flexibility, high efficiency, scalability, and long-term cost outlook, reversible (regenerative) solid oxide cell (rSOC) systems have the potential for round-trip efficiencies competitive with the other available energy storage technologies. Accordingly, the focus of the current study is to investigate modeling methods for high temperature rSOCs in order to facilitate future endeavors related to establishing optimal operating conditions and system designs. Previously developed solid oxide fuel cell (SOFC) and solid-oxide electrolytic cell (SOEC) models are integrated to form a general rSOC model. The model is first calibrated and validated based on the available experimental data in the extant literature. The validation results show that the fitting parameters extracted from the calibration study can precisely simulate the cell behavior under various operating conditions. The effects of key operating parameters, such as temperature, gas composition and fuel utilization, on the voltage–current density performance characteristic and thermoneutral voltage are then investigated. It is also observed that the total electrochemical losses of the cell can be significantly different in each operating mode (fuel cell and electrolyzing) under certain operating conditions. Advantages of pressurized operation on thermal management are also discussed.","container-title":"International Journal of Hydrogen Energy","DOI":"10.1016/j.ijhydene.2014.01.186","ISSN":"0360-3199","issue":"11","journalAbbreviation":"International Journal of Hydrogen Energy","page":"5955-5971","source":"ScienceDirect","title":"Model validation and performance analysis of regenerative solid oxide cells for energy storage applications: Reversible operation","title-short":"Model validation and performance analysis of regenerative solid oxide cells for energy storage applications","volume":"39","author":[{"family":"Kazempoor","given":"P."},{"family":"Braun","given":"R. J."}],"issued":{"date-parts":[["2014",4,4]]}}},{"id":887,"uris":["http://zotero.org/users/12063231/items/WHDJHSA2"],"itemData":{"id":887,"type":"article-journal","abstract":"The use of regenerative, high temperature solid oxide cells (SOCs) as energy storage devices has the potential for round-trip efficiencies that are competitive with other storage technologies. The focus of the current study is to investigate regenerative SOC operation (i.e., working in both fuel cell and electrolysis modes) through a combination of modeling and numerical simulation. As an intermediate step, this paper focuses on the electrolysis mode and presents a dynamic cell model that couples the reversible electrochemistry, reactant chemistry, and the thermo-fluidic phenomena inside a cell channel. The model is calibrated and validated using available experimental and numerical data for button cells, single cells, and multi-cell stacks supplied with either steam or syngas. Parametric studies are also performed to show how the investigated parameters affect model validity. The results show that the present model can accurately simulate the electrolytic cell behavior, especially in the low current range, which is a favored operating point in practical systems. It is observed that improvements in stack-level model precision require further investigation to better represent the contact resistance of the stack components and to improve the estimation of the activation polarization throughout the operating envelope. It is also concluded that the CO2 electrochemical reaction can be neglected when the concentration of the steam supplied to the cell is high enough to support the water–gas shift reaction.","container-title":"International Journal of Hydrogen Energy","DOI":"10.1016/j.ijhydene.2013.12.010","ISSN":"0360-3199","issue":"6","journalAbbreviation":"International Journal of Hydrogen Energy","page":"2669-2684","source":"ScienceDirect","title":"Model validation and performance analysis of regenerative solid oxide cells: Electrolytic operation","title-short":"Model validation and performance analysis of regenerative solid oxide cells","volume":"39","author":[{"family":"Kazempoor","given":"P."},{"family":"Braun","given":"R. J."}],"issued":{"date-parts":[["2014",2,14]]}}}],"schema":"https://github.com/citation-style-language/schema/raw/master/csl-citation.json"} </w:instrText>
      </w:r>
      <w:r>
        <w:fldChar w:fldCharType="separate"/>
      </w:r>
      <w:r w:rsidR="00CA7A9D" w:rsidRPr="00CA7A9D">
        <w:rPr>
          <w:rFonts w:ascii="Aptos" w:hAnsi="Aptos"/>
        </w:rPr>
        <w:t>[77], [78], [85], [87], [88]</w:t>
      </w:r>
      <w:r>
        <w:fldChar w:fldCharType="end"/>
      </w:r>
      <w:r>
        <w:t>:</w:t>
      </w:r>
    </w:p>
    <w:p w14:paraId="25A86FD8" w14:textId="77777777" w:rsidR="00A93D24" w:rsidRPr="00913069" w:rsidRDefault="00924E48" w:rsidP="00A93D24">
      <w:pPr>
        <w:jc w:val="right"/>
        <w:rPr>
          <w:rFonts w:eastAsiaTheme="minorEastAsia"/>
        </w:rPr>
      </w:pPr>
      <m:oMath>
        <m:sSub>
          <m:sSubPr>
            <m:ctrlPr>
              <w:rPr>
                <w:rFonts w:ascii="Cambria Math" w:hAnsi="Cambria Math"/>
                <w:i/>
              </w:rPr>
            </m:ctrlPr>
          </m:sSubPr>
          <m:e>
            <m:r>
              <w:rPr>
                <w:rFonts w:ascii="Cambria Math" w:hAnsi="Cambria Math"/>
              </w:rPr>
              <m:t>i</m:t>
            </m:r>
          </m:e>
          <m:sub>
            <m:r>
              <w:rPr>
                <w:rFonts w:ascii="Cambria Math" w:hAnsi="Cambria Math"/>
              </w:rPr>
              <m:t>cell</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0</m:t>
            </m:r>
          </m:sub>
        </m:sSub>
        <m:d>
          <m:dPr>
            <m:begChr m:val="["/>
            <m:endChr m:val="]"/>
            <m:ctrlPr>
              <w:rPr>
                <w:rFonts w:ascii="Cambria Math" w:hAnsi="Cambria Math"/>
                <w:i/>
              </w:rPr>
            </m:ctrlPr>
          </m:dPr>
          <m:e>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α</m:t>
                            </m:r>
                          </m:e>
                          <m:sub>
                            <m:r>
                              <w:rPr>
                                <w:rFonts w:ascii="Cambria Math" w:hAnsi="Cambria Math"/>
                              </w:rPr>
                              <m:t>an</m:t>
                            </m:r>
                          </m:sub>
                        </m:sSub>
                        <m:r>
                          <w:rPr>
                            <w:rFonts w:ascii="Cambria Math" w:hAnsi="Cambria Math"/>
                          </w:rPr>
                          <m:t>F</m:t>
                        </m:r>
                        <m:sSub>
                          <m:sSubPr>
                            <m:ctrlPr>
                              <w:rPr>
                                <w:rFonts w:ascii="Cambria Math" w:hAnsi="Cambria Math"/>
                                <w:i/>
                              </w:rPr>
                            </m:ctrlPr>
                          </m:sSubPr>
                          <m:e>
                            <m:r>
                              <w:rPr>
                                <w:rFonts w:ascii="Cambria Math" w:hAnsi="Cambria Math"/>
                              </w:rPr>
                              <m:t>η</m:t>
                            </m:r>
                          </m:e>
                          <m:sub>
                            <m:r>
                              <w:rPr>
                                <w:rFonts w:ascii="Cambria Math" w:hAnsi="Cambria Math"/>
                              </w:rPr>
                              <m:t>act</m:t>
                            </m:r>
                          </m:sub>
                        </m:sSub>
                      </m:num>
                      <m:den>
                        <m:r>
                          <w:rPr>
                            <w:rFonts w:ascii="Cambria Math" w:hAnsi="Cambria Math"/>
                          </w:rPr>
                          <m:t>R</m:t>
                        </m:r>
                        <m:sSub>
                          <m:sSubPr>
                            <m:ctrlPr>
                              <w:rPr>
                                <w:rFonts w:ascii="Cambria Math" w:hAnsi="Cambria Math"/>
                                <w:i/>
                              </w:rPr>
                            </m:ctrlPr>
                          </m:sSubPr>
                          <m:e>
                            <m:r>
                              <w:rPr>
                                <w:rFonts w:ascii="Cambria Math" w:hAnsi="Cambria Math"/>
                              </w:rPr>
                              <m:t>T</m:t>
                            </m:r>
                          </m:e>
                          <m:sub>
                            <m:r>
                              <w:rPr>
                                <w:rFonts w:ascii="Cambria Math" w:hAnsi="Cambria Math"/>
                              </w:rPr>
                              <m:t>PEN</m:t>
                            </m:r>
                          </m:sub>
                        </m:sSub>
                      </m:den>
                    </m:f>
                  </m:e>
                </m:d>
                <m:r>
                  <w:rPr>
                    <w:rFonts w:ascii="Cambria Math" w:hAnsi="Cambria Math"/>
                  </w:rPr>
                  <m:t>-</m:t>
                </m:r>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α</m:t>
                                </m:r>
                              </m:e>
                              <m:sub>
                                <m:r>
                                  <w:rPr>
                                    <w:rFonts w:ascii="Cambria Math" w:hAnsi="Cambria Math"/>
                                  </w:rPr>
                                  <m:t>ca</m:t>
                                </m:r>
                              </m:sub>
                            </m:sSub>
                            <m:r>
                              <w:rPr>
                                <w:rFonts w:ascii="Cambria Math" w:hAnsi="Cambria Math"/>
                              </w:rPr>
                              <m:t>F</m:t>
                            </m:r>
                            <m:sSub>
                              <m:sSubPr>
                                <m:ctrlPr>
                                  <w:rPr>
                                    <w:rFonts w:ascii="Cambria Math" w:hAnsi="Cambria Math"/>
                                    <w:i/>
                                  </w:rPr>
                                </m:ctrlPr>
                              </m:sSubPr>
                              <m:e>
                                <m:r>
                                  <w:rPr>
                                    <w:rFonts w:ascii="Cambria Math" w:hAnsi="Cambria Math"/>
                                  </w:rPr>
                                  <m:t>η</m:t>
                                </m:r>
                              </m:e>
                              <m:sub>
                                <m:r>
                                  <w:rPr>
                                    <w:rFonts w:ascii="Cambria Math" w:hAnsi="Cambria Math"/>
                                  </w:rPr>
                                  <m:t>act</m:t>
                                </m:r>
                              </m:sub>
                            </m:sSub>
                          </m:num>
                          <m:den>
                            <m:r>
                              <w:rPr>
                                <w:rFonts w:ascii="Cambria Math" w:hAnsi="Cambria Math"/>
                              </w:rPr>
                              <m:t>R</m:t>
                            </m:r>
                            <m:sSub>
                              <m:sSubPr>
                                <m:ctrlPr>
                                  <w:rPr>
                                    <w:rFonts w:ascii="Cambria Math" w:hAnsi="Cambria Math"/>
                                    <w:i/>
                                  </w:rPr>
                                </m:ctrlPr>
                              </m:sSubPr>
                              <m:e>
                                <m:r>
                                  <w:rPr>
                                    <w:rFonts w:ascii="Cambria Math" w:hAnsi="Cambria Math"/>
                                  </w:rPr>
                                  <m:t>T</m:t>
                                </m:r>
                              </m:e>
                              <m:sub>
                                <m:r>
                                  <w:rPr>
                                    <w:rFonts w:ascii="Cambria Math" w:hAnsi="Cambria Math"/>
                                  </w:rPr>
                                  <m:t>PEN</m:t>
                                </m:r>
                              </m:sub>
                            </m:sSub>
                          </m:den>
                        </m:f>
                      </m:e>
                    </m:d>
                  </m:e>
                </m:func>
              </m:e>
            </m:func>
          </m:e>
        </m:d>
        <m:r>
          <w:rPr>
            <w:rFonts w:ascii="Cambria Math" w:hAnsi="Cambria Math"/>
          </w:rPr>
          <m:t xml:space="preserve"> </m:t>
        </m:r>
      </m:oMath>
      <w:r w:rsidR="00A93D24">
        <w:rPr>
          <w:rFonts w:eastAsiaTheme="minorEastAsia"/>
        </w:rPr>
        <w:tab/>
      </w:r>
      <w:r w:rsidR="00A93D24">
        <w:rPr>
          <w:rFonts w:eastAsiaTheme="minorEastAsia"/>
        </w:rPr>
        <w:tab/>
      </w:r>
      <w:r w:rsidR="00A93D24">
        <w:rPr>
          <w:rFonts w:eastAsiaTheme="minorEastAsia"/>
        </w:rPr>
        <w:tab/>
        <w:t>(3.30)</w:t>
      </w:r>
    </w:p>
    <w:p w14:paraId="49D76EAF" w14:textId="4785E3E8" w:rsidR="00A93D24" w:rsidRDefault="00A93D24" w:rsidP="00A93D24">
      <w:pPr>
        <w:ind w:firstLine="0"/>
        <w:rPr>
          <w:rFonts w:eastAsiaTheme="minorEastAsia"/>
        </w:rPr>
      </w:pPr>
      <w:r>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an</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ca</m:t>
            </m:r>
          </m:sub>
        </m:sSub>
      </m:oMath>
      <w:r>
        <w:rPr>
          <w:rFonts w:eastAsiaTheme="minorEastAsia"/>
        </w:rPr>
        <w:t xml:space="preserve"> are the anodic and cathodic symmetry factors, respectively, and </w:t>
      </w: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0</m:t>
            </m:r>
          </m:sub>
        </m:sSub>
      </m:oMath>
      <w:r>
        <w:rPr>
          <w:rFonts w:eastAsiaTheme="minorEastAsia"/>
        </w:rPr>
        <w:t xml:space="preserve"> is the exchange current factor. The symmetry factors must sum to unity, and in SOFC systems these are typically assumed to be 0.5 </w:t>
      </w:r>
      <w:r>
        <w:rPr>
          <w:rFonts w:eastAsiaTheme="minorEastAsia"/>
        </w:rPr>
        <w:fldChar w:fldCharType="begin"/>
      </w:r>
      <w:r w:rsidR="00CA7A9D">
        <w:rPr>
          <w:rFonts w:eastAsiaTheme="minorEastAsia"/>
        </w:rPr>
        <w:instrText xml:space="preserve"> ADDIN ZOTERO_ITEM CSL_CITATION {"citationID":"a2fm6t1qhhm","properties":{"formattedCitation":"[87]","plainCitation":"[87]","noteIndex":0},"citationItems":[{"id":819,"uris":["http://zotero.org/users/12063231/items/IVRFUHXZ"],"itemData":{"id":819,"type":"article-journal","abstract":"This paper presents a complete polarization model of a solid oxide fuel cell (SOFC) that eliminates the ambiguity of the suitability of such model when used under different design and operating conditions. The Butler–Volmer equation is used in the model to describe the activation overpotential instead of using simplified expressions such as the Tafel equation and the linear current–potential equation. In the concentration overpotential, both ordinary and Knudsen diffusions are considered to cater for different porous electrode designs. Sensitivity tests are then conducted to show the effect of the thickness of the respective fuel cell components on the drop in cell voltage. Results show that the performance of an anode-supported fuel cell is superior to that using cathode as the support under elevated operating pressure in the cathode compartment. The former can achieve an improved operating range of current density under normal atmospheric conditions.","container-title":"Journal of Power Sources","DOI":"10.1016/S0378-7753(00)00556-5","ISSN":"0378-7753","issue":"1","journalAbbreviation":"Journal of Power Sources","page":"130-140","source":"ScienceDirect","title":"A complete polarization model of a solid oxide fuel cell and its sensitivity to the change of cell component thickness","volume":"93","author":[{"family":"Chan","given":"S. H"},{"family":"Khor","given":"K. A"},{"family":"Xia","given":"Z. T"}],"issued":{"date-parts":[["2001",2,1]]}}}],"schema":"https://github.com/citation-style-language/schema/raw/master/csl-citation.json"} </w:instrText>
      </w:r>
      <w:r>
        <w:rPr>
          <w:rFonts w:eastAsiaTheme="minorEastAsia"/>
        </w:rPr>
        <w:fldChar w:fldCharType="separate"/>
      </w:r>
      <w:r w:rsidR="00CA7A9D" w:rsidRPr="00CA7A9D">
        <w:rPr>
          <w:rFonts w:ascii="Aptos" w:hAnsi="Aptos"/>
        </w:rPr>
        <w:t>[87]</w:t>
      </w:r>
      <w:r>
        <w:rPr>
          <w:rFonts w:eastAsiaTheme="minorEastAsia"/>
        </w:rPr>
        <w:fldChar w:fldCharType="end"/>
      </w:r>
      <w:r>
        <w:rPr>
          <w:rFonts w:eastAsiaTheme="minorEastAsia"/>
        </w:rPr>
        <w:t xml:space="preserve">. However, in PCFC systems, these terms change. Zhu et al. simulated a PCFC using moist </w:t>
      </w: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oMath>
      <w:r>
        <w:rPr>
          <w:rFonts w:eastAsiaTheme="minorEastAsia"/>
        </w:rPr>
        <w:t xml:space="preserve"> at atmospheric pressure and generated effective values for these and other important electrochemical parameters, which are also used in this study </w:t>
      </w:r>
      <w:r>
        <w:rPr>
          <w:rFonts w:eastAsiaTheme="minorEastAsia"/>
        </w:rPr>
        <w:fldChar w:fldCharType="begin"/>
      </w:r>
      <w:r w:rsidR="00CA7A9D">
        <w:rPr>
          <w:rFonts w:eastAsiaTheme="minorEastAsia"/>
        </w:rPr>
        <w:instrText xml:space="preserve"> ADDIN ZOTERO_ITEM CSL_CITATION {"citationID":"a15brbhl9l8","properties":{"formattedCitation":"[88]","plainCitation":"[88]","noteIndex":0},"citationItems":[{"id":774,"uris":["http://zotero.org/users/12063231/items/RRTFAJZR"],"itemData":{"id":774,"type":"chapter","abstract":"&lt;p&gt;This chapter discusses the theory and performance of electrolysis cells based upon proton-conducting ceramics (protonic ceramic electrolysis cells (PCECs)). To put PCECs in perspective in relation to other ceramic-based electrochemical cells, the discussion initially compares oxygen-ion-conducting membranes as well as fuel-cell performance.&lt;/p&gt;","container-title":"High-Temperature Electrolysis: From fundamentals to applications","language":"en","note":"DOI: 10.1088/978-0-7503-3951-3ch12","publisher":"IOP Publishing","source":"iopscience.iop.org","title":"Thermodynamics, transport, and electrochemistry in protonic ceramic electrolysis cells","URL":"https://iopscience.iop.org/book/edit/978-0-7503-3951-3/chapter/bk978-0-7503-3951-3ch12","author":[{"family":"Zhu","given":"Huayang"},{"family":"Ricote","given":"Sandrine"},{"family":"Kee","given":"Robert J."}],"accessed":{"date-parts":[["2024",2,6]]},"issued":{"date-parts":[["2023",1,1]]}}}],"schema":"https://github.com/citation-style-language/schema/raw/master/csl-citation.json"} </w:instrText>
      </w:r>
      <w:r>
        <w:rPr>
          <w:rFonts w:eastAsiaTheme="minorEastAsia"/>
        </w:rPr>
        <w:fldChar w:fldCharType="separate"/>
      </w:r>
      <w:r w:rsidR="00CA7A9D" w:rsidRPr="00CA7A9D">
        <w:rPr>
          <w:rFonts w:ascii="Aptos" w:hAnsi="Aptos"/>
        </w:rPr>
        <w:t>[88]</w:t>
      </w:r>
      <w:r>
        <w:rPr>
          <w:rFonts w:eastAsiaTheme="minorEastAsia"/>
        </w:rPr>
        <w:fldChar w:fldCharType="end"/>
      </w:r>
      <w:r>
        <w:rPr>
          <w:rFonts w:eastAsiaTheme="minorEastAsia"/>
        </w:rPr>
        <w:t xml:space="preserve">. </w:t>
      </w:r>
    </w:p>
    <w:p w14:paraId="68BE18C5" w14:textId="53022601" w:rsidR="00A93D24" w:rsidRDefault="00A93D24" w:rsidP="00A93D24">
      <w:r>
        <w:t xml:space="preserve">The Butler-Volmer equation is used on both sides of the PEN structure in Zhu’ s model </w:t>
      </w:r>
      <w:r>
        <w:fldChar w:fldCharType="begin"/>
      </w:r>
      <w:r w:rsidR="00CA7A9D">
        <w:instrText xml:space="preserve"> ADDIN ZOTERO_ITEM CSL_CITATION {"citationID":"a2iuefdj012","properties":{"formattedCitation":"[88]","plainCitation":"[88]","noteIndex":0},"citationItems":[{"id":774,"uris":["http://zotero.org/users/12063231/items/RRTFAJZR"],"itemData":{"id":774,"type":"chapter","abstract":"&lt;p&gt;This chapter discusses the theory and performance of electrolysis cells based upon proton-conducting ceramics (protonic ceramic electrolysis cells (PCECs)). To put PCECs in perspective in relation to other ceramic-based electrochemical cells, the discussion initially compares oxygen-ion-conducting membranes as well as fuel-cell performance.&lt;/p&gt;","container-title":"High-Temperature Electrolysis: From fundamentals to applications","language":"en","note":"DOI: 10.1088/978-0-7503-3951-3ch12","publisher":"IOP Publishing","source":"iopscience.iop.org","title":"Thermodynamics, transport, and electrochemistry in protonic ceramic electrolysis cells","URL":"https://iopscience.iop.org/book/edit/978-0-7503-3951-3/chapter/bk978-0-7503-3951-3ch12","author":[{"family":"Zhu","given":"Huayang"},{"family":"Ricote","given":"Sandrine"},{"family":"Kee","given":"Robert J."}],"accessed":{"date-parts":[["2024",2,6]]},"issued":{"date-parts":[["2023",1,1]]}}}],"schema":"https://github.com/citation-style-language/schema/raw/master/csl-citation.json"} </w:instrText>
      </w:r>
      <w:r>
        <w:fldChar w:fldCharType="separate"/>
      </w:r>
      <w:r w:rsidR="00CA7A9D" w:rsidRPr="00CA7A9D">
        <w:rPr>
          <w:rFonts w:ascii="Aptos" w:hAnsi="Aptos"/>
        </w:rPr>
        <w:t>[88]</w:t>
      </w:r>
      <w:r>
        <w:fldChar w:fldCharType="end"/>
      </w:r>
      <w:r>
        <w:t xml:space="preserve">, and the same approach is used here. This allows for the unique kinetics of the electrochemical reaction on both electrodes to factor into the overpotential calculation, which provides greater insight into the electrodes’ effect on the reaction </w:t>
      </w:r>
      <w:r>
        <w:fldChar w:fldCharType="begin"/>
      </w:r>
      <w:r w:rsidR="00CA7A9D">
        <w:instrText xml:space="preserve"> ADDIN ZOTERO_ITEM CSL_CITATION {"citationID":"a18tife675i","properties":{"formattedCitation":"[88]","plainCitation":"[88]","noteIndex":0},"citationItems":[{"id":774,"uris":["http://zotero.org/users/12063231/items/RRTFAJZR"],"itemData":{"id":774,"type":"chapter","abstract":"&lt;p&gt;This chapter discusses the theory and performance of electrolysis cells based upon proton-conducting ceramics (protonic ceramic electrolysis cells (PCECs)). To put PCECs in perspective in relation to other ceramic-based electrochemical cells, the discussion initially compares oxygen-ion-conducting membranes as well as fuel-cell performance.&lt;/p&gt;","container-title":"High-Temperature Electrolysis: From fundamentals to applications","language":"en","note":"DOI: 10.1088/978-0-7503-3951-3ch12","publisher":"IOP Publishing","source":"iopscience.iop.org","title":"Thermodynamics, transport, and electrochemistry in protonic ceramic electrolysis cells","URL":"https://iopscience.iop.org/book/edit/978-0-7503-3951-3/chapter/bk978-0-7503-3951-3ch12","author":[{"family":"Zhu","given":"Huayang"},{"family":"Ricote","given":"Sandrine"},{"family":"Kee","given":"Robert J."}],"accessed":{"date-parts":[["2024",2,6]]},"issued":{"date-parts":[["2023",1,1]]}}}],"schema":"https://github.com/citation-style-language/schema/raw/master/csl-citation.json"} </w:instrText>
      </w:r>
      <w:r>
        <w:fldChar w:fldCharType="separate"/>
      </w:r>
      <w:r w:rsidR="00CA7A9D" w:rsidRPr="00CA7A9D">
        <w:rPr>
          <w:rFonts w:ascii="Aptos" w:hAnsi="Aptos"/>
        </w:rPr>
        <w:t>[88]</w:t>
      </w:r>
      <w:r>
        <w:fldChar w:fldCharType="end"/>
      </w:r>
      <w:r>
        <w:t>. The overall activation overpotential is then the sum of the overpotentials at the anode and cathode. The respective overpotentials are calculated using the following:</w:t>
      </w:r>
    </w:p>
    <w:p w14:paraId="5FC93EAB" w14:textId="77777777" w:rsidR="00A93D24" w:rsidRPr="00F31207" w:rsidRDefault="00924E48" w:rsidP="00A93D24">
      <w:pPr>
        <w:jc w:val="right"/>
        <w:rPr>
          <w:rFonts w:eastAsiaTheme="minorEastAsia"/>
        </w:rPr>
      </w:pPr>
      <m:oMath>
        <m:sSub>
          <m:sSubPr>
            <m:ctrlPr>
              <w:rPr>
                <w:rFonts w:ascii="Cambria Math" w:hAnsi="Cambria Math"/>
                <w:i/>
              </w:rPr>
            </m:ctrlPr>
          </m:sSubPr>
          <m:e>
            <m:r>
              <w:rPr>
                <w:rFonts w:ascii="Cambria Math" w:hAnsi="Cambria Math"/>
              </w:rPr>
              <m:t>i</m:t>
            </m:r>
          </m:e>
          <m:sub>
            <m:r>
              <w:rPr>
                <w:rFonts w:ascii="Cambria Math" w:hAnsi="Cambria Math"/>
              </w:rPr>
              <m:t>cell</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j</m:t>
                </m:r>
              </m:e>
              <m:sub>
                <m:r>
                  <w:rPr>
                    <w:rFonts w:ascii="Cambria Math" w:hAnsi="Cambria Math"/>
                  </w:rPr>
                  <m:t>0</m:t>
                </m:r>
              </m:sub>
            </m:sSub>
          </m:e>
          <m:sub>
            <m:r>
              <w:rPr>
                <w:rFonts w:ascii="Cambria Math" w:hAnsi="Cambria Math"/>
              </w:rPr>
              <m:t>an</m:t>
            </m:r>
          </m:sub>
        </m:sSub>
        <m:r>
          <w:rPr>
            <w:rFonts w:ascii="Cambria Math" w:hAnsi="Cambria Math"/>
          </w:rPr>
          <m:t>*</m:t>
        </m:r>
        <m:d>
          <m:dPr>
            <m:ctrlPr>
              <w:rPr>
                <w:rFonts w:ascii="Cambria Math" w:hAnsi="Cambria Math"/>
                <w:i/>
              </w:rPr>
            </m:ctrlPr>
          </m:dPr>
          <m:e>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f>
                      <m:fPr>
                        <m:ctrlPr>
                          <w:rPr>
                            <w:rFonts w:ascii="Cambria Math" w:eastAsiaTheme="minorEastAsia" w:hAnsi="Cambria Math"/>
                            <w:i/>
                          </w:rPr>
                        </m:ctrlPr>
                      </m:fPr>
                      <m:num>
                        <m:sSubSup>
                          <m:sSubSupPr>
                            <m:ctrlPr>
                              <w:rPr>
                                <w:rFonts w:ascii="Cambria Math" w:hAnsi="Cambria Math"/>
                                <w:i/>
                              </w:rPr>
                            </m:ctrlPr>
                          </m:sSubSupPr>
                          <m:e>
                            <m:r>
                              <w:rPr>
                                <w:rFonts w:ascii="Cambria Math" w:hAnsi="Cambria Math"/>
                              </w:rPr>
                              <m:t>α</m:t>
                            </m:r>
                          </m:e>
                          <m:sub>
                            <m:r>
                              <w:rPr>
                                <w:rFonts w:ascii="Cambria Math" w:hAnsi="Cambria Math"/>
                              </w:rPr>
                              <m:t>an</m:t>
                            </m:r>
                          </m:sub>
                          <m:sup>
                            <m:r>
                              <w:rPr>
                                <w:rFonts w:ascii="Cambria Math" w:hAnsi="Cambria Math"/>
                              </w:rPr>
                              <m:t>an</m:t>
                            </m:r>
                          </m:sup>
                        </m:sSubSup>
                        <m:r>
                          <w:rPr>
                            <w:rFonts w:ascii="Cambria Math" w:eastAsiaTheme="minorEastAsia" w:hAnsi="Cambria Math"/>
                          </w:rPr>
                          <m:t>F</m:t>
                        </m:r>
                        <m:sSub>
                          <m:sSubPr>
                            <m:ctrlPr>
                              <w:rPr>
                                <w:rFonts w:ascii="Cambria Math" w:eastAsiaTheme="minorEastAsia" w:hAnsi="Cambria Math"/>
                                <w:i/>
                              </w:rPr>
                            </m:ctrlPr>
                          </m:sSubPr>
                          <m:e>
                            <m:r>
                              <w:rPr>
                                <w:rFonts w:ascii="Cambria Math" w:eastAsiaTheme="minorEastAsia" w:hAnsi="Cambria Math"/>
                              </w:rPr>
                              <m:t>η</m:t>
                            </m:r>
                          </m:e>
                          <m:sub>
                            <m:r>
                              <w:rPr>
                                <w:rFonts w:ascii="Cambria Math" w:eastAsiaTheme="minorEastAsia" w:hAnsi="Cambria Math"/>
                              </w:rPr>
                              <m:t>act</m:t>
                            </m:r>
                            <m:r>
                              <w:rPr>
                                <w:rFonts w:ascii="Cambria Math" w:eastAsiaTheme="minorEastAsia" w:hAnsi="Cambria Math"/>
                              </w:rPr>
                              <m:t>,</m:t>
                            </m:r>
                            <m:r>
                              <w:rPr>
                                <w:rFonts w:ascii="Cambria Math" w:eastAsiaTheme="minorEastAsia" w:hAnsi="Cambria Math"/>
                              </w:rPr>
                              <m:t>an</m:t>
                            </m:r>
                          </m:sub>
                        </m:sSub>
                        <m:ctrlPr>
                          <w:rPr>
                            <w:rFonts w:ascii="Cambria Math" w:hAnsi="Cambria Math"/>
                            <w:i/>
                          </w:rPr>
                        </m:ctrlPr>
                      </m:num>
                      <m:den>
                        <m:r>
                          <w:rPr>
                            <w:rFonts w:ascii="Cambria Math" w:eastAsiaTheme="minorEastAsia" w:hAnsi="Cambria Math"/>
                          </w:rPr>
                          <m:t>R</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m:t>
                            </m:r>
                          </m:sub>
                        </m:sSub>
                      </m:den>
                    </m:f>
                    <m:ctrlPr>
                      <w:rPr>
                        <w:rFonts w:ascii="Cambria Math" w:eastAsiaTheme="minorEastAsia" w:hAnsi="Cambria Math"/>
                        <w:i/>
                      </w:rPr>
                    </m:ctrlPr>
                  </m:e>
                </m:d>
              </m:e>
            </m:func>
            <m:r>
              <w:rPr>
                <w:rFonts w:ascii="Cambria Math" w:hAnsi="Cambria Math"/>
              </w:rPr>
              <m:t>-</m:t>
            </m:r>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α</m:t>
                            </m:r>
                          </m:e>
                          <m:sub>
                            <m:r>
                              <w:rPr>
                                <w:rFonts w:ascii="Cambria Math" w:hAnsi="Cambria Math"/>
                              </w:rPr>
                              <m:t>ca</m:t>
                            </m:r>
                          </m:sub>
                          <m:sup>
                            <m:r>
                              <w:rPr>
                                <w:rFonts w:ascii="Cambria Math" w:hAnsi="Cambria Math"/>
                              </w:rPr>
                              <m:t>an</m:t>
                            </m:r>
                          </m:sup>
                        </m:sSubSup>
                        <m:r>
                          <w:rPr>
                            <w:rFonts w:ascii="Cambria Math" w:hAnsi="Cambria Math"/>
                          </w:rPr>
                          <m:t>F</m:t>
                        </m:r>
                        <m:sSub>
                          <m:sSubPr>
                            <m:ctrlPr>
                              <w:rPr>
                                <w:rFonts w:ascii="Cambria Math" w:hAnsi="Cambria Math"/>
                                <w:i/>
                              </w:rPr>
                            </m:ctrlPr>
                          </m:sSubPr>
                          <m:e>
                            <m:r>
                              <w:rPr>
                                <w:rFonts w:ascii="Cambria Math" w:hAnsi="Cambria Math"/>
                              </w:rPr>
                              <m:t>η</m:t>
                            </m:r>
                          </m:e>
                          <m:sub>
                            <m:r>
                              <w:rPr>
                                <w:rFonts w:ascii="Cambria Math" w:hAnsi="Cambria Math"/>
                              </w:rPr>
                              <m:t>act</m:t>
                            </m:r>
                            <m:r>
                              <w:rPr>
                                <w:rFonts w:ascii="Cambria Math" w:hAnsi="Cambria Math"/>
                              </w:rPr>
                              <m:t>,</m:t>
                            </m:r>
                            <m:r>
                              <w:rPr>
                                <w:rFonts w:ascii="Cambria Math" w:hAnsi="Cambria Math"/>
                              </w:rPr>
                              <m:t>an</m:t>
                            </m:r>
                          </m:sub>
                        </m:sSub>
                      </m:num>
                      <m:den>
                        <m:r>
                          <w:rPr>
                            <w:rFonts w:ascii="Cambria Math" w:hAnsi="Cambria Math"/>
                          </w:rPr>
                          <m:t>R</m:t>
                        </m:r>
                        <m:sSub>
                          <m:sSubPr>
                            <m:ctrlPr>
                              <w:rPr>
                                <w:rFonts w:ascii="Cambria Math" w:hAnsi="Cambria Math"/>
                                <w:i/>
                              </w:rPr>
                            </m:ctrlPr>
                          </m:sSubPr>
                          <m:e>
                            <m:r>
                              <w:rPr>
                                <w:rFonts w:ascii="Cambria Math" w:hAnsi="Cambria Math"/>
                              </w:rPr>
                              <m:t>T</m:t>
                            </m:r>
                          </m:e>
                          <m:sub>
                            <m:r>
                              <w:rPr>
                                <w:rFonts w:ascii="Cambria Math" w:hAnsi="Cambria Math"/>
                              </w:rPr>
                              <m:t>PEN</m:t>
                            </m:r>
                          </m:sub>
                        </m:sSub>
                      </m:den>
                    </m:f>
                  </m:e>
                </m:d>
              </m:e>
            </m:func>
          </m:e>
        </m:d>
        <m:r>
          <w:rPr>
            <w:rFonts w:ascii="Cambria Math" w:hAnsi="Cambria Math"/>
          </w:rPr>
          <m:t>*</m:t>
        </m:r>
        <m:r>
          <w:rPr>
            <w:rFonts w:ascii="Cambria Math" w:hAnsi="Cambria Math"/>
          </w:rPr>
          <m:t>A</m:t>
        </m:r>
      </m:oMath>
      <w:r w:rsidR="00A93D24">
        <w:rPr>
          <w:rFonts w:eastAsiaTheme="minorEastAsia"/>
        </w:rPr>
        <w:tab/>
      </w:r>
      <w:r w:rsidR="00A93D24">
        <w:rPr>
          <w:rFonts w:eastAsiaTheme="minorEastAsia"/>
        </w:rPr>
        <w:tab/>
        <w:t>(3.31)</w:t>
      </w:r>
    </w:p>
    <w:p w14:paraId="4675FEB0" w14:textId="77777777" w:rsidR="00A93D24" w:rsidRPr="00B856D3" w:rsidRDefault="00924E48" w:rsidP="00A93D24">
      <w:pPr>
        <w:jc w:val="right"/>
        <w:rPr>
          <w:rFonts w:eastAsiaTheme="minorEastAsia"/>
        </w:rPr>
      </w:pPr>
      <m:oMath>
        <m:sSub>
          <m:sSubPr>
            <m:ctrlPr>
              <w:rPr>
                <w:rFonts w:ascii="Cambria Math" w:hAnsi="Cambria Math"/>
                <w:i/>
              </w:rPr>
            </m:ctrlPr>
          </m:sSubPr>
          <m:e>
            <m:r>
              <w:rPr>
                <w:rFonts w:ascii="Cambria Math" w:hAnsi="Cambria Math"/>
              </w:rPr>
              <m:t>i</m:t>
            </m:r>
          </m:e>
          <m:sub>
            <m:r>
              <w:rPr>
                <w:rFonts w:ascii="Cambria Math" w:hAnsi="Cambria Math"/>
              </w:rPr>
              <m:t>cell</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j</m:t>
                </m:r>
              </m:e>
              <m:sub>
                <m:r>
                  <w:rPr>
                    <w:rFonts w:ascii="Cambria Math" w:hAnsi="Cambria Math"/>
                  </w:rPr>
                  <m:t>0</m:t>
                </m:r>
              </m:sub>
            </m:sSub>
          </m:e>
          <m:sub>
            <m:r>
              <w:rPr>
                <w:rFonts w:ascii="Cambria Math" w:hAnsi="Cambria Math"/>
              </w:rPr>
              <m:t>ca</m:t>
            </m:r>
          </m:sub>
        </m:sSub>
        <m:r>
          <w:rPr>
            <w:rFonts w:ascii="Cambria Math" w:hAnsi="Cambria Math"/>
          </w:rPr>
          <m:t>*</m:t>
        </m:r>
        <m:d>
          <m:dPr>
            <m:ctrlPr>
              <w:rPr>
                <w:rFonts w:ascii="Cambria Math" w:hAnsi="Cambria Math"/>
                <w:i/>
              </w:rPr>
            </m:ctrlPr>
          </m:dPr>
          <m:e>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f>
                      <m:fPr>
                        <m:ctrlPr>
                          <w:rPr>
                            <w:rFonts w:ascii="Cambria Math" w:eastAsiaTheme="minorEastAsia" w:hAnsi="Cambria Math"/>
                            <w:i/>
                          </w:rPr>
                        </m:ctrlPr>
                      </m:fPr>
                      <m:num>
                        <m:sSubSup>
                          <m:sSubSupPr>
                            <m:ctrlPr>
                              <w:rPr>
                                <w:rFonts w:ascii="Cambria Math" w:hAnsi="Cambria Math"/>
                                <w:i/>
                              </w:rPr>
                            </m:ctrlPr>
                          </m:sSubSupPr>
                          <m:e>
                            <m:r>
                              <w:rPr>
                                <w:rFonts w:ascii="Cambria Math" w:hAnsi="Cambria Math"/>
                              </w:rPr>
                              <m:t>α</m:t>
                            </m:r>
                          </m:e>
                          <m:sub>
                            <m:r>
                              <w:rPr>
                                <w:rFonts w:ascii="Cambria Math" w:hAnsi="Cambria Math"/>
                              </w:rPr>
                              <m:t>an</m:t>
                            </m:r>
                          </m:sub>
                          <m:sup>
                            <m:r>
                              <w:rPr>
                                <w:rFonts w:ascii="Cambria Math" w:hAnsi="Cambria Math"/>
                              </w:rPr>
                              <m:t>ca</m:t>
                            </m:r>
                          </m:sup>
                        </m:sSubSup>
                        <m:r>
                          <w:rPr>
                            <w:rFonts w:ascii="Cambria Math" w:eastAsiaTheme="minorEastAsia" w:hAnsi="Cambria Math"/>
                          </w:rPr>
                          <m:t>F</m:t>
                        </m:r>
                        <m:sSub>
                          <m:sSubPr>
                            <m:ctrlPr>
                              <w:rPr>
                                <w:rFonts w:ascii="Cambria Math" w:eastAsiaTheme="minorEastAsia" w:hAnsi="Cambria Math"/>
                                <w:i/>
                              </w:rPr>
                            </m:ctrlPr>
                          </m:sSubPr>
                          <m:e>
                            <m:r>
                              <w:rPr>
                                <w:rFonts w:ascii="Cambria Math" w:eastAsiaTheme="minorEastAsia" w:hAnsi="Cambria Math"/>
                              </w:rPr>
                              <m:t>η</m:t>
                            </m:r>
                          </m:e>
                          <m:sub>
                            <m:r>
                              <w:rPr>
                                <w:rFonts w:ascii="Cambria Math" w:eastAsiaTheme="minorEastAsia" w:hAnsi="Cambria Math"/>
                              </w:rPr>
                              <m:t>act</m:t>
                            </m:r>
                            <m:r>
                              <w:rPr>
                                <w:rFonts w:ascii="Cambria Math" w:eastAsiaTheme="minorEastAsia" w:hAnsi="Cambria Math"/>
                              </w:rPr>
                              <m:t>,</m:t>
                            </m:r>
                            <m:r>
                              <w:rPr>
                                <w:rFonts w:ascii="Cambria Math" w:eastAsiaTheme="minorEastAsia" w:hAnsi="Cambria Math"/>
                              </w:rPr>
                              <m:t>ca</m:t>
                            </m:r>
                          </m:sub>
                        </m:sSub>
                        <m:ctrlPr>
                          <w:rPr>
                            <w:rFonts w:ascii="Cambria Math" w:hAnsi="Cambria Math"/>
                            <w:i/>
                          </w:rPr>
                        </m:ctrlPr>
                      </m:num>
                      <m:den>
                        <m:r>
                          <w:rPr>
                            <w:rFonts w:ascii="Cambria Math" w:eastAsiaTheme="minorEastAsia" w:hAnsi="Cambria Math"/>
                          </w:rPr>
                          <m:t>R</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m:t>
                            </m:r>
                          </m:sub>
                        </m:sSub>
                      </m:den>
                    </m:f>
                    <m:ctrlPr>
                      <w:rPr>
                        <w:rFonts w:ascii="Cambria Math" w:eastAsiaTheme="minorEastAsia" w:hAnsi="Cambria Math"/>
                        <w:i/>
                      </w:rPr>
                    </m:ctrlPr>
                  </m:e>
                </m:d>
              </m:e>
            </m:func>
            <m:r>
              <w:rPr>
                <w:rFonts w:ascii="Cambria Math" w:hAnsi="Cambria Math"/>
              </w:rPr>
              <m:t>-</m:t>
            </m:r>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α</m:t>
                            </m:r>
                          </m:e>
                          <m:sub>
                            <m:r>
                              <w:rPr>
                                <w:rFonts w:ascii="Cambria Math" w:hAnsi="Cambria Math"/>
                              </w:rPr>
                              <m:t>ca</m:t>
                            </m:r>
                          </m:sub>
                          <m:sup>
                            <m:r>
                              <w:rPr>
                                <w:rFonts w:ascii="Cambria Math" w:hAnsi="Cambria Math"/>
                              </w:rPr>
                              <m:t>ca</m:t>
                            </m:r>
                          </m:sup>
                        </m:sSubSup>
                        <m:r>
                          <w:rPr>
                            <w:rFonts w:ascii="Cambria Math" w:hAnsi="Cambria Math"/>
                          </w:rPr>
                          <m:t>F</m:t>
                        </m:r>
                        <m:sSub>
                          <m:sSubPr>
                            <m:ctrlPr>
                              <w:rPr>
                                <w:rFonts w:ascii="Cambria Math" w:hAnsi="Cambria Math"/>
                                <w:i/>
                              </w:rPr>
                            </m:ctrlPr>
                          </m:sSubPr>
                          <m:e>
                            <m:r>
                              <w:rPr>
                                <w:rFonts w:ascii="Cambria Math" w:hAnsi="Cambria Math"/>
                              </w:rPr>
                              <m:t>η</m:t>
                            </m:r>
                          </m:e>
                          <m:sub>
                            <m:r>
                              <w:rPr>
                                <w:rFonts w:ascii="Cambria Math" w:hAnsi="Cambria Math"/>
                              </w:rPr>
                              <m:t>act</m:t>
                            </m:r>
                            <m:r>
                              <w:rPr>
                                <w:rFonts w:ascii="Cambria Math" w:hAnsi="Cambria Math"/>
                              </w:rPr>
                              <m:t>,</m:t>
                            </m:r>
                            <m:r>
                              <w:rPr>
                                <w:rFonts w:ascii="Cambria Math" w:hAnsi="Cambria Math"/>
                              </w:rPr>
                              <m:t>ca</m:t>
                            </m:r>
                          </m:sub>
                        </m:sSub>
                      </m:num>
                      <m:den>
                        <m:r>
                          <w:rPr>
                            <w:rFonts w:ascii="Cambria Math" w:hAnsi="Cambria Math"/>
                          </w:rPr>
                          <m:t>R</m:t>
                        </m:r>
                        <m:sSub>
                          <m:sSubPr>
                            <m:ctrlPr>
                              <w:rPr>
                                <w:rFonts w:ascii="Cambria Math" w:hAnsi="Cambria Math"/>
                                <w:i/>
                              </w:rPr>
                            </m:ctrlPr>
                          </m:sSubPr>
                          <m:e>
                            <m:r>
                              <w:rPr>
                                <w:rFonts w:ascii="Cambria Math" w:hAnsi="Cambria Math"/>
                              </w:rPr>
                              <m:t>T</m:t>
                            </m:r>
                          </m:e>
                          <m:sub>
                            <m:r>
                              <w:rPr>
                                <w:rFonts w:ascii="Cambria Math" w:hAnsi="Cambria Math"/>
                              </w:rPr>
                              <m:t>PEN</m:t>
                            </m:r>
                          </m:sub>
                        </m:sSub>
                      </m:den>
                    </m:f>
                  </m:e>
                </m:d>
              </m:e>
            </m:func>
          </m:e>
        </m:d>
        <m:r>
          <w:rPr>
            <w:rFonts w:ascii="Cambria Math" w:hAnsi="Cambria Math"/>
          </w:rPr>
          <m:t>*</m:t>
        </m:r>
        <m:r>
          <w:rPr>
            <w:rFonts w:ascii="Cambria Math" w:hAnsi="Cambria Math"/>
          </w:rPr>
          <m:t>A</m:t>
        </m:r>
      </m:oMath>
      <w:r w:rsidR="00A93D24">
        <w:rPr>
          <w:rFonts w:eastAsiaTheme="minorEastAsia"/>
        </w:rPr>
        <w:tab/>
      </w:r>
      <w:r w:rsidR="00A93D24">
        <w:rPr>
          <w:rFonts w:eastAsiaTheme="minorEastAsia"/>
        </w:rPr>
        <w:tab/>
        <w:t>(3.32)</w:t>
      </w:r>
    </w:p>
    <w:p w14:paraId="37B8743D" w14:textId="77777777" w:rsidR="00A93D24" w:rsidRDefault="00A93D24" w:rsidP="00A93D24">
      <w:pPr>
        <w:ind w:firstLine="0"/>
        <w:rPr>
          <w:rFonts w:eastAsiaTheme="minorEastAsia"/>
        </w:rPr>
      </w:pPr>
      <w:r>
        <w:rPr>
          <w:rFonts w:eastAsiaTheme="minorEastAsia"/>
        </w:rPr>
        <w:t xml:space="preserve">where  </w:t>
      </w:r>
      <m:oMath>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0</m:t>
                </m:r>
              </m:sub>
            </m:sSub>
          </m:e>
          <m:sub>
            <m:r>
              <w:rPr>
                <w:rFonts w:ascii="Cambria Math" w:eastAsiaTheme="minorEastAsia" w:hAnsi="Cambria Math"/>
              </w:rPr>
              <m:t>an</m:t>
            </m:r>
          </m:sub>
        </m:sSub>
      </m:oMath>
      <w:r>
        <w:rPr>
          <w:rFonts w:eastAsiaTheme="minorEastAsia"/>
        </w:rPr>
        <w:t xml:space="preserve"> and </w:t>
      </w:r>
      <m:oMath>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0</m:t>
                </m:r>
              </m:sub>
            </m:sSub>
          </m:e>
          <m:sub>
            <m:r>
              <w:rPr>
                <w:rFonts w:ascii="Cambria Math" w:eastAsiaTheme="minorEastAsia" w:hAnsi="Cambria Math"/>
              </w:rPr>
              <m:t>ca</m:t>
            </m:r>
          </m:sub>
        </m:sSub>
      </m:oMath>
      <w:r>
        <w:rPr>
          <w:rFonts w:eastAsiaTheme="minorEastAsia"/>
        </w:rPr>
        <w:t xml:space="preserve"> are the exchange current densities for the anode and cathode respectively, </w:t>
      </w:r>
      <m:oMath>
        <m:sSubSup>
          <m:sSubSupPr>
            <m:ctrlPr>
              <w:rPr>
                <w:rFonts w:ascii="Cambria Math" w:eastAsiaTheme="minorEastAsia" w:hAnsi="Cambria Math"/>
                <w:i/>
              </w:rPr>
            </m:ctrlPr>
          </m:sSubSupPr>
          <m:e>
            <m:r>
              <w:rPr>
                <w:rFonts w:ascii="Cambria Math" w:eastAsiaTheme="minorEastAsia" w:hAnsi="Cambria Math"/>
              </w:rPr>
              <m:t>α</m:t>
            </m:r>
          </m:e>
          <m:sub>
            <m:r>
              <w:rPr>
                <w:rFonts w:ascii="Cambria Math" w:eastAsiaTheme="minorEastAsia" w:hAnsi="Cambria Math"/>
              </w:rPr>
              <m:t>an</m:t>
            </m:r>
          </m:sub>
          <m:sup>
            <m:r>
              <w:rPr>
                <w:rFonts w:ascii="Cambria Math" w:eastAsiaTheme="minorEastAsia" w:hAnsi="Cambria Math"/>
              </w:rPr>
              <m:t>an</m:t>
            </m:r>
          </m:sup>
        </m:sSubSup>
      </m:oMath>
      <w:r>
        <w:rPr>
          <w:rFonts w:eastAsiaTheme="minorEastAsia"/>
        </w:rPr>
        <w:t xml:space="preserve"> and </w:t>
      </w:r>
      <m:oMath>
        <m:sSubSup>
          <m:sSubSupPr>
            <m:ctrlPr>
              <w:rPr>
                <w:rFonts w:ascii="Cambria Math" w:eastAsiaTheme="minorEastAsia" w:hAnsi="Cambria Math"/>
                <w:i/>
              </w:rPr>
            </m:ctrlPr>
          </m:sSubSupPr>
          <m:e>
            <m:r>
              <w:rPr>
                <w:rFonts w:ascii="Cambria Math" w:eastAsiaTheme="minorEastAsia" w:hAnsi="Cambria Math"/>
              </w:rPr>
              <m:t>α</m:t>
            </m:r>
          </m:e>
          <m:sub>
            <m:r>
              <w:rPr>
                <w:rFonts w:ascii="Cambria Math" w:eastAsiaTheme="minorEastAsia" w:hAnsi="Cambria Math"/>
              </w:rPr>
              <m:t>ca</m:t>
            </m:r>
          </m:sub>
          <m:sup>
            <m:r>
              <w:rPr>
                <w:rFonts w:ascii="Cambria Math" w:eastAsiaTheme="minorEastAsia" w:hAnsi="Cambria Math"/>
              </w:rPr>
              <m:t>an</m:t>
            </m:r>
          </m:sup>
        </m:sSubSup>
      </m:oMath>
      <w:r>
        <w:rPr>
          <w:rFonts w:eastAsiaTheme="minorEastAsia"/>
        </w:rPr>
        <w:t xml:space="preserve"> are the anodic and cathodic symmetry factors for the anode, </w:t>
      </w:r>
      <m:oMath>
        <m:sSubSup>
          <m:sSubSupPr>
            <m:ctrlPr>
              <w:rPr>
                <w:rFonts w:ascii="Cambria Math" w:hAnsi="Cambria Math"/>
                <w:i/>
              </w:rPr>
            </m:ctrlPr>
          </m:sSubSupPr>
          <m:e>
            <m:r>
              <w:rPr>
                <w:rFonts w:ascii="Cambria Math" w:hAnsi="Cambria Math"/>
              </w:rPr>
              <m:t>α</m:t>
            </m:r>
          </m:e>
          <m:sub>
            <m:r>
              <w:rPr>
                <w:rFonts w:ascii="Cambria Math" w:hAnsi="Cambria Math"/>
              </w:rPr>
              <m:t>an</m:t>
            </m:r>
          </m:sub>
          <m:sup>
            <m:r>
              <w:rPr>
                <w:rFonts w:ascii="Cambria Math" w:hAnsi="Cambria Math"/>
              </w:rPr>
              <m:t>ca</m:t>
            </m:r>
          </m:sup>
        </m:sSubSup>
      </m:oMath>
      <w:r>
        <w:rPr>
          <w:rFonts w:eastAsiaTheme="minorEastAsia"/>
        </w:rPr>
        <w:t xml:space="preserve"> and </w:t>
      </w:r>
      <m:oMath>
        <m:sSubSup>
          <m:sSubSupPr>
            <m:ctrlPr>
              <w:rPr>
                <w:rFonts w:ascii="Cambria Math" w:hAnsi="Cambria Math"/>
                <w:i/>
              </w:rPr>
            </m:ctrlPr>
          </m:sSubSupPr>
          <m:e>
            <m:r>
              <w:rPr>
                <w:rFonts w:ascii="Cambria Math" w:hAnsi="Cambria Math"/>
              </w:rPr>
              <m:t>α</m:t>
            </m:r>
          </m:e>
          <m:sub>
            <m:r>
              <w:rPr>
                <w:rFonts w:ascii="Cambria Math" w:hAnsi="Cambria Math"/>
              </w:rPr>
              <m:t>ca</m:t>
            </m:r>
          </m:sub>
          <m:sup>
            <m:r>
              <w:rPr>
                <w:rFonts w:ascii="Cambria Math" w:hAnsi="Cambria Math"/>
              </w:rPr>
              <m:t>ca</m:t>
            </m:r>
          </m:sup>
        </m:sSubSup>
      </m:oMath>
      <w:r>
        <w:rPr>
          <w:rFonts w:eastAsiaTheme="minorEastAsia"/>
        </w:rPr>
        <w:t xml:space="preserve"> are the anodic and cathodic symmetry factors for the cathode, and </w:t>
      </w:r>
      <m:oMath>
        <m:sSub>
          <m:sSubPr>
            <m:ctrlPr>
              <w:rPr>
                <w:rFonts w:ascii="Cambria Math" w:eastAsiaTheme="minorEastAsia" w:hAnsi="Cambria Math"/>
                <w:i/>
              </w:rPr>
            </m:ctrlPr>
          </m:sSubPr>
          <m:e>
            <m:r>
              <w:rPr>
                <w:rFonts w:ascii="Cambria Math" w:eastAsiaTheme="minorEastAsia" w:hAnsi="Cambria Math"/>
              </w:rPr>
              <m:t>η</m:t>
            </m:r>
          </m:e>
          <m:sub>
            <m:r>
              <w:rPr>
                <w:rFonts w:ascii="Cambria Math" w:eastAsiaTheme="minorEastAsia" w:hAnsi="Cambria Math"/>
              </w:rPr>
              <m:t>act,an</m:t>
            </m:r>
          </m:sub>
        </m:sSub>
        <m:r>
          <w:rPr>
            <w:rFonts w:ascii="Cambria Math" w:eastAsiaTheme="minorEastAsia" w:hAnsi="Cambria Math"/>
          </w:rPr>
          <m:t xml:space="preserve"> </m:t>
        </m:r>
      </m:oMath>
      <w:r>
        <w:rPr>
          <w:rFonts w:eastAsiaTheme="minorEastAsia"/>
        </w:rPr>
        <w:t xml:space="preserve">and </w:t>
      </w:r>
      <m:oMath>
        <m:sSub>
          <m:sSubPr>
            <m:ctrlPr>
              <w:rPr>
                <w:rFonts w:ascii="Cambria Math" w:eastAsiaTheme="minorEastAsia" w:hAnsi="Cambria Math"/>
                <w:i/>
              </w:rPr>
            </m:ctrlPr>
          </m:sSubPr>
          <m:e>
            <m:r>
              <w:rPr>
                <w:rFonts w:ascii="Cambria Math" w:eastAsiaTheme="minorEastAsia" w:hAnsi="Cambria Math"/>
              </w:rPr>
              <m:t>η</m:t>
            </m:r>
          </m:e>
          <m:sub>
            <m:r>
              <w:rPr>
                <w:rFonts w:ascii="Cambria Math" w:eastAsiaTheme="minorEastAsia" w:hAnsi="Cambria Math"/>
              </w:rPr>
              <m:t>act,ca</m:t>
            </m:r>
          </m:sub>
        </m:sSub>
      </m:oMath>
      <w:r>
        <w:rPr>
          <w:rFonts w:eastAsiaTheme="minorEastAsia"/>
        </w:rPr>
        <w:t xml:space="preserve"> are the activation overpotentials for the anode and cathode. </w:t>
      </w:r>
    </w:p>
    <w:p w14:paraId="3A501AE2" w14:textId="4D42ADC4" w:rsidR="00A93D24" w:rsidRDefault="00A93D24" w:rsidP="00A93D24">
      <w:r>
        <w:t xml:space="preserve">Not all of the parameters used by Zhu et al </w:t>
      </w:r>
      <w:r>
        <w:fldChar w:fldCharType="begin"/>
      </w:r>
      <w:r w:rsidR="00CA7A9D">
        <w:instrText xml:space="preserve"> ADDIN ZOTERO_ITEM CSL_CITATION {"citationID":"a1m9e0cg3b2","properties":{"formattedCitation":"[88]","plainCitation":"[88]","noteIndex":0},"citationItems":[{"id":774,"uris":["http://zotero.org/users/12063231/items/RRTFAJZR"],"itemData":{"id":774,"type":"chapter","abstract":"&lt;p&gt;This chapter discusses the theory and performance of electrolysis cells based upon proton-conducting ceramics (protonic ceramic electrolysis cells (PCECs)). To put PCECs in perspective in relation to other ceramic-based electrochemical cells, the discussion initially compares oxygen-ion-conducting membranes as well as fuel-cell performance.&lt;/p&gt;","container-title":"High-Temperature Electrolysis: From fundamentals to applications","language":"en","note":"DOI: 10.1088/978-0-7503-3951-3ch12","publisher":"IOP Publishing","source":"iopscience.iop.org","title":"Thermodynamics, transport, and electrochemistry in protonic ceramic electrolysis cells","URL":"https://iopscience.iop.org/book/edit/978-0-7503-3951-3/chapter/bk978-0-7503-3951-3ch12","author":[{"family":"Zhu","given":"Huayang"},{"family":"Ricote","given":"Sandrine"},{"family":"Kee","given":"Robert J."}],"accessed":{"date-parts":[["2024",2,6]]},"issued":{"date-parts":[["2023",1,1]]}}}],"schema":"https://github.com/citation-style-language/schema/raw/master/csl-citation.json"} </w:instrText>
      </w:r>
      <w:r>
        <w:fldChar w:fldCharType="separate"/>
      </w:r>
      <w:r w:rsidR="00CA7A9D" w:rsidRPr="00CA7A9D">
        <w:rPr>
          <w:rFonts w:ascii="Aptos" w:hAnsi="Aptos"/>
        </w:rPr>
        <w:t>[88]</w:t>
      </w:r>
      <w:r>
        <w:fldChar w:fldCharType="end"/>
      </w:r>
      <w:r>
        <w:t xml:space="preserve"> fit the above model, so the modelling work of Zhang </w:t>
      </w:r>
      <w:r>
        <w:fldChar w:fldCharType="begin"/>
      </w:r>
      <w:r w:rsidR="00CA7A9D">
        <w:instrText xml:space="preserve"> ADDIN ZOTERO_ITEM CSL_CITATION {"citationID":"av9ta5vcnu","properties":{"formattedCitation":"[89]","plainCitation":"[89]","noteIndex":0},"citationItems":[{"id":821,"uris":["http://zotero.org/users/12063231/items/7RHZBYA8"],"itemData":{"id":821,"type":"article-journal","abstract":"In this work, a framework of charge transports in proton-conducting solid oxide fuel cells (H-SOFCs) with considering current leakage is developed by assuming four electrode reactions. Current leakage occurs when electron holes pass through the electrolyte and combine with electrons at the anode side. An analytical solution of leakage currents is proposed depending on the Nernst-Planck equation. On the basis of the analysis expression, a mathematical model of H-SOFCs is proposed, which can provide the information about current-voltage characteristics, leakage current density, Faraday and energy efficiencies. Furthermore, H-SOFCs with the BaZr0.8Y0.2O3 electrolyte are fabricated and tested, and the proposed model well reproduces the experimental data. The simulation results indicate that current leakage primarily affects the H-SOFC performance when the output voltage is close to the OCV. Both Faraday efficiencies and energy efficiencies decrease with increasing operating temperatures due to the existence of current leakage.","container-title":"Journal of Power Sources","DOI":"10.1016/j.jpowsour.2018.08.038","ISSN":"0378-7753","journalAbbreviation":"Journal of Power Sources","page":"333-340","source":"ScienceDirect","title":"Mathematical modeling of a proton-conducting solid oxide fuel cell with current leakage","volume":"400","author":[{"family":"Zhang","given":"Ji-Hao"},{"family":"Lei","given":"Li-Bin"},{"family":"Liu","given":"Di"},{"family":"Zhao","given":"Fu-Yun"},{"family":"Ni","given":"Meng"},{"family":"Chen","given":"Fanglin"}],"issued":{"date-parts":[["2018",10,1]]}}}],"schema":"https://github.com/citation-style-language/schema/raw/master/csl-citation.json"} </w:instrText>
      </w:r>
      <w:r>
        <w:fldChar w:fldCharType="separate"/>
      </w:r>
      <w:r w:rsidR="00CA7A9D" w:rsidRPr="00CA7A9D">
        <w:rPr>
          <w:rFonts w:ascii="Aptos" w:hAnsi="Aptos"/>
        </w:rPr>
        <w:t>[89]</w:t>
      </w:r>
      <w:r>
        <w:fldChar w:fldCharType="end"/>
      </w:r>
      <w:r>
        <w:t xml:space="preserve">, whose parameters </w:t>
      </w:r>
      <w:r w:rsidR="0020124E">
        <w:t>are</w:t>
      </w:r>
      <w:r>
        <w:t xml:space="preserve"> confirmed by Sahli </w:t>
      </w:r>
      <w:r>
        <w:fldChar w:fldCharType="begin"/>
      </w:r>
      <w:r w:rsidR="00CA7A9D">
        <w:instrText xml:space="preserve"> ADDIN ZOTERO_ITEM CSL_CITATION {"citationID":"aaaoi4eo1q","properties":{"formattedCitation":"[90]","plainCitation":"[90]","noteIndex":0},"citationItems":[{"id":795,"uris":["http://zotero.org/users/12063231/items/BG39VTDM"],"itemData":{"id":795,"type":"article-journal","abstract":"The principal objective of the present work is to realize thermodynamic modeling and analysis of the Proton Ceramic Fuel Cell (PCFC); particular attention is given to evaluate and optimize the power density generated by PCFCs according to the electrolyte, anode, and cathode thicknesses, water content in the oxidant and fuel, operating temperature, current density, and voltage. To implement the thermodynamic model, the PCFC voltage is represented by the difference between the Nernst potential and the total voltage loss generated in the electrolyte and electrodes (ohmic, activation, and concentration overpotentials) during PCFC operation. A FORTRAN program is developed to study the impact of these parameters on PCFC power density. After comparing the obtained results in this investigation to those of literature that are measured experimentally, they are presented a good concordance with root mean square error (RMSE) and mean bias error of 0.0572 and 0.0058, respectively. The conducted optimization, in this work, is realized based on the graphical method. The most important conclusions are summed in two points, PCFC power density is proportional to the operating temperature, and it is inversely proportional to the electrolyte and electrodes thicknesses and fuel and air humidification.","container-title":"Arabian Journal for Science and Engineering","DOI":"10.1007/s13369-021-06262-7","ISSN":"2191-4281","issue":"5","journalAbbreviation":"Arab J Sci Eng","language":"en","page":"6355-6363","source":"Springer Link","title":"Thermodynamic Modeling and Analysis of Proton Ceramic Fuel Cells: Power Optimization","title-short":"Thermodynamic Modeling and Analysis of Proton Ceramic Fuel Cells","volume":"47","author":[{"family":"Sahli","given":"Youcef"}],"issued":{"date-parts":[["2022",5,1]]}}}],"schema":"https://github.com/citation-style-language/schema/raw/master/csl-citation.json"} </w:instrText>
      </w:r>
      <w:r>
        <w:fldChar w:fldCharType="separate"/>
      </w:r>
      <w:r w:rsidR="00CA7A9D" w:rsidRPr="00CA7A9D">
        <w:rPr>
          <w:rFonts w:ascii="Aptos" w:hAnsi="Aptos"/>
        </w:rPr>
        <w:t>[90]</w:t>
      </w:r>
      <w:r>
        <w:fldChar w:fldCharType="end"/>
      </w:r>
      <w:r>
        <w:t xml:space="preserve">, </w:t>
      </w:r>
      <w:r w:rsidR="00EB6FFF">
        <w:t>is</w:t>
      </w:r>
      <w:r>
        <w:t xml:space="preserve"> also used in determining appropriate constants for the activation overpotential calculation. Zhang estimated the relationship between temperature and the exchange current density to take a standard Arrhenius form similar to the rate constants discussed in section 3.2.3 </w:t>
      </w:r>
      <w:r>
        <w:fldChar w:fldCharType="begin"/>
      </w:r>
      <w:r w:rsidR="00CA7A9D">
        <w:instrText xml:space="preserve"> ADDIN ZOTERO_ITEM CSL_CITATION {"citationID":"amgome4i1d","properties":{"formattedCitation":"[89]","plainCitation":"[89]","noteIndex":0},"citationItems":[{"id":821,"uris":["http://zotero.org/users/12063231/items/7RHZBYA8"],"itemData":{"id":821,"type":"article-journal","abstract":"In this work, a framework of charge transports in proton-conducting solid oxide fuel cells (H-SOFCs) with considering current leakage is developed by assuming four electrode reactions. Current leakage occurs when electron holes pass through the electrolyte and combine with electrons at the anode side. An analytical solution of leakage currents is proposed depending on the Nernst-Planck equation. On the basis of the analysis expression, a mathematical model of H-SOFCs is proposed, which can provide the information about current-voltage characteristics, leakage current density, Faraday and energy efficiencies. Furthermore, H-SOFCs with the BaZr0.8Y0.2O3 electrolyte are fabricated and tested, and the proposed model well reproduces the experimental data. The simulation results indicate that current leakage primarily affects the H-SOFC performance when the output voltage is close to the OCV. Both Faraday efficiencies and energy efficiencies decrease with increasing operating temperatures due to the existence of current leakage.","container-title":"Journal of Power Sources","DOI":"10.1016/j.jpowsour.2018.08.038","ISSN":"0378-7753","journalAbbreviation":"Journal of Power Sources","page":"333-340","source":"ScienceDirect","title":"Mathematical modeling of a proton-conducting solid oxide fuel cell with current leakage","volume":"400","author":[{"family":"Zhang","given":"Ji-Hao"},{"family":"Lei","given":"Li-Bin"},{"family":"Liu","given":"Di"},{"family":"Zhao","given":"Fu-Yun"},{"family":"Ni","given":"Meng"},{"family":"Chen","given":"Fanglin"}],"issued":{"date-parts":[["2018",10,1]]}}}],"schema":"https://github.com/citation-style-language/schema/raw/master/csl-citation.json"} </w:instrText>
      </w:r>
      <w:r>
        <w:fldChar w:fldCharType="separate"/>
      </w:r>
      <w:r w:rsidR="00CA7A9D" w:rsidRPr="00CA7A9D">
        <w:rPr>
          <w:rFonts w:ascii="Aptos" w:hAnsi="Aptos"/>
        </w:rPr>
        <w:t>[89]</w:t>
      </w:r>
      <w:r>
        <w:fldChar w:fldCharType="end"/>
      </w:r>
      <w:r>
        <w:t>:</w:t>
      </w:r>
    </w:p>
    <w:p w14:paraId="2E2417F6" w14:textId="77777777" w:rsidR="00A93D24" w:rsidRPr="00A42382" w:rsidRDefault="00924E48" w:rsidP="00A93D24">
      <w:pPr>
        <w:jc w:val="right"/>
        <w:rPr>
          <w:rFonts w:eastAsiaTheme="minorEastAsia"/>
        </w:rPr>
      </w:pPr>
      <m:oMath>
        <m:sSub>
          <m:sSubPr>
            <m:ctrlPr>
              <w:rPr>
                <w:rFonts w:ascii="Cambria Math" w:hAnsi="Cambria Math"/>
                <w:i/>
              </w:rPr>
            </m:ctrlPr>
          </m:sSubPr>
          <m:e>
            <m:r>
              <w:rPr>
                <w:rFonts w:ascii="Cambria Math" w:hAnsi="Cambria Math"/>
              </w:rPr>
              <m:t>j</m:t>
            </m:r>
          </m:e>
          <m:sub>
            <m:r>
              <w:rPr>
                <w:rFonts w:ascii="Cambria Math" w:hAnsi="Cambria Math"/>
              </w:rPr>
              <m:t>0</m:t>
            </m:r>
          </m:sub>
        </m:sSub>
        <m:r>
          <w:rPr>
            <w:rFonts w:ascii="Cambria Math" w:hAnsi="Cambria Math"/>
          </w:rPr>
          <m:t>=</m:t>
        </m:r>
        <m:sSubSup>
          <m:sSubSupPr>
            <m:ctrlPr>
              <w:rPr>
                <w:rFonts w:ascii="Cambria Math" w:hAnsi="Cambria Math"/>
                <w:i/>
              </w:rPr>
            </m:ctrlPr>
          </m:sSubSupPr>
          <m:e>
            <m:r>
              <w:rPr>
                <w:rFonts w:ascii="Cambria Math" w:hAnsi="Cambria Math"/>
              </w:rPr>
              <m:t>j</m:t>
            </m:r>
          </m:e>
          <m:sub>
            <m:r>
              <w:rPr>
                <w:rFonts w:ascii="Cambria Math" w:hAnsi="Cambria Math"/>
              </w:rPr>
              <m:t>0</m:t>
            </m:r>
          </m:sub>
          <m:sup>
            <m:r>
              <w:rPr>
                <w:rFonts w:ascii="Cambria Math" w:hAnsi="Cambria Math"/>
              </w:rPr>
              <m:t>*</m:t>
            </m:r>
          </m:sup>
        </m:sSubSup>
        <m:r>
          <w:rPr>
            <w:rFonts w:ascii="Cambria Math" w:hAnsi="Cambria Math"/>
          </w:rPr>
          <m:t>*</m:t>
        </m:r>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an</m:t>
                        </m:r>
                        <m:r>
                          <w:rPr>
                            <w:rFonts w:ascii="Cambria Math" w:hAnsi="Cambria Math"/>
                          </w:rPr>
                          <m:t>/</m:t>
                        </m:r>
                        <m:r>
                          <w:rPr>
                            <w:rFonts w:ascii="Cambria Math" w:hAnsi="Cambria Math"/>
                          </w:rPr>
                          <m:t>ca</m:t>
                        </m:r>
                      </m:sub>
                    </m:sSub>
                  </m:num>
                  <m:den>
                    <m:r>
                      <w:rPr>
                        <w:rFonts w:ascii="Cambria Math" w:hAnsi="Cambria Math"/>
                      </w:rPr>
                      <m:t>R</m:t>
                    </m:r>
                    <m:sSub>
                      <m:sSubPr>
                        <m:ctrlPr>
                          <w:rPr>
                            <w:rFonts w:ascii="Cambria Math" w:hAnsi="Cambria Math"/>
                            <w:i/>
                          </w:rPr>
                        </m:ctrlPr>
                      </m:sSubPr>
                      <m:e>
                        <m:r>
                          <w:rPr>
                            <w:rFonts w:ascii="Cambria Math" w:hAnsi="Cambria Math"/>
                          </w:rPr>
                          <m:t>T</m:t>
                        </m:r>
                      </m:e>
                      <m:sub>
                        <m:r>
                          <w:rPr>
                            <w:rFonts w:ascii="Cambria Math" w:hAnsi="Cambria Math"/>
                          </w:rPr>
                          <m:t>PEN</m:t>
                        </m:r>
                      </m:sub>
                    </m:sSub>
                  </m:den>
                </m:f>
              </m:e>
            </m:d>
          </m:e>
        </m:func>
      </m:oMath>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t>(3.33)</w:t>
      </w:r>
    </w:p>
    <w:p w14:paraId="39B7F343" w14:textId="77777777" w:rsidR="00A93D24" w:rsidRDefault="00A93D24" w:rsidP="00A93D24">
      <w:pPr>
        <w:ind w:firstLine="0"/>
      </w:pPr>
      <w:r>
        <w:rPr>
          <w:rFonts w:eastAsiaTheme="minorEastAsia"/>
        </w:rPr>
        <w:t xml:space="preserve">where </w:t>
      </w:r>
      <m:oMath>
        <m:sSubSup>
          <m:sSubSupPr>
            <m:ctrlPr>
              <w:rPr>
                <w:rFonts w:ascii="Cambria Math" w:eastAsiaTheme="minorEastAsia" w:hAnsi="Cambria Math"/>
                <w:i/>
              </w:rPr>
            </m:ctrlPr>
          </m:sSubSupPr>
          <m:e>
            <m:r>
              <w:rPr>
                <w:rFonts w:ascii="Cambria Math" w:eastAsiaTheme="minorEastAsia" w:hAnsi="Cambria Math"/>
              </w:rPr>
              <m:t>j</m:t>
            </m:r>
          </m:e>
          <m:sub>
            <m:r>
              <w:rPr>
                <w:rFonts w:ascii="Cambria Math" w:eastAsiaTheme="minorEastAsia" w:hAnsi="Cambria Math"/>
              </w:rPr>
              <m:t>0</m:t>
            </m:r>
          </m:sub>
          <m:sup>
            <m:r>
              <w:rPr>
                <w:rFonts w:ascii="Cambria Math" w:eastAsiaTheme="minorEastAsia" w:hAnsi="Cambria Math"/>
              </w:rPr>
              <m:t>*</m:t>
            </m:r>
          </m:sup>
        </m:sSubSup>
      </m:oMath>
      <w:r>
        <w:rPr>
          <w:rFonts w:eastAsiaTheme="minorEastAsia"/>
        </w:rPr>
        <w:t xml:space="preserve"> represents a pre-exponential factor, and </w:t>
      </w:r>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an/ca</m:t>
            </m:r>
          </m:sub>
        </m:sSub>
      </m:oMath>
      <w:r>
        <w:rPr>
          <w:rFonts w:eastAsiaTheme="minorEastAsia"/>
        </w:rPr>
        <w:t xml:space="preserve"> is the activation energy for the cathodic or anodic electrochemical reaction.</w:t>
      </w:r>
    </w:p>
    <w:p w14:paraId="60FC2256" w14:textId="0ED09D2E" w:rsidR="00A93D24" w:rsidRDefault="00A93D24" w:rsidP="00A93D24">
      <w:r>
        <w:t xml:space="preserve">The final constants and the references from which they </w:t>
      </w:r>
      <w:r w:rsidR="0020124E">
        <w:t>are</w:t>
      </w:r>
      <w:r>
        <w:t xml:space="preserve"> taken are shown in </w:t>
      </w:r>
      <w:r>
        <w:fldChar w:fldCharType="begin"/>
      </w:r>
      <w:r>
        <w:instrText xml:space="preserve"> REF _Ref162614780 \h </w:instrText>
      </w:r>
      <w:r>
        <w:fldChar w:fldCharType="separate"/>
      </w:r>
      <w:r>
        <w:t xml:space="preserve">Table </w:t>
      </w:r>
      <w:r>
        <w:rPr>
          <w:noProof/>
        </w:rPr>
        <w:t>2</w:t>
      </w:r>
      <w:r>
        <w:fldChar w:fldCharType="end"/>
      </w:r>
      <w:r>
        <w:t xml:space="preserve"> below:</w:t>
      </w:r>
    </w:p>
    <w:p w14:paraId="43BE24A5" w14:textId="78766EB2" w:rsidR="00A93D24" w:rsidRDefault="00A93D24" w:rsidP="00A93D24">
      <w:pPr>
        <w:pStyle w:val="Caption"/>
        <w:keepNext/>
      </w:pPr>
      <w:bookmarkStart w:id="76" w:name="_Ref162614780"/>
      <w:bookmarkStart w:id="77" w:name="_Ref162614768"/>
      <w:bookmarkStart w:id="78" w:name="_Toc165641116"/>
      <w:r>
        <w:t xml:space="preserve">Table </w:t>
      </w:r>
      <w:r w:rsidR="004243AD">
        <w:t>3.</w:t>
      </w:r>
      <w:r>
        <w:fldChar w:fldCharType="begin"/>
      </w:r>
      <w:r>
        <w:instrText xml:space="preserve"> SEQ Table \* ARABIC </w:instrText>
      </w:r>
      <w:r>
        <w:fldChar w:fldCharType="separate"/>
      </w:r>
      <w:r>
        <w:rPr>
          <w:noProof/>
        </w:rPr>
        <w:t>2</w:t>
      </w:r>
      <w:r>
        <w:fldChar w:fldCharType="end"/>
      </w:r>
      <w:bookmarkEnd w:id="76"/>
      <w:r>
        <w:t>: Constants used for the calculation of the activation overpotential</w:t>
      </w:r>
      <w:bookmarkEnd w:id="77"/>
      <w:bookmarkEnd w:id="78"/>
    </w:p>
    <w:tbl>
      <w:tblPr>
        <w:tblStyle w:val="TableGrid"/>
        <w:tblW w:w="0" w:type="auto"/>
        <w:jc w:val="center"/>
        <w:tblLook w:val="04A0" w:firstRow="1" w:lastRow="0" w:firstColumn="1" w:lastColumn="0" w:noHBand="0" w:noVBand="1"/>
      </w:tblPr>
      <w:tblGrid>
        <w:gridCol w:w="1165"/>
        <w:gridCol w:w="1440"/>
        <w:gridCol w:w="3420"/>
        <w:gridCol w:w="1350"/>
      </w:tblGrid>
      <w:tr w:rsidR="00A93D24" w14:paraId="3F6DC12B" w14:textId="77777777" w:rsidTr="002E7584">
        <w:trPr>
          <w:jc w:val="center"/>
        </w:trPr>
        <w:tc>
          <w:tcPr>
            <w:tcW w:w="1165" w:type="dxa"/>
            <w:vAlign w:val="center"/>
          </w:tcPr>
          <w:p w14:paraId="70909AE4" w14:textId="77777777" w:rsidR="00A93D24" w:rsidRDefault="00A93D24" w:rsidP="002E7584">
            <w:pPr>
              <w:spacing w:line="276" w:lineRule="auto"/>
              <w:ind w:firstLine="0"/>
              <w:jc w:val="center"/>
            </w:pPr>
            <w:r>
              <w:t>Term</w:t>
            </w:r>
          </w:p>
        </w:tc>
        <w:tc>
          <w:tcPr>
            <w:tcW w:w="1440" w:type="dxa"/>
            <w:vAlign w:val="center"/>
          </w:tcPr>
          <w:p w14:paraId="76930B92" w14:textId="77777777" w:rsidR="00A93D24" w:rsidRDefault="00A93D24" w:rsidP="002E7584">
            <w:pPr>
              <w:spacing w:line="276" w:lineRule="auto"/>
              <w:ind w:firstLine="0"/>
              <w:jc w:val="center"/>
            </w:pPr>
            <w:r>
              <w:t>Units</w:t>
            </w:r>
          </w:p>
        </w:tc>
        <w:tc>
          <w:tcPr>
            <w:tcW w:w="3420" w:type="dxa"/>
            <w:vAlign w:val="center"/>
          </w:tcPr>
          <w:p w14:paraId="022FCBDD" w14:textId="77777777" w:rsidR="00A93D24" w:rsidRDefault="00A93D24" w:rsidP="002E7584">
            <w:pPr>
              <w:spacing w:line="276" w:lineRule="auto"/>
              <w:ind w:firstLine="0"/>
              <w:jc w:val="center"/>
            </w:pPr>
            <w:r>
              <w:t>Value</w:t>
            </w:r>
          </w:p>
        </w:tc>
        <w:tc>
          <w:tcPr>
            <w:tcW w:w="1350" w:type="dxa"/>
            <w:vAlign w:val="center"/>
          </w:tcPr>
          <w:p w14:paraId="7EAC9F71" w14:textId="77777777" w:rsidR="00A93D24" w:rsidRDefault="00A93D24" w:rsidP="002E7584">
            <w:pPr>
              <w:spacing w:line="276" w:lineRule="auto"/>
              <w:ind w:firstLine="0"/>
              <w:jc w:val="center"/>
            </w:pPr>
            <w:r>
              <w:t>Reference</w:t>
            </w:r>
          </w:p>
        </w:tc>
      </w:tr>
      <w:tr w:rsidR="00A93D24" w14:paraId="0F00D75E" w14:textId="77777777" w:rsidTr="002E7584">
        <w:trPr>
          <w:jc w:val="center"/>
        </w:trPr>
        <w:tc>
          <w:tcPr>
            <w:tcW w:w="1165" w:type="dxa"/>
            <w:vAlign w:val="center"/>
          </w:tcPr>
          <w:p w14:paraId="709856A0" w14:textId="77777777" w:rsidR="00A93D24" w:rsidRDefault="00924E48" w:rsidP="002E7584">
            <w:pPr>
              <w:spacing w:line="276" w:lineRule="auto"/>
              <w:ind w:firstLine="0"/>
              <w:jc w:val="center"/>
            </w:pPr>
            <m:oMathPara>
              <m:oMath>
                <m:sSub>
                  <m:sSubPr>
                    <m:ctrlPr>
                      <w:rPr>
                        <w:rFonts w:ascii="Cambria Math" w:hAnsi="Cambria Math"/>
                        <w:i/>
                      </w:rPr>
                    </m:ctrlPr>
                  </m:sSubPr>
                  <m:e>
                    <m:sSub>
                      <m:sSubPr>
                        <m:ctrlPr>
                          <w:rPr>
                            <w:rFonts w:ascii="Cambria Math" w:hAnsi="Cambria Math"/>
                            <w:i/>
                          </w:rPr>
                        </m:ctrlPr>
                      </m:sSubPr>
                      <m:e>
                        <m:r>
                          <w:rPr>
                            <w:rFonts w:ascii="Cambria Math" w:hAnsi="Cambria Math"/>
                          </w:rPr>
                          <m:t>j</m:t>
                        </m:r>
                      </m:e>
                      <m:sub>
                        <m:r>
                          <w:rPr>
                            <w:rFonts w:ascii="Cambria Math" w:hAnsi="Cambria Math"/>
                          </w:rPr>
                          <m:t>0</m:t>
                        </m:r>
                      </m:sub>
                    </m:sSub>
                  </m:e>
                  <m:sub>
                    <m:r>
                      <w:rPr>
                        <w:rFonts w:ascii="Cambria Math" w:hAnsi="Cambria Math"/>
                      </w:rPr>
                      <m:t>an</m:t>
                    </m:r>
                  </m:sub>
                </m:sSub>
              </m:oMath>
            </m:oMathPara>
          </w:p>
        </w:tc>
        <w:tc>
          <w:tcPr>
            <w:tcW w:w="1440" w:type="dxa"/>
            <w:vAlign w:val="center"/>
          </w:tcPr>
          <w:p w14:paraId="1F402752" w14:textId="77777777" w:rsidR="00A93D24" w:rsidRDefault="00924E48" w:rsidP="002E7584">
            <w:pPr>
              <w:spacing w:line="276" w:lineRule="auto"/>
              <w:ind w:firstLine="0"/>
              <w:jc w:val="center"/>
            </w:pPr>
            <m:oMathPara>
              <m:oMath>
                <m:f>
                  <m:fPr>
                    <m:ctrlPr>
                      <w:rPr>
                        <w:rFonts w:ascii="Cambria Math" w:hAnsi="Cambria Math"/>
                        <w:i/>
                      </w:rPr>
                    </m:ctrlPr>
                  </m:fPr>
                  <m:num>
                    <m:r>
                      <w:rPr>
                        <w:rFonts w:ascii="Cambria Math" w:hAnsi="Cambria Math"/>
                      </w:rPr>
                      <m:t>A</m:t>
                    </m:r>
                  </m:num>
                  <m:den>
                    <m:sSup>
                      <m:sSupPr>
                        <m:ctrlPr>
                          <w:rPr>
                            <w:rFonts w:ascii="Cambria Math" w:hAnsi="Cambria Math"/>
                            <w:i/>
                          </w:rPr>
                        </m:ctrlPr>
                      </m:sSupPr>
                      <m:e>
                        <m:r>
                          <w:rPr>
                            <w:rFonts w:ascii="Cambria Math" w:hAnsi="Cambria Math"/>
                          </w:rPr>
                          <m:t>m</m:t>
                        </m:r>
                      </m:e>
                      <m:sup>
                        <m:r>
                          <w:rPr>
                            <w:rFonts w:ascii="Cambria Math" w:hAnsi="Cambria Math"/>
                          </w:rPr>
                          <m:t>2</m:t>
                        </m:r>
                      </m:sup>
                    </m:sSup>
                  </m:den>
                </m:f>
              </m:oMath>
            </m:oMathPara>
          </w:p>
        </w:tc>
        <w:tc>
          <w:tcPr>
            <w:tcW w:w="3420" w:type="dxa"/>
            <w:vAlign w:val="center"/>
          </w:tcPr>
          <w:p w14:paraId="7B313D8B" w14:textId="77777777" w:rsidR="00A93D24" w:rsidRDefault="00A93D24" w:rsidP="002E7584">
            <w:pPr>
              <w:spacing w:line="276" w:lineRule="auto"/>
              <w:ind w:firstLine="0"/>
              <w:jc w:val="center"/>
            </w:pPr>
            <m:oMathPara>
              <m:oMath>
                <m:r>
                  <w:rPr>
                    <w:rFonts w:ascii="Cambria Math" w:hAnsi="Cambria Math"/>
                  </w:rPr>
                  <m:t>9.577*</m:t>
                </m:r>
                <m:sSup>
                  <m:sSupPr>
                    <m:ctrlPr>
                      <w:rPr>
                        <w:rFonts w:ascii="Cambria Math" w:hAnsi="Cambria Math"/>
                        <w:i/>
                      </w:rPr>
                    </m:ctrlPr>
                  </m:sSupPr>
                  <m:e>
                    <m:r>
                      <w:rPr>
                        <w:rFonts w:ascii="Cambria Math" w:hAnsi="Cambria Math"/>
                      </w:rPr>
                      <m:t>10</m:t>
                    </m:r>
                  </m:e>
                  <m:sup>
                    <m:r>
                      <w:rPr>
                        <w:rFonts w:ascii="Cambria Math" w:hAnsi="Cambria Math"/>
                      </w:rPr>
                      <m:t>8</m:t>
                    </m:r>
                  </m:sup>
                </m:sSup>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an</m:t>
                                </m:r>
                              </m:sub>
                            </m:sSub>
                          </m:num>
                          <m:den>
                            <m:r>
                              <w:rPr>
                                <w:rFonts w:ascii="Cambria Math" w:hAnsi="Cambria Math"/>
                              </w:rPr>
                              <m:t>R</m:t>
                            </m:r>
                            <m:sSub>
                              <m:sSubPr>
                                <m:ctrlPr>
                                  <w:rPr>
                                    <w:rFonts w:ascii="Cambria Math" w:hAnsi="Cambria Math"/>
                                    <w:i/>
                                  </w:rPr>
                                </m:ctrlPr>
                              </m:sSubPr>
                              <m:e>
                                <m:r>
                                  <w:rPr>
                                    <w:rFonts w:ascii="Cambria Math" w:hAnsi="Cambria Math"/>
                                  </w:rPr>
                                  <m:t>T</m:t>
                                </m:r>
                              </m:e>
                              <m:sub>
                                <m:r>
                                  <w:rPr>
                                    <w:rFonts w:ascii="Cambria Math" w:hAnsi="Cambria Math"/>
                                  </w:rPr>
                                  <m:t>PEN</m:t>
                                </m:r>
                              </m:sub>
                            </m:sSub>
                          </m:den>
                        </m:f>
                      </m:e>
                    </m:d>
                  </m:e>
                </m:func>
              </m:oMath>
            </m:oMathPara>
          </w:p>
        </w:tc>
        <w:tc>
          <w:tcPr>
            <w:tcW w:w="1350" w:type="dxa"/>
            <w:vAlign w:val="center"/>
          </w:tcPr>
          <w:p w14:paraId="2B12E5A6" w14:textId="6E1EE3F2" w:rsidR="00A93D24" w:rsidRDefault="00A93D24" w:rsidP="002E7584">
            <w:pPr>
              <w:spacing w:line="276" w:lineRule="auto"/>
              <w:ind w:firstLine="0"/>
              <w:jc w:val="center"/>
            </w:pPr>
            <w:r>
              <w:fldChar w:fldCharType="begin"/>
            </w:r>
            <w:r w:rsidR="00CA7A9D">
              <w:instrText xml:space="preserve"> ADDIN ZOTERO_ITEM CSL_CITATION {"citationID":"a2a8c0cckuk","properties":{"formattedCitation":"[89], [90]","plainCitation":"[89], [90]","noteIndex":0},"citationItems":[{"id":821,"uris":["http://zotero.org/users/12063231/items/7RHZBYA8"],"itemData":{"id":821,"type":"article-journal","abstract":"In this work, a framework of charge transports in proton-conducting solid oxide fuel cells (H-SOFCs) with considering current leakage is developed by assuming four electrode reactions. Current leakage occurs when electron holes pass through the electrolyte and combine with electrons at the anode side. An analytical solution of leakage currents is proposed depending on the Nernst-Planck equation. On the basis of the analysis expression, a mathematical model of H-SOFCs is proposed, which can provide the information about current-voltage characteristics, leakage current density, Faraday and energy efficiencies. Furthermore, H-SOFCs with the BaZr0.8Y0.2O3 electrolyte are fabricated and tested, and the proposed model well reproduces the experimental data. The simulation results indicate that current leakage primarily affects the H-SOFC performance when the output voltage is close to the OCV. Both Faraday efficiencies and energy efficiencies decrease with increasing operating temperatures due to the existence of current leakage.","container-title":"Journal of Power Sources","DOI":"10.1016/j.jpowsour.2018.08.038","ISSN":"0378-7753","journalAbbreviation":"Journal of Power Sources","page":"333-340","source":"ScienceDirect","title":"Mathematical modeling of a proton-conducting solid oxide fuel cell with current leakage","volume":"400","author":[{"family":"Zhang","given":"Ji-Hao"},{"family":"Lei","given":"Li-Bin"},{"family":"Liu","given":"Di"},{"family":"Zhao","given":"Fu-Yun"},{"family":"Ni","given":"Meng"},{"family":"Chen","given":"Fanglin"}],"issued":{"date-parts":[["2018",10,1]]}}},{"id":795,"uris":["http://zotero.org/users/12063231/items/BG39VTDM"],"itemData":{"id":795,"type":"article-journal","abstract":"The principal objective of the present work is to realize thermodynamic modeling and analysis of the Proton Ceramic Fuel Cell (PCFC); particular attention is given to evaluate and optimize the power density generated by PCFCs according to the electrolyte, anode, and cathode thicknesses, water content in the oxidant and fuel, operating temperature, current density, and voltage. To implement the thermodynamic model, the PCFC voltage is represented by the difference between the Nernst potential and the total voltage loss generated in the electrolyte and electrodes (ohmic, activation, and concentration overpotentials) during PCFC operation. A FORTRAN program is developed to study the impact of these parameters on PCFC power density. After comparing the obtained results in this investigation to those of literature that are measured experimentally, they are presented a good concordance with root mean square error (RMSE) and mean bias error of 0.0572 and 0.0058, respectively. The conducted optimization, in this work, is realized based on the graphical method. The most important conclusions are summed in two points, PCFC power density is proportional to the operating temperature, and it is inversely proportional to the electrolyte and electrodes thicknesses and fuel and air humidification.","container-title":"Arabian Journal for Science and Engineering","DOI":"10.1007/s13369-021-06262-7","ISSN":"2191-4281","issue":"5","journalAbbreviation":"Arab J Sci Eng","language":"en","page":"6355-6363","source":"Springer Link","title":"Thermodynamic Modeling and Analysis of Proton Ceramic Fuel Cells: Power Optimization","title-short":"Thermodynamic Modeling and Analysis of Proton Ceramic Fuel Cells","volume":"47","author":[{"family":"Sahli","given":"Youcef"}],"issued":{"date-parts":[["2022",5,1]]}}}],"schema":"https://github.com/citation-style-language/schema/raw/master/csl-citation.json"} </w:instrText>
            </w:r>
            <w:r>
              <w:fldChar w:fldCharType="separate"/>
            </w:r>
            <w:r w:rsidR="00CA7A9D" w:rsidRPr="00CA7A9D">
              <w:rPr>
                <w:rFonts w:ascii="Aptos" w:hAnsi="Aptos"/>
              </w:rPr>
              <w:t>[89], [90]</w:t>
            </w:r>
            <w:r>
              <w:fldChar w:fldCharType="end"/>
            </w:r>
          </w:p>
        </w:tc>
      </w:tr>
      <w:tr w:rsidR="00A93D24" w14:paraId="7C95D308" w14:textId="77777777" w:rsidTr="002E7584">
        <w:trPr>
          <w:jc w:val="center"/>
        </w:trPr>
        <w:tc>
          <w:tcPr>
            <w:tcW w:w="1165" w:type="dxa"/>
            <w:vAlign w:val="center"/>
          </w:tcPr>
          <w:p w14:paraId="2E52DE42" w14:textId="77777777" w:rsidR="00A93D24" w:rsidRDefault="00924E48" w:rsidP="002E7584">
            <w:pPr>
              <w:spacing w:line="276" w:lineRule="auto"/>
              <w:ind w:firstLine="0"/>
              <w:jc w:val="center"/>
            </w:pPr>
            <m:oMathPara>
              <m:oMath>
                <m:sSub>
                  <m:sSubPr>
                    <m:ctrlPr>
                      <w:rPr>
                        <w:rFonts w:ascii="Cambria Math" w:hAnsi="Cambria Math"/>
                        <w:i/>
                      </w:rPr>
                    </m:ctrlPr>
                  </m:sSubPr>
                  <m:e>
                    <m:sSub>
                      <m:sSubPr>
                        <m:ctrlPr>
                          <w:rPr>
                            <w:rFonts w:ascii="Cambria Math" w:hAnsi="Cambria Math"/>
                            <w:i/>
                          </w:rPr>
                        </m:ctrlPr>
                      </m:sSubPr>
                      <m:e>
                        <m:r>
                          <w:rPr>
                            <w:rFonts w:ascii="Cambria Math" w:hAnsi="Cambria Math"/>
                          </w:rPr>
                          <m:t>j</m:t>
                        </m:r>
                      </m:e>
                      <m:sub>
                        <m:r>
                          <w:rPr>
                            <w:rFonts w:ascii="Cambria Math" w:hAnsi="Cambria Math"/>
                          </w:rPr>
                          <m:t>0</m:t>
                        </m:r>
                      </m:sub>
                    </m:sSub>
                  </m:e>
                  <m:sub>
                    <m:r>
                      <w:rPr>
                        <w:rFonts w:ascii="Cambria Math" w:hAnsi="Cambria Math"/>
                      </w:rPr>
                      <m:t>ca</m:t>
                    </m:r>
                  </m:sub>
                </m:sSub>
              </m:oMath>
            </m:oMathPara>
          </w:p>
        </w:tc>
        <w:tc>
          <w:tcPr>
            <w:tcW w:w="1440" w:type="dxa"/>
            <w:vAlign w:val="center"/>
          </w:tcPr>
          <w:p w14:paraId="3C254ACA" w14:textId="77777777" w:rsidR="00A93D24" w:rsidRDefault="00924E48" w:rsidP="002E7584">
            <w:pPr>
              <w:spacing w:line="276" w:lineRule="auto"/>
              <w:ind w:firstLine="0"/>
              <w:jc w:val="center"/>
            </w:pPr>
            <m:oMathPara>
              <m:oMath>
                <m:f>
                  <m:fPr>
                    <m:ctrlPr>
                      <w:rPr>
                        <w:rFonts w:ascii="Cambria Math" w:hAnsi="Cambria Math"/>
                        <w:i/>
                      </w:rPr>
                    </m:ctrlPr>
                  </m:fPr>
                  <m:num>
                    <m:r>
                      <w:rPr>
                        <w:rFonts w:ascii="Cambria Math" w:hAnsi="Cambria Math"/>
                      </w:rPr>
                      <m:t>A</m:t>
                    </m:r>
                  </m:num>
                  <m:den>
                    <m:sSup>
                      <m:sSupPr>
                        <m:ctrlPr>
                          <w:rPr>
                            <w:rFonts w:ascii="Cambria Math" w:hAnsi="Cambria Math"/>
                            <w:i/>
                          </w:rPr>
                        </m:ctrlPr>
                      </m:sSupPr>
                      <m:e>
                        <m:r>
                          <w:rPr>
                            <w:rFonts w:ascii="Cambria Math" w:hAnsi="Cambria Math"/>
                          </w:rPr>
                          <m:t>m</m:t>
                        </m:r>
                      </m:e>
                      <m:sup>
                        <m:r>
                          <w:rPr>
                            <w:rFonts w:ascii="Cambria Math" w:hAnsi="Cambria Math"/>
                          </w:rPr>
                          <m:t>2</m:t>
                        </m:r>
                      </m:sup>
                    </m:sSup>
                  </m:den>
                </m:f>
              </m:oMath>
            </m:oMathPara>
          </w:p>
        </w:tc>
        <w:tc>
          <w:tcPr>
            <w:tcW w:w="3420" w:type="dxa"/>
            <w:vAlign w:val="center"/>
          </w:tcPr>
          <w:p w14:paraId="7DB305CA" w14:textId="77777777" w:rsidR="00A93D24" w:rsidRDefault="00A93D24" w:rsidP="002E7584">
            <w:pPr>
              <w:spacing w:line="276" w:lineRule="auto"/>
              <w:ind w:firstLine="0"/>
              <w:jc w:val="center"/>
            </w:pPr>
            <m:oMathPara>
              <m:oMath>
                <m:r>
                  <w:rPr>
                    <w:rFonts w:ascii="Cambria Math" w:hAnsi="Cambria Math"/>
                  </w:rPr>
                  <m:t>8.817*</m:t>
                </m:r>
                <m:sSup>
                  <m:sSupPr>
                    <m:ctrlPr>
                      <w:rPr>
                        <w:rFonts w:ascii="Cambria Math" w:hAnsi="Cambria Math"/>
                        <w:i/>
                      </w:rPr>
                    </m:ctrlPr>
                  </m:sSupPr>
                  <m:e>
                    <m:r>
                      <w:rPr>
                        <w:rFonts w:ascii="Cambria Math" w:hAnsi="Cambria Math"/>
                      </w:rPr>
                      <m:t>10</m:t>
                    </m:r>
                  </m:e>
                  <m:sup>
                    <m:r>
                      <w:rPr>
                        <w:rFonts w:ascii="Cambria Math" w:hAnsi="Cambria Math"/>
                      </w:rPr>
                      <m:t>9</m:t>
                    </m:r>
                  </m:sup>
                </m:sSup>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an</m:t>
                                </m:r>
                              </m:sub>
                            </m:sSub>
                          </m:num>
                          <m:den>
                            <m:r>
                              <w:rPr>
                                <w:rFonts w:ascii="Cambria Math" w:hAnsi="Cambria Math"/>
                              </w:rPr>
                              <m:t>R</m:t>
                            </m:r>
                            <m:sSub>
                              <m:sSubPr>
                                <m:ctrlPr>
                                  <w:rPr>
                                    <w:rFonts w:ascii="Cambria Math" w:hAnsi="Cambria Math"/>
                                    <w:i/>
                                  </w:rPr>
                                </m:ctrlPr>
                              </m:sSubPr>
                              <m:e>
                                <m:r>
                                  <w:rPr>
                                    <w:rFonts w:ascii="Cambria Math" w:hAnsi="Cambria Math"/>
                                  </w:rPr>
                                  <m:t>T</m:t>
                                </m:r>
                              </m:e>
                              <m:sub>
                                <m:r>
                                  <w:rPr>
                                    <w:rFonts w:ascii="Cambria Math" w:hAnsi="Cambria Math"/>
                                  </w:rPr>
                                  <m:t>PEN</m:t>
                                </m:r>
                              </m:sub>
                            </m:sSub>
                          </m:den>
                        </m:f>
                      </m:e>
                    </m:d>
                  </m:e>
                </m:func>
              </m:oMath>
            </m:oMathPara>
          </w:p>
        </w:tc>
        <w:tc>
          <w:tcPr>
            <w:tcW w:w="1350" w:type="dxa"/>
            <w:vAlign w:val="center"/>
          </w:tcPr>
          <w:p w14:paraId="57F2117D" w14:textId="09565FF0" w:rsidR="00A93D24" w:rsidRDefault="00A93D24" w:rsidP="002E7584">
            <w:pPr>
              <w:spacing w:line="276" w:lineRule="auto"/>
              <w:ind w:firstLine="0"/>
              <w:jc w:val="center"/>
            </w:pPr>
            <w:r>
              <w:fldChar w:fldCharType="begin"/>
            </w:r>
            <w:r w:rsidR="00CA7A9D">
              <w:instrText xml:space="preserve"> ADDIN ZOTERO_ITEM CSL_CITATION {"citationID":"fmhU8nDc","properties":{"formattedCitation":"[89], [90]","plainCitation":"[89], [90]","noteIndex":0},"citationItems":[{"id":821,"uris":["http://zotero.org/users/12063231/items/7RHZBYA8"],"itemData":{"id":821,"type":"article-journal","abstract":"In this work, a framework of charge transports in proton-conducting solid oxide fuel cells (H-SOFCs) with considering current leakage is developed by assuming four electrode reactions. Current leakage occurs when electron holes pass through the electrolyte and combine with electrons at the anode side. An analytical solution of leakage currents is proposed depending on the Nernst-Planck equation. On the basis of the analysis expression, a mathematical model of H-SOFCs is proposed, which can provide the information about current-voltage characteristics, leakage current density, Faraday and energy efficiencies. Furthermore, H-SOFCs with the BaZr0.8Y0.2O3 electrolyte are fabricated and tested, and the proposed model well reproduces the experimental data. The simulation results indicate that current leakage primarily affects the H-SOFC performance when the output voltage is close to the OCV. Both Faraday efficiencies and energy efficiencies decrease with increasing operating temperatures due to the existence of current leakage.","container-title":"Journal of Power Sources","DOI":"10.1016/j.jpowsour.2018.08.038","ISSN":"0378-7753","journalAbbreviation":"Journal of Power Sources","page":"333-340","source":"ScienceDirect","title":"Mathematical modeling of a proton-conducting solid oxide fuel cell with current leakage","volume":"400","author":[{"family":"Zhang","given":"Ji-Hao"},{"family":"Lei","given":"Li-Bin"},{"family":"Liu","given":"Di"},{"family":"Zhao","given":"Fu-Yun"},{"family":"Ni","given":"Meng"},{"family":"Chen","given":"Fanglin"}],"issued":{"date-parts":[["2018",10,1]]}}},{"id":795,"uris":["http://zotero.org/users/12063231/items/BG39VTDM"],"itemData":{"id":795,"type":"article-journal","abstract":"The principal objective of the present work is to realize thermodynamic modeling and analysis of the Proton Ceramic Fuel Cell (PCFC); particular attention is given to evaluate and optimize the power density generated by PCFCs according to the electrolyte, anode, and cathode thicknesses, water content in the oxidant and fuel, operating temperature, current density, and voltage. To implement the thermodynamic model, the PCFC voltage is represented by the difference between the Nernst potential and the total voltage loss generated in the electrolyte and electrodes (ohmic, activation, and concentration overpotentials) during PCFC operation. A FORTRAN program is developed to study the impact of these parameters on PCFC power density. After comparing the obtained results in this investigation to those of literature that are measured experimentally, they are presented a good concordance with root mean square error (RMSE) and mean bias error of 0.0572 and 0.0058, respectively. The conducted optimization, in this work, is realized based on the graphical method. The most important conclusions are summed in two points, PCFC power density is proportional to the operating temperature, and it is inversely proportional to the electrolyte and electrodes thicknesses and fuel and air humidification.","container-title":"Arabian Journal for Science and Engineering","DOI":"10.1007/s13369-021-06262-7","ISSN":"2191-4281","issue":"5","journalAbbreviation":"Arab J Sci Eng","language":"en","page":"6355-6363","source":"Springer Link","title":"Thermodynamic Modeling and Analysis of Proton Ceramic Fuel Cells: Power Optimization","title-short":"Thermodynamic Modeling and Analysis of Proton Ceramic Fuel Cells","volume":"47","author":[{"family":"Sahli","given":"Youcef"}],"issued":{"date-parts":[["2022",5,1]]}}}],"schema":"https://github.com/citation-style-language/schema/raw/master/csl-citation.json"} </w:instrText>
            </w:r>
            <w:r>
              <w:fldChar w:fldCharType="separate"/>
            </w:r>
            <w:r w:rsidR="00CA7A9D" w:rsidRPr="00CA7A9D">
              <w:rPr>
                <w:rFonts w:ascii="Aptos" w:hAnsi="Aptos"/>
              </w:rPr>
              <w:t>[89], [90]</w:t>
            </w:r>
            <w:r>
              <w:fldChar w:fldCharType="end"/>
            </w:r>
          </w:p>
        </w:tc>
      </w:tr>
      <w:tr w:rsidR="00A93D24" w14:paraId="563AF5B4" w14:textId="77777777" w:rsidTr="002E7584">
        <w:trPr>
          <w:jc w:val="center"/>
        </w:trPr>
        <w:tc>
          <w:tcPr>
            <w:tcW w:w="1165" w:type="dxa"/>
            <w:vAlign w:val="center"/>
          </w:tcPr>
          <w:p w14:paraId="1ACDC5F5" w14:textId="77777777" w:rsidR="00A93D24" w:rsidRDefault="00924E48" w:rsidP="002E7584">
            <w:pPr>
              <w:spacing w:line="276" w:lineRule="auto"/>
              <w:ind w:firstLine="0"/>
              <w:jc w:val="center"/>
            </w:pPr>
            <m:oMathPara>
              <m:oMath>
                <m:sSub>
                  <m:sSubPr>
                    <m:ctrlPr>
                      <w:rPr>
                        <w:rFonts w:ascii="Cambria Math" w:hAnsi="Cambria Math"/>
                        <w:i/>
                      </w:rPr>
                    </m:ctrlPr>
                  </m:sSubPr>
                  <m:e>
                    <m:r>
                      <w:rPr>
                        <w:rFonts w:ascii="Cambria Math" w:hAnsi="Cambria Math"/>
                      </w:rPr>
                      <m:t>E</m:t>
                    </m:r>
                  </m:e>
                  <m:sub>
                    <m:r>
                      <w:rPr>
                        <w:rFonts w:ascii="Cambria Math" w:hAnsi="Cambria Math"/>
                      </w:rPr>
                      <m:t>an</m:t>
                    </m:r>
                  </m:sub>
                </m:sSub>
              </m:oMath>
            </m:oMathPara>
          </w:p>
        </w:tc>
        <w:tc>
          <w:tcPr>
            <w:tcW w:w="1440" w:type="dxa"/>
            <w:vAlign w:val="center"/>
          </w:tcPr>
          <w:p w14:paraId="632FF8C8" w14:textId="77777777" w:rsidR="00A93D24" w:rsidRDefault="00924E48" w:rsidP="002E7584">
            <w:pPr>
              <w:spacing w:line="276" w:lineRule="auto"/>
              <w:ind w:firstLine="0"/>
              <w:jc w:val="center"/>
            </w:pPr>
            <m:oMathPara>
              <m:oMath>
                <m:f>
                  <m:fPr>
                    <m:ctrlPr>
                      <w:rPr>
                        <w:rFonts w:ascii="Cambria Math" w:hAnsi="Cambria Math"/>
                        <w:i/>
                      </w:rPr>
                    </m:ctrlPr>
                  </m:fPr>
                  <m:num>
                    <m:r>
                      <w:rPr>
                        <w:rFonts w:ascii="Cambria Math" w:hAnsi="Cambria Math"/>
                      </w:rPr>
                      <m:t>J</m:t>
                    </m:r>
                  </m:num>
                  <m:den>
                    <m:r>
                      <w:rPr>
                        <w:rFonts w:ascii="Cambria Math" w:hAnsi="Cambria Math"/>
                      </w:rPr>
                      <m:t>mol</m:t>
                    </m:r>
                  </m:den>
                </m:f>
              </m:oMath>
            </m:oMathPara>
          </w:p>
        </w:tc>
        <w:tc>
          <w:tcPr>
            <w:tcW w:w="3420" w:type="dxa"/>
            <w:vAlign w:val="center"/>
          </w:tcPr>
          <w:p w14:paraId="4267F403" w14:textId="77777777" w:rsidR="00A93D24" w:rsidRDefault="00A93D24" w:rsidP="002E7584">
            <w:pPr>
              <w:spacing w:line="276" w:lineRule="auto"/>
              <w:ind w:firstLine="0"/>
              <w:jc w:val="center"/>
            </w:pPr>
            <m:oMathPara>
              <m:oMath>
                <m:r>
                  <w:rPr>
                    <w:rFonts w:ascii="Cambria Math" w:hAnsi="Cambria Math"/>
                  </w:rPr>
                  <m:t>82600</m:t>
                </m:r>
              </m:oMath>
            </m:oMathPara>
          </w:p>
        </w:tc>
        <w:tc>
          <w:tcPr>
            <w:tcW w:w="1350" w:type="dxa"/>
            <w:vAlign w:val="center"/>
          </w:tcPr>
          <w:p w14:paraId="2908EB63" w14:textId="7202A8B1" w:rsidR="00A93D24" w:rsidRDefault="00A93D24" w:rsidP="002E7584">
            <w:pPr>
              <w:spacing w:line="276" w:lineRule="auto"/>
              <w:ind w:firstLine="0"/>
              <w:jc w:val="center"/>
            </w:pPr>
            <w:r>
              <w:fldChar w:fldCharType="begin"/>
            </w:r>
            <w:r w:rsidR="00CA7A9D">
              <w:instrText xml:space="preserve"> ADDIN ZOTERO_ITEM CSL_CITATION {"citationID":"a3a3t0qnrq","properties":{"formattedCitation":"[88]","plainCitation":"[88]","noteIndex":0},"citationItems":[{"id":774,"uris":["http://zotero.org/users/12063231/items/RRTFAJZR"],"itemData":{"id":774,"type":"chapter","abstract":"&lt;p&gt;This chapter discusses the theory and performance of electrolysis cells based upon proton-conducting ceramics (protonic ceramic electrolysis cells (PCECs)). To put PCECs in perspective in relation to other ceramic-based electrochemical cells, the discussion initially compares oxygen-ion-conducting membranes as well as fuel-cell performance.&lt;/p&gt;","container-title":"High-Temperature Electrolysis: From fundamentals to applications","language":"en","note":"DOI: 10.1088/978-0-7503-3951-3ch12","publisher":"IOP Publishing","source":"iopscience.iop.org","title":"Thermodynamics, transport, and electrochemistry in protonic ceramic electrolysis cells","URL":"https://iopscience.iop.org/book/edit/978-0-7503-3951-3/chapter/bk978-0-7503-3951-3ch12","author":[{"family":"Zhu","given":"Huayang"},{"family":"Ricote","given":"Sandrine"},{"family":"Kee","given":"Robert J."}],"accessed":{"date-parts":[["2024",2,6]]},"issued":{"date-parts":[["2023",1,1]]}}}],"schema":"https://github.com/citation-style-language/schema/raw/master/csl-citation.json"} </w:instrText>
            </w:r>
            <w:r>
              <w:fldChar w:fldCharType="separate"/>
            </w:r>
            <w:r w:rsidR="00CA7A9D" w:rsidRPr="00CA7A9D">
              <w:rPr>
                <w:rFonts w:ascii="Aptos" w:hAnsi="Aptos"/>
              </w:rPr>
              <w:t>[88]</w:t>
            </w:r>
            <w:r>
              <w:fldChar w:fldCharType="end"/>
            </w:r>
          </w:p>
        </w:tc>
      </w:tr>
      <w:tr w:rsidR="00A93D24" w14:paraId="311A640F" w14:textId="77777777" w:rsidTr="002E7584">
        <w:trPr>
          <w:jc w:val="center"/>
        </w:trPr>
        <w:tc>
          <w:tcPr>
            <w:tcW w:w="1165" w:type="dxa"/>
            <w:vAlign w:val="center"/>
          </w:tcPr>
          <w:p w14:paraId="2EF0D1D5" w14:textId="77777777" w:rsidR="00A93D24" w:rsidRDefault="00924E48" w:rsidP="002E7584">
            <w:pPr>
              <w:spacing w:line="276" w:lineRule="auto"/>
              <w:ind w:firstLine="0"/>
              <w:jc w:val="center"/>
            </w:pPr>
            <m:oMathPara>
              <m:oMath>
                <m:sSub>
                  <m:sSubPr>
                    <m:ctrlPr>
                      <w:rPr>
                        <w:rFonts w:ascii="Cambria Math" w:hAnsi="Cambria Math"/>
                        <w:i/>
                      </w:rPr>
                    </m:ctrlPr>
                  </m:sSubPr>
                  <m:e>
                    <m:r>
                      <w:rPr>
                        <w:rFonts w:ascii="Cambria Math" w:hAnsi="Cambria Math"/>
                      </w:rPr>
                      <m:t>E</m:t>
                    </m:r>
                  </m:e>
                  <m:sub>
                    <m:r>
                      <w:rPr>
                        <w:rFonts w:ascii="Cambria Math" w:hAnsi="Cambria Math"/>
                      </w:rPr>
                      <m:t>ca</m:t>
                    </m:r>
                  </m:sub>
                </m:sSub>
              </m:oMath>
            </m:oMathPara>
          </w:p>
        </w:tc>
        <w:tc>
          <w:tcPr>
            <w:tcW w:w="1440" w:type="dxa"/>
            <w:vAlign w:val="center"/>
          </w:tcPr>
          <w:p w14:paraId="67AEB13E" w14:textId="77777777" w:rsidR="00A93D24" w:rsidRDefault="00924E48" w:rsidP="002E7584">
            <w:pPr>
              <w:spacing w:line="276" w:lineRule="auto"/>
              <w:ind w:firstLine="0"/>
              <w:jc w:val="center"/>
            </w:pPr>
            <m:oMathPara>
              <m:oMath>
                <m:f>
                  <m:fPr>
                    <m:ctrlPr>
                      <w:rPr>
                        <w:rFonts w:ascii="Cambria Math" w:hAnsi="Cambria Math"/>
                        <w:i/>
                      </w:rPr>
                    </m:ctrlPr>
                  </m:fPr>
                  <m:num>
                    <m:r>
                      <w:rPr>
                        <w:rFonts w:ascii="Cambria Math" w:hAnsi="Cambria Math"/>
                      </w:rPr>
                      <m:t>J</m:t>
                    </m:r>
                  </m:num>
                  <m:den>
                    <m:r>
                      <w:rPr>
                        <w:rFonts w:ascii="Cambria Math" w:hAnsi="Cambria Math"/>
                      </w:rPr>
                      <m:t>mol</m:t>
                    </m:r>
                  </m:den>
                </m:f>
              </m:oMath>
            </m:oMathPara>
          </w:p>
        </w:tc>
        <w:tc>
          <w:tcPr>
            <w:tcW w:w="3420" w:type="dxa"/>
            <w:vAlign w:val="center"/>
          </w:tcPr>
          <w:p w14:paraId="33D281B3" w14:textId="77777777" w:rsidR="00A93D24" w:rsidRDefault="00A93D24" w:rsidP="002E7584">
            <w:pPr>
              <w:spacing w:line="276" w:lineRule="auto"/>
              <w:ind w:firstLine="0"/>
              <w:jc w:val="center"/>
            </w:pPr>
            <w:r>
              <w:t>43300</w:t>
            </w:r>
          </w:p>
        </w:tc>
        <w:tc>
          <w:tcPr>
            <w:tcW w:w="1350" w:type="dxa"/>
            <w:vAlign w:val="center"/>
          </w:tcPr>
          <w:p w14:paraId="2DC67244" w14:textId="24C71571" w:rsidR="00A93D24" w:rsidRDefault="00A93D24" w:rsidP="002E7584">
            <w:pPr>
              <w:spacing w:line="276" w:lineRule="auto"/>
              <w:ind w:firstLine="0"/>
              <w:jc w:val="center"/>
            </w:pPr>
            <w:r>
              <w:fldChar w:fldCharType="begin"/>
            </w:r>
            <w:r w:rsidR="00CA7A9D">
              <w:instrText xml:space="preserve"> ADDIN ZOTERO_ITEM CSL_CITATION {"citationID":"ucWh1Nyg","properties":{"formattedCitation":"[88]","plainCitation":"[88]","noteIndex":0},"citationItems":[{"id":774,"uris":["http://zotero.org/users/12063231/items/RRTFAJZR"],"itemData":{"id":774,"type":"chapter","abstract":"&lt;p&gt;This chapter discusses the theory and performance of electrolysis cells based upon proton-conducting ceramics (protonic ceramic electrolysis cells (PCECs)). To put PCECs in perspective in relation to other ceramic-based electrochemical cells, the discussion initially compares oxygen-ion-conducting membranes as well as fuel-cell performance.&lt;/p&gt;","container-title":"High-Temperature Electrolysis: From fundamentals to applications","language":"en","note":"DOI: 10.1088/978-0-7503-3951-3ch12","publisher":"IOP Publishing","source":"iopscience.iop.org","title":"Thermodynamics, transport, and electrochemistry in protonic ceramic electrolysis cells","URL":"https://iopscience.iop.org/book/edit/978-0-7503-3951-3/chapter/bk978-0-7503-3951-3ch12","author":[{"family":"Zhu","given":"Huayang"},{"family":"Ricote","given":"Sandrine"},{"family":"Kee","given":"Robert J."}],"accessed":{"date-parts":[["2024",2,6]]},"issued":{"date-parts":[["2023",1,1]]}}}],"schema":"https://github.com/citation-style-language/schema/raw/master/csl-citation.json"} </w:instrText>
            </w:r>
            <w:r>
              <w:fldChar w:fldCharType="separate"/>
            </w:r>
            <w:r w:rsidR="00CA7A9D" w:rsidRPr="00CA7A9D">
              <w:rPr>
                <w:rFonts w:ascii="Aptos" w:hAnsi="Aptos"/>
              </w:rPr>
              <w:t>[88]</w:t>
            </w:r>
            <w:r>
              <w:fldChar w:fldCharType="end"/>
            </w:r>
          </w:p>
        </w:tc>
      </w:tr>
      <w:tr w:rsidR="00A93D24" w14:paraId="0A086E46" w14:textId="77777777" w:rsidTr="002E7584">
        <w:trPr>
          <w:jc w:val="center"/>
        </w:trPr>
        <w:tc>
          <w:tcPr>
            <w:tcW w:w="1165" w:type="dxa"/>
            <w:vAlign w:val="center"/>
          </w:tcPr>
          <w:p w14:paraId="5C7D669E" w14:textId="77777777" w:rsidR="00A93D24" w:rsidRDefault="00924E48" w:rsidP="002E7584">
            <w:pPr>
              <w:spacing w:line="276" w:lineRule="auto"/>
              <w:ind w:firstLine="0"/>
              <w:jc w:val="center"/>
            </w:pPr>
            <m:oMathPara>
              <m:oMath>
                <m:sSubSup>
                  <m:sSubSupPr>
                    <m:ctrlPr>
                      <w:rPr>
                        <w:rFonts w:ascii="Cambria Math" w:hAnsi="Cambria Math"/>
                        <w:i/>
                      </w:rPr>
                    </m:ctrlPr>
                  </m:sSubSupPr>
                  <m:e>
                    <m:r>
                      <w:rPr>
                        <w:rFonts w:ascii="Cambria Math" w:hAnsi="Cambria Math"/>
                      </w:rPr>
                      <m:t>α</m:t>
                    </m:r>
                  </m:e>
                  <m:sub>
                    <m:r>
                      <w:rPr>
                        <w:rFonts w:ascii="Cambria Math" w:hAnsi="Cambria Math"/>
                      </w:rPr>
                      <m:t>an</m:t>
                    </m:r>
                  </m:sub>
                  <m:sup>
                    <m:r>
                      <w:rPr>
                        <w:rFonts w:ascii="Cambria Math" w:hAnsi="Cambria Math"/>
                      </w:rPr>
                      <m:t>an</m:t>
                    </m:r>
                  </m:sup>
                </m:sSubSup>
              </m:oMath>
            </m:oMathPara>
          </w:p>
        </w:tc>
        <w:tc>
          <w:tcPr>
            <w:tcW w:w="1440" w:type="dxa"/>
            <w:vAlign w:val="center"/>
          </w:tcPr>
          <w:p w14:paraId="51D6AD10" w14:textId="77777777" w:rsidR="00A93D24" w:rsidRDefault="00A93D24" w:rsidP="002E7584">
            <w:pPr>
              <w:spacing w:line="276" w:lineRule="auto"/>
              <w:ind w:firstLine="0"/>
              <w:jc w:val="center"/>
            </w:pPr>
            <w:r>
              <w:t>-</w:t>
            </w:r>
          </w:p>
        </w:tc>
        <w:tc>
          <w:tcPr>
            <w:tcW w:w="3420" w:type="dxa"/>
            <w:vAlign w:val="center"/>
          </w:tcPr>
          <w:p w14:paraId="33BA2DB5" w14:textId="77777777" w:rsidR="00A93D24" w:rsidRDefault="00A93D24" w:rsidP="002E7584">
            <w:pPr>
              <w:spacing w:line="276" w:lineRule="auto"/>
              <w:ind w:firstLine="0"/>
              <w:jc w:val="center"/>
            </w:pPr>
            <m:oMathPara>
              <m:oMath>
                <m:r>
                  <w:rPr>
                    <w:rFonts w:ascii="Cambria Math" w:hAnsi="Cambria Math"/>
                  </w:rPr>
                  <m:t>.3</m:t>
                </m:r>
              </m:oMath>
            </m:oMathPara>
          </w:p>
        </w:tc>
        <w:tc>
          <w:tcPr>
            <w:tcW w:w="1350" w:type="dxa"/>
          </w:tcPr>
          <w:p w14:paraId="08784C01" w14:textId="6883434B" w:rsidR="00A93D24" w:rsidRDefault="00A93D24" w:rsidP="002E7584">
            <w:pPr>
              <w:spacing w:line="276" w:lineRule="auto"/>
              <w:ind w:firstLine="0"/>
              <w:jc w:val="center"/>
            </w:pPr>
            <w:r w:rsidRPr="007779FA">
              <w:fldChar w:fldCharType="begin"/>
            </w:r>
            <w:r w:rsidR="00CA7A9D">
              <w:instrText xml:space="preserve"> ADDIN ZOTERO_ITEM CSL_CITATION {"citationID":"XaWGPCfJ","properties":{"formattedCitation":"[88]","plainCitation":"[88]","noteIndex":0},"citationItems":[{"id":774,"uris":["http://zotero.org/users/12063231/items/RRTFAJZR"],"itemData":{"id":774,"type":"chapter","abstract":"&lt;p&gt;This chapter discusses the theory and performance of electrolysis cells based upon proton-conducting ceramics (protonic ceramic electrolysis cells (PCECs)). To put PCECs in perspective in relation to other ceramic-based electrochemical cells, the discussion initially compares oxygen-ion-conducting membranes as well as fuel-cell performance.&lt;/p&gt;","container-title":"High-Temperature Electrolysis: From fundamentals to applications","language":"en","note":"DOI: 10.1088/978-0-7503-3951-3ch12","publisher":"IOP Publishing","source":"iopscience.iop.org","title":"Thermodynamics, transport, and electrochemistry in protonic ceramic electrolysis cells","URL":"https://iopscience.iop.org/book/edit/978-0-7503-3951-3/chapter/bk978-0-7503-3951-3ch12","author":[{"family":"Zhu","given":"Huayang"},{"family":"Ricote","given":"Sandrine"},{"family":"Kee","given":"Robert J."}],"accessed":{"date-parts":[["2024",2,6]]},"issued":{"date-parts":[["2023",1,1]]}}}],"schema":"https://github.com/citation-style-language/schema/raw/master/csl-citation.json"} </w:instrText>
            </w:r>
            <w:r w:rsidRPr="007779FA">
              <w:fldChar w:fldCharType="separate"/>
            </w:r>
            <w:r w:rsidR="00CA7A9D" w:rsidRPr="00CA7A9D">
              <w:rPr>
                <w:rFonts w:ascii="Aptos" w:hAnsi="Aptos"/>
              </w:rPr>
              <w:t>[88]</w:t>
            </w:r>
            <w:r w:rsidRPr="007779FA">
              <w:fldChar w:fldCharType="end"/>
            </w:r>
          </w:p>
        </w:tc>
      </w:tr>
      <w:tr w:rsidR="00A93D24" w14:paraId="7E3DC7A4" w14:textId="77777777" w:rsidTr="002E7584">
        <w:trPr>
          <w:jc w:val="center"/>
        </w:trPr>
        <w:tc>
          <w:tcPr>
            <w:tcW w:w="1165" w:type="dxa"/>
            <w:vAlign w:val="center"/>
          </w:tcPr>
          <w:p w14:paraId="007B37D8" w14:textId="77777777" w:rsidR="00A93D24" w:rsidRDefault="00924E48" w:rsidP="002E7584">
            <w:pPr>
              <w:spacing w:line="276" w:lineRule="auto"/>
              <w:ind w:firstLine="0"/>
              <w:jc w:val="center"/>
            </w:pPr>
            <m:oMathPara>
              <m:oMath>
                <m:sSubSup>
                  <m:sSubSupPr>
                    <m:ctrlPr>
                      <w:rPr>
                        <w:rFonts w:ascii="Cambria Math" w:hAnsi="Cambria Math"/>
                        <w:i/>
                      </w:rPr>
                    </m:ctrlPr>
                  </m:sSubSupPr>
                  <m:e>
                    <m:r>
                      <w:rPr>
                        <w:rFonts w:ascii="Cambria Math" w:hAnsi="Cambria Math"/>
                      </w:rPr>
                      <m:t>α</m:t>
                    </m:r>
                  </m:e>
                  <m:sub>
                    <m:r>
                      <w:rPr>
                        <w:rFonts w:ascii="Cambria Math" w:hAnsi="Cambria Math"/>
                      </w:rPr>
                      <m:t>ca</m:t>
                    </m:r>
                  </m:sub>
                  <m:sup>
                    <m:r>
                      <w:rPr>
                        <w:rFonts w:ascii="Cambria Math" w:hAnsi="Cambria Math"/>
                      </w:rPr>
                      <m:t>an</m:t>
                    </m:r>
                  </m:sup>
                </m:sSubSup>
              </m:oMath>
            </m:oMathPara>
          </w:p>
        </w:tc>
        <w:tc>
          <w:tcPr>
            <w:tcW w:w="1440" w:type="dxa"/>
            <w:vAlign w:val="center"/>
          </w:tcPr>
          <w:p w14:paraId="121A06BB" w14:textId="77777777" w:rsidR="00A93D24" w:rsidRDefault="00A93D24" w:rsidP="002E7584">
            <w:pPr>
              <w:spacing w:line="276" w:lineRule="auto"/>
              <w:ind w:firstLine="0"/>
              <w:jc w:val="center"/>
            </w:pPr>
            <w:r>
              <w:t>-</w:t>
            </w:r>
          </w:p>
        </w:tc>
        <w:tc>
          <w:tcPr>
            <w:tcW w:w="3420" w:type="dxa"/>
            <w:vAlign w:val="center"/>
          </w:tcPr>
          <w:p w14:paraId="0B80DC53" w14:textId="77777777" w:rsidR="00A93D24" w:rsidRDefault="00A93D24" w:rsidP="002E7584">
            <w:pPr>
              <w:spacing w:line="276" w:lineRule="auto"/>
              <w:ind w:firstLine="0"/>
              <w:jc w:val="center"/>
            </w:pPr>
            <m:oMathPara>
              <m:oMath>
                <m:r>
                  <w:rPr>
                    <w:rFonts w:ascii="Cambria Math" w:hAnsi="Cambria Math"/>
                  </w:rPr>
                  <m:t>.7</m:t>
                </m:r>
              </m:oMath>
            </m:oMathPara>
          </w:p>
        </w:tc>
        <w:tc>
          <w:tcPr>
            <w:tcW w:w="1350" w:type="dxa"/>
          </w:tcPr>
          <w:p w14:paraId="69911775" w14:textId="7BC04C77" w:rsidR="00A93D24" w:rsidRDefault="00A93D24" w:rsidP="002E7584">
            <w:pPr>
              <w:spacing w:line="276" w:lineRule="auto"/>
              <w:ind w:firstLine="0"/>
              <w:jc w:val="center"/>
            </w:pPr>
            <w:r w:rsidRPr="007779FA">
              <w:fldChar w:fldCharType="begin"/>
            </w:r>
            <w:r w:rsidR="00CA7A9D">
              <w:instrText xml:space="preserve"> ADDIN ZOTERO_ITEM CSL_CITATION {"citationID":"bLLb6YX7","properties":{"formattedCitation":"[88]","plainCitation":"[88]","noteIndex":0},"citationItems":[{"id":774,"uris":["http://zotero.org/users/12063231/items/RRTFAJZR"],"itemData":{"id":774,"type":"chapter","abstract":"&lt;p&gt;This chapter discusses the theory and performance of electrolysis cells based upon proton-conducting ceramics (protonic ceramic electrolysis cells (PCECs)). To put PCECs in perspective in relation to other ceramic-based electrochemical cells, the discussion initially compares oxygen-ion-conducting membranes as well as fuel-cell performance.&lt;/p&gt;","container-title":"High-Temperature Electrolysis: From fundamentals to applications","language":"en","note":"DOI: 10.1088/978-0-7503-3951-3ch12","publisher":"IOP Publishing","source":"iopscience.iop.org","title":"Thermodynamics, transport, and electrochemistry in protonic ceramic electrolysis cells","URL":"https://iopscience.iop.org/book/edit/978-0-7503-3951-3/chapter/bk978-0-7503-3951-3ch12","author":[{"family":"Zhu","given":"Huayang"},{"family":"Ricote","given":"Sandrine"},{"family":"Kee","given":"Robert J."}],"accessed":{"date-parts":[["2024",2,6]]},"issued":{"date-parts":[["2023",1,1]]}}}],"schema":"https://github.com/citation-style-language/schema/raw/master/csl-citation.json"} </w:instrText>
            </w:r>
            <w:r w:rsidRPr="007779FA">
              <w:fldChar w:fldCharType="separate"/>
            </w:r>
            <w:r w:rsidR="00CA7A9D" w:rsidRPr="00CA7A9D">
              <w:rPr>
                <w:rFonts w:ascii="Aptos" w:hAnsi="Aptos"/>
              </w:rPr>
              <w:t>[88]</w:t>
            </w:r>
            <w:r w:rsidRPr="007779FA">
              <w:fldChar w:fldCharType="end"/>
            </w:r>
          </w:p>
        </w:tc>
      </w:tr>
      <w:tr w:rsidR="00A93D24" w14:paraId="0A36DB47" w14:textId="77777777" w:rsidTr="002E7584">
        <w:trPr>
          <w:jc w:val="center"/>
        </w:trPr>
        <w:tc>
          <w:tcPr>
            <w:tcW w:w="1165" w:type="dxa"/>
            <w:vAlign w:val="center"/>
          </w:tcPr>
          <w:p w14:paraId="2320E8E6" w14:textId="77777777" w:rsidR="00A93D24" w:rsidRDefault="00924E48" w:rsidP="002E7584">
            <w:pPr>
              <w:spacing w:line="276" w:lineRule="auto"/>
              <w:ind w:firstLine="0"/>
              <w:jc w:val="center"/>
            </w:pPr>
            <m:oMathPara>
              <m:oMath>
                <m:sSubSup>
                  <m:sSubSupPr>
                    <m:ctrlPr>
                      <w:rPr>
                        <w:rFonts w:ascii="Cambria Math" w:hAnsi="Cambria Math"/>
                        <w:i/>
                      </w:rPr>
                    </m:ctrlPr>
                  </m:sSubSupPr>
                  <m:e>
                    <m:r>
                      <w:rPr>
                        <w:rFonts w:ascii="Cambria Math" w:hAnsi="Cambria Math"/>
                      </w:rPr>
                      <m:t>α</m:t>
                    </m:r>
                  </m:e>
                  <m:sub>
                    <m:r>
                      <w:rPr>
                        <w:rFonts w:ascii="Cambria Math" w:hAnsi="Cambria Math"/>
                      </w:rPr>
                      <m:t>an</m:t>
                    </m:r>
                  </m:sub>
                  <m:sup>
                    <m:r>
                      <w:rPr>
                        <w:rFonts w:ascii="Cambria Math" w:hAnsi="Cambria Math"/>
                      </w:rPr>
                      <m:t>ca</m:t>
                    </m:r>
                  </m:sup>
                </m:sSubSup>
              </m:oMath>
            </m:oMathPara>
          </w:p>
        </w:tc>
        <w:tc>
          <w:tcPr>
            <w:tcW w:w="1440" w:type="dxa"/>
            <w:vAlign w:val="center"/>
          </w:tcPr>
          <w:p w14:paraId="40937F05" w14:textId="77777777" w:rsidR="00A93D24" w:rsidRDefault="00A93D24" w:rsidP="002E7584">
            <w:pPr>
              <w:spacing w:line="276" w:lineRule="auto"/>
              <w:ind w:firstLine="0"/>
              <w:jc w:val="center"/>
            </w:pPr>
            <w:r>
              <w:t>-</w:t>
            </w:r>
          </w:p>
        </w:tc>
        <w:tc>
          <w:tcPr>
            <w:tcW w:w="3420" w:type="dxa"/>
            <w:vAlign w:val="center"/>
          </w:tcPr>
          <w:p w14:paraId="757CB6E2" w14:textId="77777777" w:rsidR="00A93D24" w:rsidRDefault="00A93D24" w:rsidP="002E7584">
            <w:pPr>
              <w:spacing w:line="276" w:lineRule="auto"/>
              <w:ind w:firstLine="0"/>
              <w:jc w:val="center"/>
            </w:pPr>
            <m:oMathPara>
              <m:oMath>
                <m:r>
                  <w:rPr>
                    <w:rFonts w:ascii="Cambria Math" w:hAnsi="Cambria Math"/>
                  </w:rPr>
                  <m:t>.8</m:t>
                </m:r>
              </m:oMath>
            </m:oMathPara>
          </w:p>
        </w:tc>
        <w:tc>
          <w:tcPr>
            <w:tcW w:w="1350" w:type="dxa"/>
          </w:tcPr>
          <w:p w14:paraId="4C80F4A9" w14:textId="258492C6" w:rsidR="00A93D24" w:rsidRDefault="00A93D24" w:rsidP="002E7584">
            <w:pPr>
              <w:spacing w:line="276" w:lineRule="auto"/>
              <w:ind w:firstLine="0"/>
              <w:jc w:val="center"/>
            </w:pPr>
            <w:r w:rsidRPr="007779FA">
              <w:fldChar w:fldCharType="begin"/>
            </w:r>
            <w:r w:rsidR="00CA7A9D">
              <w:instrText xml:space="preserve"> ADDIN ZOTERO_ITEM CSL_CITATION {"citationID":"Gjf8LE79","properties":{"formattedCitation":"[88]","plainCitation":"[88]","noteIndex":0},"citationItems":[{"id":774,"uris":["http://zotero.org/users/12063231/items/RRTFAJZR"],"itemData":{"id":774,"type":"chapter","abstract":"&lt;p&gt;This chapter discusses the theory and performance of electrolysis cells based upon proton-conducting ceramics (protonic ceramic electrolysis cells (PCECs)). To put PCECs in perspective in relation to other ceramic-based electrochemical cells, the discussion initially compares oxygen-ion-conducting membranes as well as fuel-cell performance.&lt;/p&gt;","container-title":"High-Temperature Electrolysis: From fundamentals to applications","language":"en","note":"DOI: 10.1088/978-0-7503-3951-3ch12","publisher":"IOP Publishing","source":"iopscience.iop.org","title":"Thermodynamics, transport, and electrochemistry in protonic ceramic electrolysis cells","URL":"https://iopscience.iop.org/book/edit/978-0-7503-3951-3/chapter/bk978-0-7503-3951-3ch12","author":[{"family":"Zhu","given":"Huayang"},{"family":"Ricote","given":"Sandrine"},{"family":"Kee","given":"Robert J."}],"accessed":{"date-parts":[["2024",2,6]]},"issued":{"date-parts":[["2023",1,1]]}}}],"schema":"https://github.com/citation-style-language/schema/raw/master/csl-citation.json"} </w:instrText>
            </w:r>
            <w:r w:rsidRPr="007779FA">
              <w:fldChar w:fldCharType="separate"/>
            </w:r>
            <w:r w:rsidR="00CA7A9D" w:rsidRPr="00CA7A9D">
              <w:rPr>
                <w:rFonts w:ascii="Aptos" w:hAnsi="Aptos"/>
              </w:rPr>
              <w:t>[88]</w:t>
            </w:r>
            <w:r w:rsidRPr="007779FA">
              <w:fldChar w:fldCharType="end"/>
            </w:r>
          </w:p>
        </w:tc>
      </w:tr>
      <w:tr w:rsidR="00A93D24" w14:paraId="5A5928E7" w14:textId="77777777" w:rsidTr="002E7584">
        <w:trPr>
          <w:jc w:val="center"/>
        </w:trPr>
        <w:tc>
          <w:tcPr>
            <w:tcW w:w="1165" w:type="dxa"/>
            <w:vAlign w:val="center"/>
          </w:tcPr>
          <w:p w14:paraId="7586EB23" w14:textId="77777777" w:rsidR="00A93D24" w:rsidRPr="00E20184" w:rsidRDefault="00924E48" w:rsidP="002E7584">
            <w:pPr>
              <w:spacing w:line="276" w:lineRule="auto"/>
              <w:ind w:firstLine="0"/>
              <w:jc w:val="center"/>
              <w:rPr>
                <w:rFonts w:eastAsiaTheme="minorEastAsia"/>
              </w:rPr>
            </w:pPr>
            <m:oMathPara>
              <m:oMath>
                <m:sSubSup>
                  <m:sSubSupPr>
                    <m:ctrlPr>
                      <w:rPr>
                        <w:rFonts w:ascii="Cambria Math" w:hAnsi="Cambria Math"/>
                        <w:i/>
                      </w:rPr>
                    </m:ctrlPr>
                  </m:sSubSupPr>
                  <m:e>
                    <m:r>
                      <w:rPr>
                        <w:rFonts w:ascii="Cambria Math" w:hAnsi="Cambria Math"/>
                      </w:rPr>
                      <m:t>α</m:t>
                    </m:r>
                  </m:e>
                  <m:sub>
                    <m:r>
                      <w:rPr>
                        <w:rFonts w:ascii="Cambria Math" w:hAnsi="Cambria Math"/>
                      </w:rPr>
                      <m:t>ca</m:t>
                    </m:r>
                  </m:sub>
                  <m:sup>
                    <m:r>
                      <w:rPr>
                        <w:rFonts w:ascii="Cambria Math" w:hAnsi="Cambria Math"/>
                      </w:rPr>
                      <m:t>ca</m:t>
                    </m:r>
                  </m:sup>
                </m:sSubSup>
              </m:oMath>
            </m:oMathPara>
          </w:p>
        </w:tc>
        <w:tc>
          <w:tcPr>
            <w:tcW w:w="1440" w:type="dxa"/>
            <w:vAlign w:val="center"/>
          </w:tcPr>
          <w:p w14:paraId="53F78E55" w14:textId="77777777" w:rsidR="00A93D24" w:rsidRDefault="00A93D24" w:rsidP="002E7584">
            <w:pPr>
              <w:spacing w:line="276" w:lineRule="auto"/>
              <w:ind w:firstLine="0"/>
              <w:jc w:val="center"/>
            </w:pPr>
            <w:r>
              <w:t>-</w:t>
            </w:r>
          </w:p>
        </w:tc>
        <w:tc>
          <w:tcPr>
            <w:tcW w:w="3420" w:type="dxa"/>
            <w:vAlign w:val="center"/>
          </w:tcPr>
          <w:p w14:paraId="5B1C2D04" w14:textId="77777777" w:rsidR="00A93D24" w:rsidRDefault="00A93D24" w:rsidP="002E7584">
            <w:pPr>
              <w:spacing w:line="276" w:lineRule="auto"/>
              <w:ind w:firstLine="0"/>
              <w:jc w:val="center"/>
            </w:pPr>
            <m:oMathPara>
              <m:oMath>
                <m:r>
                  <w:rPr>
                    <w:rFonts w:ascii="Cambria Math" w:hAnsi="Cambria Math"/>
                  </w:rPr>
                  <m:t>.2</m:t>
                </m:r>
              </m:oMath>
            </m:oMathPara>
          </w:p>
        </w:tc>
        <w:tc>
          <w:tcPr>
            <w:tcW w:w="1350" w:type="dxa"/>
          </w:tcPr>
          <w:p w14:paraId="62F7DFFF" w14:textId="243B5F13" w:rsidR="00A93D24" w:rsidRDefault="00A93D24" w:rsidP="002E7584">
            <w:pPr>
              <w:spacing w:line="276" w:lineRule="auto"/>
              <w:ind w:firstLine="0"/>
              <w:jc w:val="center"/>
            </w:pPr>
            <w:r w:rsidRPr="007779FA">
              <w:fldChar w:fldCharType="begin"/>
            </w:r>
            <w:r w:rsidR="00CA7A9D">
              <w:instrText xml:space="preserve"> ADDIN ZOTERO_ITEM CSL_CITATION {"citationID":"LcOQQhNb","properties":{"formattedCitation":"[88]","plainCitation":"[88]","noteIndex":0},"citationItems":[{"id":774,"uris":["http://zotero.org/users/12063231/items/RRTFAJZR"],"itemData":{"id":774,"type":"chapter","abstract":"&lt;p&gt;This chapter discusses the theory and performance of electrolysis cells based upon proton-conducting ceramics (protonic ceramic electrolysis cells (PCECs)). To put PCECs in perspective in relation to other ceramic-based electrochemical cells, the discussion initially compares oxygen-ion-conducting membranes as well as fuel-cell performance.&lt;/p&gt;","container-title":"High-Temperature Electrolysis: From fundamentals to applications","language":"en","note":"DOI: 10.1088/978-0-7503-3951-3ch12","publisher":"IOP Publishing","source":"iopscience.iop.org","title":"Thermodynamics, transport, and electrochemistry in protonic ceramic electrolysis cells","URL":"https://iopscience.iop.org/book/edit/978-0-7503-3951-3/chapter/bk978-0-7503-3951-3ch12","author":[{"family":"Zhu","given":"Huayang"},{"family":"Ricote","given":"Sandrine"},{"family":"Kee","given":"Robert J."}],"accessed":{"date-parts":[["2024",2,6]]},"issued":{"date-parts":[["2023",1,1]]}}}],"schema":"https://github.com/citation-style-language/schema/raw/master/csl-citation.json"} </w:instrText>
            </w:r>
            <w:r w:rsidRPr="007779FA">
              <w:fldChar w:fldCharType="separate"/>
            </w:r>
            <w:r w:rsidR="00CA7A9D" w:rsidRPr="00CA7A9D">
              <w:rPr>
                <w:rFonts w:ascii="Aptos" w:hAnsi="Aptos"/>
              </w:rPr>
              <w:t>[88]</w:t>
            </w:r>
            <w:r w:rsidRPr="007779FA">
              <w:fldChar w:fldCharType="end"/>
            </w:r>
          </w:p>
        </w:tc>
      </w:tr>
    </w:tbl>
    <w:p w14:paraId="29831C02" w14:textId="77777777" w:rsidR="00A93D24" w:rsidRPr="00F31207" w:rsidRDefault="00A93D24" w:rsidP="00A93D24"/>
    <w:p w14:paraId="25D63665" w14:textId="77777777" w:rsidR="00A93D24" w:rsidRDefault="00A93D24" w:rsidP="00A93D24">
      <w:pPr>
        <w:pStyle w:val="Heading3"/>
      </w:pPr>
      <w:bookmarkStart w:id="79" w:name="_Toc165641077"/>
      <w:r>
        <w:t>3.4.4 Concentration Overpotential</w:t>
      </w:r>
      <w:bookmarkEnd w:id="79"/>
    </w:p>
    <w:p w14:paraId="25F186FA" w14:textId="248C1DF8" w:rsidR="00A93D24" w:rsidRDefault="00A93D24" w:rsidP="00A93D24">
      <w:r>
        <w:t xml:space="preserve">The concentration overpotential is sometimes called the diffusion polarization. This loss occurs due to diffusion resistance in the PEN structure, which causes different concentration levels of reacting species at the reaction site compared to the bulk flow </w:t>
      </w:r>
      <w:r>
        <w:fldChar w:fldCharType="begin"/>
      </w:r>
      <w:r w:rsidR="000B673D">
        <w:instrText xml:space="preserve"> ADDIN ZOTERO_ITEM CSL_CITATION {"citationID":"aollokn71t","properties":{"formattedCitation":"[77], [78]","plainCitation":"[77], [78]","noteIndex":0},"citationItems":[{"id":809,"uris":["http://zotero.org/users/12063231/items/86VEYUNF"],"itemData":{"id":809,"type":"article-journal","container-title":"Fuel Cells","DOI":"10.1002/fuce.200900082","issue":"6","language":"English","page":"1074-1094","title":"Modelling and Performance Evaluation of Solid Oxide Fuel Cell for Building Integrated Co- and Polygeneration","volume":"10","author":[{"family":"Kazempoor","given":"Pejman"},{"family":"Dorer","given":"Viktor"},{"family":"Fathollah","given":"Ommi"}],"issued":{"date-parts":[["2010"]]}}},{"id":885,"uris":["http://zotero.org/users/12063231/items/2YPLBP28"],"itemData":{"id":885,"type":"article-journal","abstract":"The need for electrical energy storage (EES) is being driven by the deployment of increasing amounts of intermittent renewable energy resources. In addition to their fuel flexibility, high efficiency, scalability, and long-term cost outlook, reversible (regenerative) solid oxide cell (rSOC) systems have the potential for round-trip efficiencies competitive with the other available energy storage technologies. Accordingly, the focus of the current study is to investigate modeling methods for high temperature rSOCs in order to facilitate future endeavors related to establishing optimal operating conditions and system designs. Previously developed solid oxide fuel cell (SOFC) and solid-oxide electrolytic cell (SOEC) models are integrated to form a general rSOC model. The model is first calibrated and validated based on the available experimental data in the extant literature. The validation results show that the fitting parameters extracted from the calibration study can precisely simulate the cell behavior under various operating conditions. The effects of key operating parameters, such as temperature, gas composition and fuel utilization, on the voltage–current density performance characteristic and thermoneutral voltage are then investigated. It is also observed that the total electrochemical losses of the cell can be significantly different in each operating mode (fuel cell and electrolyzing) under certain operating conditions. Advantages of pressurized operation on thermal management are also discussed.","container-title":"International Journal of Hydrogen Energy","DOI":"10.1016/j.ijhydene.2014.01.186","ISSN":"0360-3199","issue":"11","journalAbbreviation":"International Journal of Hydrogen Energy","page":"5955-5971","source":"ScienceDirect","title":"Model validation and performance analysis of regenerative solid oxide cells for energy storage applications: Reversible operation","title-short":"Model validation and performance analysis of regenerative solid oxide cells for energy storage applications","volume":"39","author":[{"family":"Kazempoor","given":"P."},{"family":"Braun","given":"R. J."}],"issued":{"date-parts":[["2014",4,4]]}}}],"schema":"https://github.com/citation-style-language/schema/raw/master/csl-citation.json"} </w:instrText>
      </w:r>
      <w:r>
        <w:fldChar w:fldCharType="separate"/>
      </w:r>
      <w:r w:rsidR="000B673D" w:rsidRPr="000B673D">
        <w:rPr>
          <w:rFonts w:ascii="Aptos" w:hAnsi="Aptos" w:cs="Times New Roman"/>
          <w:kern w:val="0"/>
        </w:rPr>
        <w:t>[77], [78]</w:t>
      </w:r>
      <w:r>
        <w:fldChar w:fldCharType="end"/>
      </w:r>
      <w:r>
        <w:t xml:space="preserve">. Unlike the ohmic and activation overpotentials which have clearly defined methods of calculation, the concentration overpotential has been calculated using several different methods. Liu et al. performed a study aiming to mitigate the diffusion losses in PCFCs, particularly at low temperatures </w:t>
      </w:r>
      <w:r>
        <w:fldChar w:fldCharType="begin"/>
      </w:r>
      <w:r w:rsidR="00CA7A9D">
        <w:instrText xml:space="preserve"> ADDIN ZOTERO_ITEM CSL_CITATION {"citationID":"ap433vq6tj","properties":{"formattedCitation":"[33]","plainCitation":"[33]","noteIndex":0},"citationItems":[{"id":591,"uris":["http://zotero.org/users/12063231/items/BE5BSF4A"],"itemData":{"id":591,"type":"article-journal","abstract":"The typically high temperatures (≥500</w:instrText>
      </w:r>
      <w:r w:rsidR="00CA7A9D">
        <w:rPr>
          <w:rFonts w:ascii="Arial" w:hAnsi="Arial" w:cs="Arial"/>
        </w:rPr>
        <w:instrText> </w:instrText>
      </w:r>
      <w:r w:rsidR="00CA7A9D">
        <w:rPr>
          <w:rFonts w:ascii="Aptos" w:hAnsi="Aptos" w:cs="Aptos"/>
        </w:rPr>
        <w:instrText>°</w:instrText>
      </w:r>
      <w:r w:rsidR="00CA7A9D">
        <w:instrText>C) at which ceramic electrochemical cells operate place constraints on device materials and construction. Here Liu and colleagues design reversible proton-conducting electrochemical cells that can operate with high performance at temperatures of 450</w:instrText>
      </w:r>
      <w:r w:rsidR="00CA7A9D">
        <w:rPr>
          <w:rFonts w:ascii="Arial" w:hAnsi="Arial" w:cs="Arial"/>
        </w:rPr>
        <w:instrText> </w:instrText>
      </w:r>
      <w:r w:rsidR="00CA7A9D">
        <w:rPr>
          <w:rFonts w:ascii="Aptos" w:hAnsi="Aptos" w:cs="Aptos"/>
        </w:rPr>
        <w:instrText>°</w:instrText>
      </w:r>
      <w:r w:rsidR="00CA7A9D">
        <w:instrText xml:space="preserve">C and below.","container-title":"Nature Energy","DOI":"10.1038/s41560-023-01350-4","ISSN":"2058-7546","issue":"10","journalAbbreviation":"Nat Energy","language":"en","license":"2023 The Author(s), under exclusive licence to Springer Nature Limited","note":"number: 10\npublisher: Nature Publishing Group","page":"1145-1157","source":"www.nature.com","title":"Lowering the operating temperature of protonic ceramic electrochemical cells to &lt;450 </w:instrText>
      </w:r>
      <w:r w:rsidR="00CA7A9D">
        <w:rPr>
          <w:rFonts w:ascii="Aptos" w:hAnsi="Aptos" w:cs="Aptos"/>
        </w:rPr>
        <w:instrText>°</w:instrText>
      </w:r>
      <w:r w:rsidR="00CA7A9D">
        <w:instrText xml:space="preserve">C","volume":"8","author":[{"family":"Liu","given":"Fan"},{"family":"Deng","given":"Hao"},{"family":"Diercks","given":"David"},{"family":"Kumar","given":"Praveen"},{"family":"Jabbar","given":"Mohammed Hussain Abdul"},{"family":"Gumeci","given":"Cenk"},{"family":"Furuya","given":"Yoshihisa"},{"family":"Dale","given":"Nilesh"},{"family":"Oku","given":"Takanori"},{"family":"Usuda","given":"Masahiro"},{"family":"Kazempoor","given":"Pejman"},{"family":"Fang","given":"Liyang"},{"family":"Chen","given":"Di"},{"family":"Liu","given":"Bin"},{"family":"Duan","given":"Chuancheng"}],"issued":{"date-parts":[["2023",10]]}}}],"schema":"https://github.com/citation-style-language/schema/raw/master/csl-citation.json"} </w:instrText>
      </w:r>
      <w:r>
        <w:fldChar w:fldCharType="separate"/>
      </w:r>
      <w:r w:rsidR="00CA7A9D" w:rsidRPr="00CA7A9D">
        <w:rPr>
          <w:rFonts w:ascii="Aptos" w:hAnsi="Aptos"/>
        </w:rPr>
        <w:t>[33]</w:t>
      </w:r>
      <w:r>
        <w:fldChar w:fldCharType="end"/>
      </w:r>
      <w:r>
        <w:t xml:space="preserve">. The ceramics used in PCFCs require high temperatures to effectively act as ionic conductors, so the diffusion polarization becomes a greater problem the lower the temperature. The reigning strategy in mitigating this loss is to decrease the thickness of the electrolyte as much as possible while still maintaining effectiveness and full coverage across the active surface </w:t>
      </w:r>
      <w:r>
        <w:fldChar w:fldCharType="begin"/>
      </w:r>
      <w:r w:rsidR="00CA7A9D">
        <w:instrText xml:space="preserve"> ADDIN ZOTERO_ITEM CSL_CITATION {"citationID":"a174m88k3di","properties":{"formattedCitation":"[33]","plainCitation":"[33]","noteIndex":0},"citationItems":[{"id":591,"uris":["http://zotero.org/users/12063231/items/BE5BSF4A"],"itemData":{"id":591,"type":"article-journal","abstract":"The typically high temperatures (≥500</w:instrText>
      </w:r>
      <w:r w:rsidR="00CA7A9D">
        <w:rPr>
          <w:rFonts w:ascii="Arial" w:hAnsi="Arial" w:cs="Arial"/>
        </w:rPr>
        <w:instrText> </w:instrText>
      </w:r>
      <w:r w:rsidR="00CA7A9D">
        <w:rPr>
          <w:rFonts w:ascii="Aptos" w:hAnsi="Aptos" w:cs="Aptos"/>
        </w:rPr>
        <w:instrText>°</w:instrText>
      </w:r>
      <w:r w:rsidR="00CA7A9D">
        <w:instrText>C) at which ceramic electrochemical cells operate place constraints on device materials and construction. Here Liu and colleagues design reversible proton-conducting electrochemical cells that can operate with high performance at temperatures of 450</w:instrText>
      </w:r>
      <w:r w:rsidR="00CA7A9D">
        <w:rPr>
          <w:rFonts w:ascii="Arial" w:hAnsi="Arial" w:cs="Arial"/>
        </w:rPr>
        <w:instrText> </w:instrText>
      </w:r>
      <w:r w:rsidR="00CA7A9D">
        <w:rPr>
          <w:rFonts w:ascii="Aptos" w:hAnsi="Aptos" w:cs="Aptos"/>
        </w:rPr>
        <w:instrText>°</w:instrText>
      </w:r>
      <w:r w:rsidR="00CA7A9D">
        <w:instrText xml:space="preserve">C and below.","container-title":"Nature Energy","DOI":"10.1038/s41560-023-01350-4","ISSN":"2058-7546","issue":"10","journalAbbreviation":"Nat Energy","language":"en","license":"2023 The Author(s), under exclusive licence to Springer Nature Limited","note":"number: 10\npublisher: Nature Publishing Group","page":"1145-1157","source":"www.nature.com","title":"Lowering the operating temperature of protonic ceramic electrochemical cells to &lt;450 </w:instrText>
      </w:r>
      <w:r w:rsidR="00CA7A9D">
        <w:rPr>
          <w:rFonts w:ascii="Aptos" w:hAnsi="Aptos" w:cs="Aptos"/>
        </w:rPr>
        <w:instrText>°</w:instrText>
      </w:r>
      <w:r w:rsidR="00CA7A9D">
        <w:instrText xml:space="preserve">C","volume":"8","author":[{"family":"Liu","given":"Fan"},{"family":"Deng","given":"Hao"},{"family":"Diercks","given":"David"},{"family":"Kumar","given":"Praveen"},{"family":"Jabbar","given":"Mohammed Hussain Abdul"},{"family":"Gumeci","given":"Cenk"},{"family":"Furuya","given":"Yoshihisa"},{"family":"Dale","given":"Nilesh"},{"family":"Oku","given":"Takanori"},{"family":"Usuda","given":"Masahiro"},{"family":"Kazempoor","given":"Pejman"},{"family":"Fang","given":"Liyang"},{"family":"Chen","given":"Di"},{"family":"Liu","given":"Bin"},{"family":"Duan","given":"Chuancheng"}],"issued":{"date-parts":[["2023",10]]}}}],"schema":"https://github.com/citation-style-language/schema/raw/master/csl-citation.json"} </w:instrText>
      </w:r>
      <w:r>
        <w:fldChar w:fldCharType="separate"/>
      </w:r>
      <w:r w:rsidR="00CA7A9D" w:rsidRPr="00CA7A9D">
        <w:rPr>
          <w:rFonts w:ascii="Aptos" w:hAnsi="Aptos"/>
        </w:rPr>
        <w:t>[33]</w:t>
      </w:r>
      <w:r>
        <w:fldChar w:fldCharType="end"/>
      </w:r>
      <w:r>
        <w:t>.</w:t>
      </w:r>
    </w:p>
    <w:p w14:paraId="3DD3E6D5" w14:textId="5BB8828C" w:rsidR="00A93D24" w:rsidRDefault="00A93D24" w:rsidP="00A93D24">
      <w:r>
        <w:t xml:space="preserve">The approach to calculating the concentration overpotential in this study closely resembles the approach taken by Aguiar et al from 2004 </w:t>
      </w:r>
      <w:r>
        <w:fldChar w:fldCharType="begin"/>
      </w:r>
      <w:r w:rsidR="00CA7A9D">
        <w:instrText xml:space="preserve"> ADDIN ZOTERO_ITEM CSL_CITATION {"citationID":"a2hk91npo4m","properties":{"formattedCitation":"[91]","plainCitation":"[91]","noteIndex":0},"citationItems":[{"id":789,"uris":["http://zotero.org/users/12063231/items/RYA57UQY"],"itemData":{"id":789,"type":"article-journal","abstract":"Mathematical modelling is an essential tool for the design of solid oxide fuel cells (SOFCs). The present paper aims to report on the development of a dynamic anode-supported intermediate temperature direct internal reforming planar solid oxide fuel cell stack model, that allows for both co-flow and counter-flow operation. The developed model consists of mass and energy balances, and an electrochemical model that relates the fuel and air gas composition and temperature to voltage, current density, and other relevant fuel cell variables. The electrochemical performance of the cell is analysed for several temperatures and fuel utilisations, by means of the voltage and power density versus current density curves. The steady-state performance of the cell and the impact of changes in fuel and air inlet temperatures, fuel utilisation, average current density, and flow configuration are studied. For a co-flow SOFC operating on a 10% pre-reformed methane fuel mixture with 75% fuel utilisation, inlet fuel and air temperatures of 1023K, average current density of 0.5Acm−2, and an air ratio of 8.5, an output voltage of 0.66V with a power density of 0.33Wcm−2 and a fuel efficiency of 47%, are predicted. It was found that cathode activation overpotentials represent the major source of voltage loss, followed by anode activation overpotentials and ohmic losses. For the same operating conditions, SOFC operation under counter-flow of the fuel and air gas streams has been shown to lead to steep temperature gradients and uneven current density distributions.","container-title":"Journal of Power Sources","DOI":"10.1016/j.jpowsour.2004.06.040","ISSN":"0378-7753","issue":"1","journalAbbreviation":"Journal of Power Sources","page":"120-136","source":"ScienceDirect","title":"Anode-supported intermediate temperature direct internal reforming solid oxide fuel cell. I: model-based steady-state performance","title-short":"Anode-supported intermediate temperature direct internal reforming solid oxide fuel cell. I","volume":"138","author":[{"family":"Aguiar","given":"P."},{"family":"Adjiman","given":"C. S."},{"family":"Brandon","given":"N. P."}],"issued":{"date-parts":[["2004",11,15]]}}}],"schema":"https://github.com/citation-style-language/schema/raw/master/csl-citation.json"} </w:instrText>
      </w:r>
      <w:r>
        <w:fldChar w:fldCharType="separate"/>
      </w:r>
      <w:r w:rsidR="00CA7A9D" w:rsidRPr="00CA7A9D">
        <w:rPr>
          <w:rFonts w:ascii="Aptos" w:hAnsi="Aptos"/>
        </w:rPr>
        <w:t>[91]</w:t>
      </w:r>
      <w:r>
        <w:fldChar w:fldCharType="end"/>
      </w:r>
      <w:r>
        <w:t>. Aguiar’s study modelled a SOFC and factored in the losses from both the cathode and the anode in one equation. The approach calls for first estimating the adjusted partial pressure (or concentration) of the electrochemical reacting species at the triple phase boundary reaction site. Adjusting his system to a PCFC model, these concentrations are calculated by:</w:t>
      </w:r>
    </w:p>
    <w:p w14:paraId="054B5432" w14:textId="77777777" w:rsidR="00A93D24" w:rsidRPr="0014551B" w:rsidRDefault="00924E48" w:rsidP="00A93D24">
      <w:pPr>
        <w:jc w:val="right"/>
        <w:rPr>
          <w:rFonts w:eastAsiaTheme="minorEastAsia"/>
        </w:rPr>
      </w:pPr>
      <m:oMath>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m:t>
            </m:r>
            <m:r>
              <w:rPr>
                <w:rFonts w:ascii="Cambria Math" w:hAnsi="Cambria Math"/>
              </w:rPr>
              <m:t>TPB</m:t>
            </m:r>
          </m:sub>
        </m:sSub>
        <m:r>
          <w:rPr>
            <w:rFonts w:ascii="Cambria Math" w:hAnsi="Cambria Math"/>
          </w:rPr>
          <m:t>=</m:t>
        </m:r>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O</m:t>
                </m:r>
              </m:e>
              <m:sub>
                <m:r>
                  <w:rPr>
                    <w:rFonts w:ascii="Cambria Math" w:hAnsi="Cambria Math"/>
                  </w:rPr>
                  <m:t>2</m:t>
                </m:r>
              </m:sub>
            </m:sSub>
          </m:sub>
        </m:sSub>
        <m:r>
          <w:rPr>
            <w:rFonts w:ascii="Cambria Math" w:hAnsi="Cambria Math"/>
          </w:rPr>
          <m:t>-</m:t>
        </m:r>
        <m:f>
          <m:fPr>
            <m:ctrlPr>
              <w:rPr>
                <w:rFonts w:ascii="Cambria Math" w:hAnsi="Cambria Math"/>
                <w:i/>
              </w:rPr>
            </m:ctrlPr>
          </m:fPr>
          <m:num>
            <m:r>
              <w:rPr>
                <w:rFonts w:ascii="Cambria Math" w:hAnsi="Cambria Math"/>
              </w:rPr>
              <m:t>R</m:t>
            </m:r>
            <m:sSub>
              <m:sSubPr>
                <m:ctrlPr>
                  <w:rPr>
                    <w:rFonts w:ascii="Cambria Math" w:hAnsi="Cambria Math"/>
                    <w:i/>
                  </w:rPr>
                </m:ctrlPr>
              </m:sSubPr>
              <m:e>
                <m:r>
                  <w:rPr>
                    <w:rFonts w:ascii="Cambria Math" w:hAnsi="Cambria Math"/>
                  </w:rPr>
                  <m:t>T</m:t>
                </m:r>
              </m:e>
              <m:sub>
                <m:r>
                  <w:rPr>
                    <w:rFonts w:ascii="Cambria Math" w:hAnsi="Cambria Math"/>
                  </w:rPr>
                  <m:t>PEN</m:t>
                </m:r>
              </m:sub>
            </m:sSub>
            <m:sSub>
              <m:sSubPr>
                <m:ctrlPr>
                  <w:rPr>
                    <w:rFonts w:ascii="Cambria Math" w:hAnsi="Cambria Math"/>
                    <w:i/>
                  </w:rPr>
                </m:ctrlPr>
              </m:sSubPr>
              <m:e>
                <m:r>
                  <w:rPr>
                    <w:rFonts w:ascii="Cambria Math" w:hAnsi="Cambria Math"/>
                  </w:rPr>
                  <m:t>τ</m:t>
                </m:r>
              </m:e>
              <m:sub>
                <m:r>
                  <w:rPr>
                    <w:rFonts w:ascii="Cambria Math" w:hAnsi="Cambria Math"/>
                  </w:rPr>
                  <m:t>ca</m:t>
                </m:r>
              </m:sub>
            </m:sSub>
          </m:num>
          <m:den>
            <m:r>
              <w:rPr>
                <w:rFonts w:ascii="Cambria Math" w:hAnsi="Cambria Math"/>
              </w:rPr>
              <m:t>4</m:t>
            </m:r>
            <m:r>
              <w:rPr>
                <w:rFonts w:ascii="Cambria Math" w:hAnsi="Cambria Math"/>
              </w:rPr>
              <m:t>F</m:t>
            </m:r>
            <m:sSub>
              <m:sSubPr>
                <m:ctrlPr>
                  <w:rPr>
                    <w:rFonts w:ascii="Cambria Math" w:hAnsi="Cambria Math"/>
                    <w:i/>
                  </w:rPr>
                </m:ctrlPr>
              </m:sSubPr>
              <m:e>
                <m:r>
                  <w:rPr>
                    <w:rFonts w:ascii="Cambria Math" w:hAnsi="Cambria Math"/>
                  </w:rPr>
                  <m:t>D</m:t>
                </m:r>
              </m:e>
              <m:sub>
                <m:r>
                  <w:rPr>
                    <w:rFonts w:ascii="Cambria Math" w:hAnsi="Cambria Math"/>
                  </w:rPr>
                  <m:t>ca</m:t>
                </m:r>
              </m:sub>
            </m:sSub>
          </m:den>
        </m:f>
        <m:sSub>
          <m:sSubPr>
            <m:ctrlPr>
              <w:rPr>
                <w:rFonts w:ascii="Cambria Math" w:hAnsi="Cambria Math"/>
                <w:i/>
              </w:rPr>
            </m:ctrlPr>
          </m:sSubPr>
          <m:e>
            <m:r>
              <w:rPr>
                <w:rFonts w:ascii="Cambria Math" w:hAnsi="Cambria Math"/>
              </w:rPr>
              <m:t>j</m:t>
            </m:r>
          </m:e>
          <m:sub>
            <m:r>
              <w:rPr>
                <w:rFonts w:ascii="Cambria Math" w:hAnsi="Cambria Math"/>
              </w:rPr>
              <m:t>cell</m:t>
            </m:r>
          </m:sub>
        </m:sSub>
      </m:oMath>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t>(3.34)</w:t>
      </w:r>
    </w:p>
    <w:p w14:paraId="35E9BB56" w14:textId="77777777" w:rsidR="00A93D24" w:rsidRPr="006F5115" w:rsidRDefault="00924E48" w:rsidP="00A93D24">
      <w:pPr>
        <w:jc w:val="right"/>
        <w:rPr>
          <w:rFonts w:eastAsiaTheme="minorEastAsia"/>
        </w:rPr>
      </w:pPr>
      <m:oMath>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r>
              <w:rPr>
                <w:rFonts w:ascii="Cambria Math" w:hAnsi="Cambria Math"/>
              </w:rPr>
              <m:t>,</m:t>
            </m:r>
            <m:r>
              <w:rPr>
                <w:rFonts w:ascii="Cambria Math" w:hAnsi="Cambria Math"/>
              </w:rPr>
              <m:t>TPB</m:t>
            </m:r>
          </m:sub>
        </m:sSub>
        <m:r>
          <w:rPr>
            <w:rFonts w:ascii="Cambria Math" w:hAnsi="Cambria Math"/>
          </w:rPr>
          <m:t>=</m:t>
        </m:r>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sub>
        </m:sSub>
        <m:r>
          <w:rPr>
            <w:rFonts w:ascii="Cambria Math" w:hAnsi="Cambria Math"/>
          </w:rPr>
          <m:t>+</m:t>
        </m:r>
        <m:f>
          <m:fPr>
            <m:ctrlPr>
              <w:rPr>
                <w:rFonts w:ascii="Cambria Math" w:hAnsi="Cambria Math"/>
                <w:i/>
              </w:rPr>
            </m:ctrlPr>
          </m:fPr>
          <m:num>
            <m:r>
              <w:rPr>
                <w:rFonts w:ascii="Cambria Math" w:hAnsi="Cambria Math"/>
              </w:rPr>
              <m:t>R</m:t>
            </m:r>
            <m:sSub>
              <m:sSubPr>
                <m:ctrlPr>
                  <w:rPr>
                    <w:rFonts w:ascii="Cambria Math" w:hAnsi="Cambria Math"/>
                    <w:i/>
                  </w:rPr>
                </m:ctrlPr>
              </m:sSubPr>
              <m:e>
                <m:r>
                  <w:rPr>
                    <w:rFonts w:ascii="Cambria Math" w:hAnsi="Cambria Math"/>
                  </w:rPr>
                  <m:t>T</m:t>
                </m:r>
              </m:e>
              <m:sub>
                <m:r>
                  <w:rPr>
                    <w:rFonts w:ascii="Cambria Math" w:hAnsi="Cambria Math"/>
                  </w:rPr>
                  <m:t>PEN</m:t>
                </m:r>
              </m:sub>
            </m:sSub>
            <m:sSub>
              <m:sSubPr>
                <m:ctrlPr>
                  <w:rPr>
                    <w:rFonts w:ascii="Cambria Math" w:hAnsi="Cambria Math"/>
                    <w:i/>
                  </w:rPr>
                </m:ctrlPr>
              </m:sSubPr>
              <m:e>
                <m:r>
                  <w:rPr>
                    <w:rFonts w:ascii="Cambria Math" w:hAnsi="Cambria Math"/>
                  </w:rPr>
                  <m:t>τ</m:t>
                </m:r>
              </m:e>
              <m:sub>
                <m:r>
                  <w:rPr>
                    <w:rFonts w:ascii="Cambria Math" w:hAnsi="Cambria Math"/>
                  </w:rPr>
                  <m:t>ca</m:t>
                </m:r>
              </m:sub>
            </m:sSub>
          </m:num>
          <m:den>
            <m:r>
              <w:rPr>
                <w:rFonts w:ascii="Cambria Math" w:hAnsi="Cambria Math"/>
              </w:rPr>
              <m:t>2</m:t>
            </m:r>
            <m:r>
              <w:rPr>
                <w:rFonts w:ascii="Cambria Math" w:hAnsi="Cambria Math"/>
              </w:rPr>
              <m:t>F</m:t>
            </m:r>
            <m:sSub>
              <m:sSubPr>
                <m:ctrlPr>
                  <w:rPr>
                    <w:rFonts w:ascii="Cambria Math" w:hAnsi="Cambria Math"/>
                    <w:i/>
                  </w:rPr>
                </m:ctrlPr>
              </m:sSubPr>
              <m:e>
                <m:r>
                  <w:rPr>
                    <w:rFonts w:ascii="Cambria Math" w:hAnsi="Cambria Math"/>
                  </w:rPr>
                  <m:t>D</m:t>
                </m:r>
              </m:e>
              <m:sub>
                <m:r>
                  <w:rPr>
                    <w:rFonts w:ascii="Cambria Math" w:hAnsi="Cambria Math"/>
                  </w:rPr>
                  <m:t>ca</m:t>
                </m:r>
              </m:sub>
            </m:sSub>
          </m:den>
        </m:f>
        <m:sSub>
          <m:sSubPr>
            <m:ctrlPr>
              <w:rPr>
                <w:rFonts w:ascii="Cambria Math" w:hAnsi="Cambria Math"/>
                <w:i/>
              </w:rPr>
            </m:ctrlPr>
          </m:sSubPr>
          <m:e>
            <m:r>
              <w:rPr>
                <w:rFonts w:ascii="Cambria Math" w:hAnsi="Cambria Math"/>
              </w:rPr>
              <m:t>j</m:t>
            </m:r>
          </m:e>
          <m:sub>
            <m:r>
              <w:rPr>
                <w:rFonts w:ascii="Cambria Math" w:hAnsi="Cambria Math"/>
              </w:rPr>
              <m:t>cell</m:t>
            </m:r>
          </m:sub>
        </m:sSub>
      </m:oMath>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t>(3.35)</w:t>
      </w:r>
    </w:p>
    <w:p w14:paraId="62C49C6B" w14:textId="77777777" w:rsidR="00A93D24" w:rsidRPr="009F50B6" w:rsidRDefault="00924E48" w:rsidP="00A93D24">
      <w:pPr>
        <w:jc w:val="right"/>
        <w:rPr>
          <w:rFonts w:eastAsiaTheme="minorEastAsia"/>
        </w:rPr>
      </w:pPr>
      <m:oMath>
        <m:sSub>
          <m:sSubPr>
            <m:ctrlPr>
              <w:rPr>
                <w:rFonts w:ascii="Cambria Math" w:eastAsiaTheme="minorEastAsia" w:hAnsi="Cambria Math"/>
                <w:i/>
              </w:rPr>
            </m:ctrlPr>
          </m:sSubPr>
          <m:e>
            <m:r>
              <w:rPr>
                <w:rFonts w:ascii="Cambria Math" w:eastAsiaTheme="minorEastAsia" w:hAnsi="Cambria Math"/>
              </w:rPr>
              <m:t>P</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m:t>
            </m:r>
            <m:r>
              <w:rPr>
                <w:rFonts w:ascii="Cambria Math" w:eastAsiaTheme="minorEastAsia" w:hAnsi="Cambria Math"/>
              </w:rPr>
              <m:t>TPB</m:t>
            </m:r>
          </m:sub>
        </m:sSub>
        <m:r>
          <w:rPr>
            <w:rFonts w:ascii="Cambria Math" w:eastAsiaTheme="minorEastAsia" w:hAnsi="Cambria Math"/>
          </w:rPr>
          <m:t>=</m:t>
        </m:r>
        <m:r>
          <w:rPr>
            <w:rFonts w:ascii="Cambria Math" w:eastAsiaTheme="minorEastAsia" w:hAnsi="Cambria Math"/>
          </w:rPr>
          <m:t>P</m:t>
        </m:r>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P</m:t>
            </m:r>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sub>
            </m:sSub>
          </m:e>
        </m:d>
        <m:func>
          <m:funcPr>
            <m:ctrlPr>
              <w:rPr>
                <w:rFonts w:ascii="Cambria Math" w:eastAsiaTheme="minorEastAsia" w:hAnsi="Cambria Math"/>
                <w:i/>
              </w:rPr>
            </m:ctrlPr>
          </m:funcPr>
          <m:fName>
            <m:r>
              <m:rPr>
                <m:sty m:val="p"/>
              </m:rPr>
              <w:rPr>
                <w:rFonts w:ascii="Cambria Math" w:eastAsiaTheme="minorEastAsia" w:hAnsi="Cambria Math"/>
              </w:rPr>
              <m:t>exp</m:t>
            </m:r>
          </m:fName>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R</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m:t>
                        </m:r>
                      </m:sub>
                    </m:sSub>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an</m:t>
                        </m:r>
                      </m:sub>
                    </m:sSub>
                  </m:num>
                  <m:den>
                    <m:r>
                      <w:rPr>
                        <w:rFonts w:ascii="Cambria Math" w:eastAsiaTheme="minorEastAsia" w:hAnsi="Cambria Math"/>
                      </w:rPr>
                      <m:t>2</m:t>
                    </m:r>
                    <m:r>
                      <w:rPr>
                        <w:rFonts w:ascii="Cambria Math" w:eastAsiaTheme="minorEastAsia" w:hAnsi="Cambria Math"/>
                      </w:rPr>
                      <m:t>F</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an</m:t>
                        </m:r>
                      </m:sub>
                    </m:sSub>
                    <m:r>
                      <w:rPr>
                        <w:rFonts w:ascii="Cambria Math" w:eastAsiaTheme="minorEastAsia" w:hAnsi="Cambria Math"/>
                      </w:rPr>
                      <m:t>P</m:t>
                    </m:r>
                  </m:den>
                </m:f>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cell</m:t>
                    </m:r>
                  </m:sub>
                </m:sSub>
              </m:e>
            </m:d>
          </m:e>
        </m:func>
      </m:oMath>
      <w:r w:rsidR="00A93D24">
        <w:rPr>
          <w:rFonts w:eastAsiaTheme="minorEastAsia"/>
        </w:rPr>
        <w:tab/>
      </w:r>
      <w:r w:rsidR="00A93D24">
        <w:rPr>
          <w:rFonts w:eastAsiaTheme="minorEastAsia"/>
        </w:rPr>
        <w:tab/>
      </w:r>
      <w:r w:rsidR="00A93D24">
        <w:rPr>
          <w:rFonts w:eastAsiaTheme="minorEastAsia"/>
        </w:rPr>
        <w:tab/>
        <w:t>(3.36)</w:t>
      </w:r>
    </w:p>
    <w:p w14:paraId="2BB1AE55" w14:textId="77777777" w:rsidR="00A93D24" w:rsidRDefault="00A93D24" w:rsidP="00A93D24">
      <w:pPr>
        <w:ind w:firstLine="0"/>
        <w:rPr>
          <w:rFonts w:eastAsiaTheme="minorEastAsia"/>
        </w:rPr>
      </w:pPr>
      <w:r>
        <w:rPr>
          <w:rFonts w:eastAsiaTheme="minorEastAsia"/>
        </w:rPr>
        <w:t xml:space="preserve">where the </w:t>
      </w:r>
      <m:oMath>
        <m:r>
          <w:rPr>
            <w:rFonts w:ascii="Cambria Math" w:eastAsiaTheme="minorEastAsia" w:hAnsi="Cambria Math"/>
          </w:rPr>
          <m:t>TPB</m:t>
        </m:r>
      </m:oMath>
      <w:r>
        <w:rPr>
          <w:rFonts w:eastAsiaTheme="minorEastAsia"/>
        </w:rPr>
        <w:t xml:space="preserve"> subscript represents the partial pressure of the corresponding species at the triple phase boundary, </w:t>
      </w:r>
      <m:oMath>
        <m:r>
          <w:rPr>
            <w:rFonts w:ascii="Cambria Math" w:eastAsiaTheme="minorEastAsia" w:hAnsi="Cambria Math"/>
          </w:rPr>
          <m:t>P</m:t>
        </m:r>
      </m:oMath>
      <w:r>
        <w:rPr>
          <w:rFonts w:eastAsiaTheme="minorEastAsia"/>
        </w:rPr>
        <w:t xml:space="preserve"> represents the system pressure, </w:t>
      </w:r>
      <m:oMath>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an</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ca</m:t>
            </m:r>
          </m:sub>
        </m:sSub>
      </m:oMath>
      <w:r>
        <w:rPr>
          <w:rFonts w:eastAsiaTheme="minorEastAsia"/>
        </w:rPr>
        <w:t xml:space="preserve"> represent the thicknesses of the anode and cathode, and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an</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ca</m:t>
            </m:r>
          </m:sub>
        </m:sSub>
      </m:oMath>
      <w:r>
        <w:rPr>
          <w:rFonts w:eastAsiaTheme="minorEastAsia"/>
        </w:rPr>
        <w:t xml:space="preserve"> represent the diffusion coefficient of the cathode and anode materials, and </w:t>
      </w:r>
      <m:oMath>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cell</m:t>
            </m:r>
          </m:sub>
        </m:sSub>
      </m:oMath>
      <w:r>
        <w:rPr>
          <w:rFonts w:eastAsiaTheme="minorEastAsia"/>
        </w:rPr>
        <w:t xml:space="preserve"> represents the current density in </w:t>
      </w:r>
      <m:oMath>
        <m:f>
          <m:fPr>
            <m:ctrlPr>
              <w:rPr>
                <w:rFonts w:ascii="Cambria Math" w:eastAsiaTheme="minorEastAsia" w:hAnsi="Cambria Math"/>
                <w:i/>
              </w:rPr>
            </m:ctrlPr>
          </m:fPr>
          <m:num>
            <m:r>
              <w:rPr>
                <w:rFonts w:ascii="Cambria Math" w:eastAsiaTheme="minorEastAsia" w:hAnsi="Cambria Math"/>
              </w:rPr>
              <m:t>A</m:t>
            </m:r>
          </m:num>
          <m:den>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2</m:t>
                </m:r>
              </m:sup>
            </m:sSup>
          </m:den>
        </m:f>
      </m:oMath>
      <w:r>
        <w:rPr>
          <w:rFonts w:eastAsiaTheme="minorEastAsia"/>
        </w:rPr>
        <w:t>.</w:t>
      </w:r>
    </w:p>
    <w:p w14:paraId="5A79B736" w14:textId="34868307" w:rsidR="00A93D24" w:rsidRDefault="00A93D24" w:rsidP="00A93D24">
      <w:r>
        <w:t xml:space="preserve">With the TPB partial pressures calculated, the formula for the concentration overpotential can be adjusted to PCFC configuration from Aguiar’s work on SOFC models as follows </w:t>
      </w:r>
      <w:r>
        <w:fldChar w:fldCharType="begin"/>
      </w:r>
      <w:r w:rsidR="00CA7A9D">
        <w:instrText xml:space="preserve"> ADDIN ZOTERO_ITEM CSL_CITATION {"citationID":"a1lrhms1jil","properties":{"formattedCitation":"[91]","plainCitation":"[91]","noteIndex":0},"citationItems":[{"id":789,"uris":["http://zotero.org/users/12063231/items/RYA57UQY"],"itemData":{"id":789,"type":"article-journal","abstract":"Mathematical modelling is an essential tool for the design of solid oxide fuel cells (SOFCs). The present paper aims to report on the development of a dynamic anode-supported intermediate temperature direct internal reforming planar solid oxide fuel cell stack model, that allows for both co-flow and counter-flow operation. The developed model consists of mass and energy balances, and an electrochemical model that relates the fuel and air gas composition and temperature to voltage, current density, and other relevant fuel cell variables. The electrochemical performance of the cell is analysed for several temperatures and fuel utilisations, by means of the voltage and power density versus current density curves. The steady-state performance of the cell and the impact of changes in fuel and air inlet temperatures, fuel utilisation, average current density, and flow configuration are studied. For a co-flow SOFC operating on a 10% pre-reformed methane fuel mixture with 75% fuel utilisation, inlet fuel and air temperatures of 1023K, average current density of 0.5Acm−2, and an air ratio of 8.5, an output voltage of 0.66V with a power density of 0.33Wcm−2 and a fuel efficiency of 47%, are predicted. It was found that cathode activation overpotentials represent the major source of voltage loss, followed by anode activation overpotentials and ohmic losses. For the same operating conditions, SOFC operation under counter-flow of the fuel and air gas streams has been shown to lead to steep temperature gradients and uneven current density distributions.","container-title":"Journal of Power Sources","DOI":"10.1016/j.jpowsour.2004.06.040","ISSN":"0378-7753","issue":"1","journalAbbreviation":"Journal of Power Sources","page":"120-136","source":"ScienceDirect","title":"Anode-supported intermediate temperature direct internal reforming solid oxide fuel cell. I: model-based steady-state performance","title-short":"Anode-supported intermediate temperature direct internal reforming solid oxide fuel cell. I","volume":"138","author":[{"family":"Aguiar","given":"P."},{"family":"Adjiman","given":"C. S."},{"family":"Brandon","given":"N. P."}],"issued":{"date-parts":[["2004",11,15]]}}}],"schema":"https://github.com/citation-style-language/schema/raw/master/csl-citation.json"} </w:instrText>
      </w:r>
      <w:r>
        <w:fldChar w:fldCharType="separate"/>
      </w:r>
      <w:r w:rsidR="00CA7A9D" w:rsidRPr="00CA7A9D">
        <w:rPr>
          <w:rFonts w:ascii="Aptos" w:hAnsi="Aptos"/>
        </w:rPr>
        <w:t>[91]</w:t>
      </w:r>
      <w:r>
        <w:fldChar w:fldCharType="end"/>
      </w:r>
      <w:r>
        <w:t xml:space="preserve">: </w:t>
      </w:r>
    </w:p>
    <w:p w14:paraId="0A7685A3" w14:textId="77777777" w:rsidR="00A93D24" w:rsidRPr="00921EEE" w:rsidRDefault="00924E48" w:rsidP="00A93D24">
      <w:pPr>
        <w:jc w:val="right"/>
        <w:rPr>
          <w:rFonts w:eastAsiaTheme="minorEastAsia"/>
        </w:rPr>
      </w:pPr>
      <m:oMath>
        <m:sSub>
          <m:sSubPr>
            <m:ctrlPr>
              <w:rPr>
                <w:rFonts w:ascii="Cambria Math" w:hAnsi="Cambria Math"/>
                <w:i/>
              </w:rPr>
            </m:ctrlPr>
          </m:sSubPr>
          <m:e>
            <m:r>
              <w:rPr>
                <w:rFonts w:ascii="Cambria Math" w:hAnsi="Cambria Math"/>
              </w:rPr>
              <m:t>η</m:t>
            </m:r>
          </m:e>
          <m:sub>
            <m:r>
              <w:rPr>
                <w:rFonts w:ascii="Cambria Math" w:hAnsi="Cambria Math"/>
              </w:rPr>
              <m:t>conc</m:t>
            </m:r>
          </m:sub>
        </m:sSub>
        <m:r>
          <w:rPr>
            <w:rFonts w:ascii="Cambria Math" w:hAnsi="Cambria Math"/>
          </w:rPr>
          <m:t>=</m:t>
        </m:r>
        <m:f>
          <m:fPr>
            <m:ctrlPr>
              <w:rPr>
                <w:rFonts w:ascii="Cambria Math" w:hAnsi="Cambria Math"/>
                <w:i/>
              </w:rPr>
            </m:ctrlPr>
          </m:fPr>
          <m:num>
            <m:r>
              <w:rPr>
                <w:rFonts w:ascii="Cambria Math" w:hAnsi="Cambria Math"/>
              </w:rPr>
              <m:t>R</m:t>
            </m:r>
            <m:sSub>
              <m:sSubPr>
                <m:ctrlPr>
                  <w:rPr>
                    <w:rFonts w:ascii="Cambria Math" w:hAnsi="Cambria Math"/>
                    <w:i/>
                  </w:rPr>
                </m:ctrlPr>
              </m:sSubPr>
              <m:e>
                <m:r>
                  <w:rPr>
                    <w:rFonts w:ascii="Cambria Math" w:hAnsi="Cambria Math"/>
                  </w:rPr>
                  <m:t>T</m:t>
                </m:r>
              </m:e>
              <m:sub>
                <m:r>
                  <w:rPr>
                    <w:rFonts w:ascii="Cambria Math" w:hAnsi="Cambria Math"/>
                  </w:rPr>
                  <m:t>PEN</m:t>
                </m:r>
              </m:sub>
            </m:sSub>
          </m:num>
          <m:den>
            <m:r>
              <w:rPr>
                <w:rFonts w:ascii="Cambria Math" w:hAnsi="Cambria Math"/>
              </w:rPr>
              <m:t>2</m:t>
            </m:r>
            <m:r>
              <w:rPr>
                <w:rFonts w:ascii="Cambria Math" w:hAnsi="Cambria Math"/>
              </w:rPr>
              <m:t>F</m:t>
            </m:r>
          </m:den>
        </m:f>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H</m:t>
                            </m:r>
                          </m:e>
                          <m:sub>
                            <m:r>
                              <w:rPr>
                                <w:rFonts w:ascii="Cambria Math" w:hAnsi="Cambria Math"/>
                              </w:rPr>
                              <m:t>2</m:t>
                            </m:r>
                          </m:sub>
                        </m:sSub>
                      </m:sub>
                    </m:sSub>
                  </m:num>
                  <m:den>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m:t>
                        </m:r>
                        <m:r>
                          <w:rPr>
                            <w:rFonts w:ascii="Cambria Math" w:hAnsi="Cambria Math"/>
                          </w:rPr>
                          <m:t>TPB</m:t>
                        </m:r>
                      </m:sub>
                    </m:sSub>
                  </m:den>
                </m:f>
              </m:e>
            </m:d>
          </m:e>
        </m:func>
        <m:r>
          <w:rPr>
            <w:rFonts w:ascii="Cambria Math" w:hAnsi="Cambria Math"/>
          </w:rPr>
          <m:t>+</m:t>
        </m:r>
        <m:f>
          <m:fPr>
            <m:ctrlPr>
              <w:rPr>
                <w:rFonts w:ascii="Cambria Math" w:hAnsi="Cambria Math"/>
                <w:i/>
              </w:rPr>
            </m:ctrlPr>
          </m:fPr>
          <m:num>
            <m:r>
              <w:rPr>
                <w:rFonts w:ascii="Cambria Math" w:hAnsi="Cambria Math"/>
              </w:rPr>
              <m:t>R</m:t>
            </m:r>
            <m:sSub>
              <m:sSubPr>
                <m:ctrlPr>
                  <w:rPr>
                    <w:rFonts w:ascii="Cambria Math" w:hAnsi="Cambria Math"/>
                    <w:i/>
                  </w:rPr>
                </m:ctrlPr>
              </m:sSubPr>
              <m:e>
                <m:r>
                  <w:rPr>
                    <w:rFonts w:ascii="Cambria Math" w:hAnsi="Cambria Math"/>
                  </w:rPr>
                  <m:t>T</m:t>
                </m:r>
              </m:e>
              <m:sub>
                <m:r>
                  <w:rPr>
                    <w:rFonts w:ascii="Cambria Math" w:hAnsi="Cambria Math"/>
                  </w:rPr>
                  <m:t>PEN</m:t>
                </m:r>
              </m:sub>
            </m:sSub>
          </m:num>
          <m:den>
            <m:r>
              <w:rPr>
                <w:rFonts w:ascii="Cambria Math" w:hAnsi="Cambria Math"/>
              </w:rPr>
              <m:t>2</m:t>
            </m:r>
            <m:r>
              <w:rPr>
                <w:rFonts w:ascii="Cambria Math" w:hAnsi="Cambria Math"/>
              </w:rPr>
              <m:t>F</m:t>
            </m:r>
          </m:den>
        </m:f>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r>
                          <w:rPr>
                            <w:rFonts w:ascii="Cambria Math" w:hAnsi="Cambria Math"/>
                          </w:rPr>
                          <m:t>,</m:t>
                        </m:r>
                        <m:r>
                          <w:rPr>
                            <w:rFonts w:ascii="Cambria Math" w:hAnsi="Cambria Math"/>
                          </w:rPr>
                          <m:t>TPB</m:t>
                        </m:r>
                      </m:sub>
                    </m:sSub>
                    <m:sSubSup>
                      <m:sSubSupPr>
                        <m:ctrlPr>
                          <w:rPr>
                            <w:rFonts w:ascii="Cambria Math" w:hAnsi="Cambria Math"/>
                            <w:i/>
                          </w:rPr>
                        </m:ctrlPr>
                      </m:sSubSupPr>
                      <m:e>
                        <m:r>
                          <w:rPr>
                            <w:rFonts w:ascii="Cambria Math" w:hAnsi="Cambria Math"/>
                          </w:rPr>
                          <m:t>P</m:t>
                        </m:r>
                      </m:e>
                      <m:sub>
                        <m:sSub>
                          <m:sSubPr>
                            <m:ctrlPr>
                              <w:rPr>
                                <w:rFonts w:ascii="Cambria Math" w:hAnsi="Cambria Math"/>
                                <w:i/>
                              </w:rPr>
                            </m:ctrlPr>
                          </m:sSubPr>
                          <m:e>
                            <m:r>
                              <w:rPr>
                                <w:rFonts w:ascii="Cambria Math" w:hAnsi="Cambria Math"/>
                              </w:rPr>
                              <m:t>O</m:t>
                            </m:r>
                          </m:e>
                          <m:sub>
                            <m:r>
                              <w:rPr>
                                <w:rFonts w:ascii="Cambria Math" w:hAnsi="Cambria Math"/>
                              </w:rPr>
                              <m:t>2</m:t>
                            </m:r>
                          </m:sub>
                        </m:sSub>
                      </m:sub>
                      <m:sup>
                        <m:r>
                          <w:rPr>
                            <w:rFonts w:ascii="Cambria Math" w:hAnsi="Cambria Math"/>
                          </w:rPr>
                          <m:t>0.5</m:t>
                        </m:r>
                      </m:sup>
                    </m:sSubSup>
                  </m:num>
                  <m:den>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sub>
                    </m:sSub>
                    <m:sSubSup>
                      <m:sSubSupPr>
                        <m:ctrlPr>
                          <w:rPr>
                            <w:rFonts w:ascii="Cambria Math" w:hAnsi="Cambria Math"/>
                            <w:i/>
                          </w:rPr>
                        </m:ctrlPr>
                      </m:sSubSupPr>
                      <m:e>
                        <m:r>
                          <w:rPr>
                            <w:rFonts w:ascii="Cambria Math" w:hAnsi="Cambria Math"/>
                          </w:rPr>
                          <m:t>P</m:t>
                        </m:r>
                      </m:e>
                      <m:sub>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m:t>
                        </m:r>
                        <m:r>
                          <w:rPr>
                            <w:rFonts w:ascii="Cambria Math" w:hAnsi="Cambria Math"/>
                          </w:rPr>
                          <m:t>TPB</m:t>
                        </m:r>
                      </m:sub>
                      <m:sup>
                        <m:r>
                          <w:rPr>
                            <w:rFonts w:ascii="Cambria Math" w:hAnsi="Cambria Math"/>
                          </w:rPr>
                          <m:t>0.5</m:t>
                        </m:r>
                      </m:sup>
                    </m:sSubSup>
                  </m:den>
                </m:f>
              </m:e>
            </m:d>
          </m:e>
        </m:func>
      </m:oMath>
      <w:r w:rsidR="00A93D24">
        <w:rPr>
          <w:rFonts w:eastAsiaTheme="minorEastAsia"/>
        </w:rPr>
        <w:tab/>
      </w:r>
      <w:r w:rsidR="00A93D24">
        <w:rPr>
          <w:rFonts w:eastAsiaTheme="minorEastAsia"/>
        </w:rPr>
        <w:tab/>
        <w:t>(3.37)</w:t>
      </w:r>
    </w:p>
    <w:p w14:paraId="7FF16AB8" w14:textId="5AA619B1" w:rsidR="00A93D24" w:rsidRDefault="00A93D24" w:rsidP="00A93D24">
      <w:pPr>
        <w:rPr>
          <w:rFonts w:eastAsiaTheme="minorEastAsia"/>
        </w:rPr>
      </w:pPr>
      <w:r>
        <w:rPr>
          <w:rFonts w:eastAsiaTheme="minorEastAsia"/>
        </w:rPr>
        <w:t xml:space="preserve">In the concentration formula, the left side of the equation represents the overpotential due to the anode, while the left side of the equation represents overpotential due to the cathode. In the calculation of the concentration overpotential, the diffusion coefficients become extremely important, regardless of the chosen method of calculation </w:t>
      </w:r>
      <w:r>
        <w:rPr>
          <w:rFonts w:eastAsiaTheme="minorEastAsia"/>
        </w:rPr>
        <w:fldChar w:fldCharType="begin"/>
      </w:r>
      <w:r w:rsidR="00CA7A9D">
        <w:rPr>
          <w:rFonts w:eastAsiaTheme="minorEastAsia"/>
        </w:rPr>
        <w:instrText xml:space="preserve"> ADDIN ZOTERO_ITEM CSL_CITATION {"citationID":"aprdu8joqh","properties":{"formattedCitation":"[11], [88], [89], [92]","plainCitation":"[11], [88], [89], [92]","noteIndex":0},"citationItems":[{"id":4,"uris":["http://zotero.org/users/12063231/items/Y7QLHNM7"],"itemData":{"id":4,"type":"article-journal","abstract":"The fabrication of high-performance protonic ceramic fuel cells (PCFCs) and the accurate evaluation of their energy efficiency remain challenging because of electron–hole leakage. By combining an established numerical method with experiments, we developed high-performance chemically stable Ce-free PCFCs with a BaZr0.8Yb0.2O3−δ electrolyte that perform comparably to first-tier PCFCs, which typically employ Ce-containing electrolytes. To the best of our knowledge, this study is the first to numerically reproduce experimental performance over a wide range of temperatures, electrolyte thicknesses, and current densities. Importantly, our study can accurately predict the ultra-elevated performance of cells under different conditions without the need for conducting additional experiments (e.g., &gt; 3.0 W·cm−2 power density or &gt; 70% lower heating value energy efficiency)","container-title":"Energy Conversion and Management","DOI":"10.1016/j.enconman.2023.117678","ISSN":"0196-8904","journalAbbreviation":"Energy Conversion and Management","page":"117678","source":"ScienceDirect","title":"Ultra-elevated power density and high energy efficiency of protonic ceramic fuel cells: Numerical and experimental results","title-short":"Ultra-elevated power density and high energy efficiency of protonic ceramic fuel cells","volume":"296","author":[{"family":"Li","given":"Kunpeng"},{"family":"Shimada","given":"Hiroyuki"},{"family":"Mizutani","given":"Yasunobu"},{"family":"Okuyama","given":"Yuji"},{"family":"Araki","given":"Takuto"}],"issued":{"date-parts":[["2023",11,15]]}}},{"id":197,"uris":["http://zotero.org/users/12063231/items/DQWPZNMK"],"itemData":{"id":197,"type":"article-journal","abstract":"Proton-conducting oxides are a class of solid-state ion-conducting ceramic materials that demonstrate significant hydrogen ion (proton) conductivity at intermediate temperatures (e.g., 300–700</w:instrText>
      </w:r>
      <w:r w:rsidR="00CA7A9D">
        <w:rPr>
          <w:rFonts w:ascii="Arial" w:eastAsiaTheme="minorEastAsia" w:hAnsi="Arial" w:cs="Arial"/>
        </w:rPr>
        <w:instrText> </w:instrText>
      </w:r>
      <w:r w:rsidR="00CA7A9D">
        <w:rPr>
          <w:rFonts w:ascii="Aptos" w:eastAsiaTheme="minorEastAsia" w:hAnsi="Aptos" w:cs="Aptos"/>
        </w:rPr>
        <w:instrText>°</w:instrText>
      </w:r>
      <w:r w:rsidR="00CA7A9D">
        <w:rPr>
          <w:rFonts w:eastAsiaTheme="minorEastAsia"/>
        </w:rPr>
        <w:instrText xml:space="preserve">C). They are garnering significant attention due to several unique characteristics that distinguish them from both higher temperature oxygen ion conducting oxides and lower temperature proton-conducting polymers. By enabling proton-mediated electrochemistry under both dry and wet environments at moderate temperatures, protonic ceramics provide unique opportunities to enhance or synergize a diverse range of complementary electrochemical and thermochemical processes. Because of this potential, significant efforts have been devoted to advancing numerous energy-related applications using these materials. This review aims to comprehensively summarize these applications and analyze the most up-to-date and future developments of proton-conducting oxides. We aim to bring together this diverse subject matter by integrating the fundamentals of proton-conducting oxides with application-oriented insights. We begin with a historical roadmap, followed by a basic overview of the materials, theories and fundamentals, and fabrication and processing technologies underlying the field. The central section of our review summarizes major applications and developments of proton-conducting ceramics, ranging from maturing applications approaching commercialization to embryonic technologies just now emerging from the lab. These include protonic ceramic fuel cells, protonic ceramic electrolysis cells, reversible protonic ceramic electrochemical cells, protonic ceramic membrane reactors, and protonic ceramic electrochemical reactors. For each application, we analyze both the prospects and challenges and offer recommendations for future research directions so that tomorrow's researchers can continue to advance the development and commercialization of these fascinating materials.","container-title":"Applied Physics Reviews","issue":"1","page":"011314","title":"Proton-conducting oxides for energy conversion and storage","volume":"7","author":[{"family":"Duan","given":"Chuancheng"},{"family":"Huang","given":"Jake"},{"family":"Sullivan","given":"Neal"},{"family":"O’Hayre","given":"Ryan"}],"issued":{"date-parts":[["2020",3]]}}},{"id":774,"uris":["http://zotero.org/users/12063231/items/RRTFAJZR"],"itemData":{"id":774,"type":"chapter","abstract":"&lt;p&gt;This chapter discusses the theory and performance of electrolysis cells based upon proton-conducting ceramics (protonic ceramic electrolysis cells (PCECs)). To put PCECs in perspective in relation to other ceramic-based electrochemical cells, the discussion initially compares oxygen-ion-conducting membranes as well as fuel-cell performance.&lt;/p&gt;","container-title":"High-Temperature Electrolysis: From fundamentals to applications","language":"en","note":"DOI: 10.1088/978-0-7503-3951-3ch12","publisher":"IOP Publishing","source":"iopscience.iop.org","title":"Thermodynamics, transport, and electrochemistry in protonic ceramic electrolysis cells","URL":"https://iopscience.iop.org/book/edit/978-0-7503-3951-3/chapter/bk978-0-7503-3951-3ch12","author":[{"family":"Zhu","given":"Huayang"},{"family":"Ricote","given":"Sandrine"},{"family":"Kee","given":"Robert J."}],"accessed":{"date-parts":[["2024",2,6]]},"issued":{"date-parts":[["2023",1,1]]}}},{"id":821,"uris":["http://zotero.org/users/12063231/items/7RHZBYA8"],"itemData":{"id":821,"type":"article-journal","abstract":"In this work, a framework of charge transports in proton-conducting solid oxide fuel cells (H-SOFCs) with considering current leakage is developed by assuming four electrode reactions. Current leakage occurs when electron holes pass through the electrolyte and combine with electrons at the anode side. An analytical solution of leakage currents is proposed depending on the Nernst-Planck equation. On the basis of the analysis expression, a mathematical model of H-SOFCs is proposed, which can provide the information about current-voltage characteristics, leakage current density, Faraday and energy efficiencies. Furthermore, H-SOFCs with the BaZr0.8Y0.2O3 electrolyte are fabricated and tested, and the proposed model well reproduces the experimental data. The simulation results indicate that current leakage primarily affects the H-SOFC performance when the output voltage is close to the OCV. Both Faraday efficiencies and energy efficiencies decrease with increasing operating temperatures due to the existence of current leakage.","container-title":"Journal of Power Sources","DOI":"10.1016/j.jpowsour.2018.08.038","ISSN":"0378-7753","journalAbbreviation":"Journal of Power Sources","page":"333-340","source":"ScienceDirect","title":"Mathematical modeling of a proton-conducting solid oxide fuel cell with current leakage","volume":"400","author":[{"family":"Zhang","given":"Ji-Hao"},{"family":"Lei","given":"Li-Bin"},{"family":"Liu","given":"Di"},{"family":"Zhao","given":"Fu-Yun"},{"family":"Ni","given":"Meng"},{"family":"Chen","given":"Fanglin"}],"issued":{"date-parts":[["2018",10,1]]}}}],"schema":"https://github.com/citation-style-language/schema/raw/master/csl-citation.json"} </w:instrText>
      </w:r>
      <w:r>
        <w:rPr>
          <w:rFonts w:eastAsiaTheme="minorEastAsia"/>
        </w:rPr>
        <w:fldChar w:fldCharType="separate"/>
      </w:r>
      <w:r w:rsidR="00CA7A9D" w:rsidRPr="00CA7A9D">
        <w:rPr>
          <w:rFonts w:ascii="Aptos" w:hAnsi="Aptos"/>
        </w:rPr>
        <w:t>[11], [88], [89], [92]</w:t>
      </w:r>
      <w:r>
        <w:rPr>
          <w:rFonts w:eastAsiaTheme="minorEastAsia"/>
        </w:rPr>
        <w:fldChar w:fldCharType="end"/>
      </w:r>
      <w:r>
        <w:rPr>
          <w:rFonts w:eastAsiaTheme="minorEastAsia"/>
        </w:rPr>
        <w:t xml:space="preserve">. The coefficients represent the ion’s ability to be conducted across the electrode/electrolyte.  Duan et al. </w:t>
      </w:r>
      <w:r>
        <w:rPr>
          <w:rFonts w:eastAsiaTheme="minorEastAsia"/>
        </w:rPr>
        <w:fldChar w:fldCharType="begin"/>
      </w:r>
      <w:r w:rsidR="008231CC">
        <w:rPr>
          <w:rFonts w:eastAsiaTheme="minorEastAsia"/>
        </w:rPr>
        <w:instrText xml:space="preserve"> ADDIN ZOTERO_ITEM CSL_CITATION {"citationID":"a1gtnkuu8ur","properties":{"formattedCitation":"[11]","plainCitation":"[11]","noteIndex":0},"citationItems":[{"id":197,"uris":["http://zotero.org/users/12063231/items/DQWPZNMK"],"itemData":{"id":197,"type":"article-journal","abstract":"Proton-conducting oxides are a class of solid-state ion-conducting ceramic materials that demonstrate significant hydrogen ion (proton) conductivity at intermediate temperatures (e.g., 300–700</w:instrText>
      </w:r>
      <w:r w:rsidR="008231CC">
        <w:rPr>
          <w:rFonts w:ascii="Arial" w:eastAsiaTheme="minorEastAsia" w:hAnsi="Arial" w:cs="Arial"/>
        </w:rPr>
        <w:instrText> </w:instrText>
      </w:r>
      <w:r w:rsidR="008231CC">
        <w:rPr>
          <w:rFonts w:ascii="Aptos" w:eastAsiaTheme="minorEastAsia" w:hAnsi="Aptos" w:cs="Aptos"/>
        </w:rPr>
        <w:instrText>°</w:instrText>
      </w:r>
      <w:r w:rsidR="008231CC">
        <w:rPr>
          <w:rFonts w:eastAsiaTheme="minorEastAsia"/>
        </w:rPr>
        <w:instrText xml:space="preserve">C). They are garnering significant attention due to several unique characteristics that distinguish them from both higher temperature oxygen ion conducting oxides and lower temperature proton-conducting polymers. By enabling proton-mediated electrochemistry under both dry and wet environments at moderate temperatures, protonic ceramics provide unique opportunities to enhance or synergize a diverse range of complementary electrochemical and thermochemical processes. Because of this potential, significant efforts have been devoted to advancing numerous energy-related applications using these materials. This review aims to comprehensively summarize these applications and analyze the most up-to-date and future developments of proton-conducting oxides. We aim to bring together this diverse subject matter by integrating the fundamentals of proton-conducting oxides with application-oriented insights. We begin with a historical roadmap, followed by a basic overview of the materials, theories and fundamentals, and fabrication and processing technologies underlying the field. The central section of our review summarizes major applications and developments of proton-conducting ceramics, ranging from maturing applications approaching commercialization to embryonic technologies just now emerging from the lab. These include protonic ceramic fuel cells, protonic ceramic electrolysis cells, reversible protonic ceramic electrochemical cells, protonic ceramic membrane reactors, and protonic ceramic electrochemical reactors. For each application, we analyze both the prospects and challenges and offer recommendations for future research directions so that tomorrow's researchers can continue to advance the development and commercialization of these fascinating materials.","container-title":"Applied Physics Reviews","issue":"1","page":"011314","title":"Proton-conducting oxides for energy conversion and storage","volume":"7","author":[{"family":"Duan","given":"Chuancheng"},{"family":"Huang","given":"Jake"},{"family":"Sullivan","given":"Neal"},{"family":"O’Hayre","given":"Ryan"}],"issued":{"date-parts":[["2020",3]]}}}],"schema":"https://github.com/citation-style-language/schema/raw/master/csl-citation.json"} </w:instrText>
      </w:r>
      <w:r>
        <w:rPr>
          <w:rFonts w:eastAsiaTheme="minorEastAsia"/>
        </w:rPr>
        <w:fldChar w:fldCharType="separate"/>
      </w:r>
      <w:r w:rsidR="008231CC" w:rsidRPr="008231CC">
        <w:rPr>
          <w:rFonts w:ascii="Aptos" w:hAnsi="Aptos"/>
        </w:rPr>
        <w:t>[11]</w:t>
      </w:r>
      <w:r>
        <w:rPr>
          <w:rFonts w:eastAsiaTheme="minorEastAsia"/>
        </w:rPr>
        <w:fldChar w:fldCharType="end"/>
      </w:r>
      <w:r>
        <w:rPr>
          <w:rFonts w:eastAsiaTheme="minorEastAsia"/>
        </w:rPr>
        <w:t xml:space="preserve"> and others have estimated the value of this coefficient in PCFC materials, but the results can vary depending on the method of calculation and the chosen electrode material and manufacturing methods. In Aguiar’s approach, the anode has a significantly larger diffusivity coefficient than its cathode counterpart </w:t>
      </w:r>
      <w:r>
        <w:rPr>
          <w:rFonts w:eastAsiaTheme="minorEastAsia"/>
        </w:rPr>
        <w:fldChar w:fldCharType="begin"/>
      </w:r>
      <w:r w:rsidR="00CA7A9D">
        <w:rPr>
          <w:rFonts w:eastAsiaTheme="minorEastAsia"/>
        </w:rPr>
        <w:instrText xml:space="preserve"> ADDIN ZOTERO_ITEM CSL_CITATION {"citationID":"a1n3lt8kpj8","properties":{"formattedCitation":"[91]","plainCitation":"[91]","noteIndex":0},"citationItems":[{"id":789,"uris":["http://zotero.org/users/12063231/items/RYA57UQY"],"itemData":{"id":789,"type":"article-journal","abstract":"Mathematical modelling is an essential tool for the design of solid oxide fuel cells (SOFCs). The present paper aims to report on the development of a dynamic anode-supported intermediate temperature direct internal reforming planar solid oxide fuel cell stack model, that allows for both co-flow and counter-flow operation. The developed model consists of mass and energy balances, and an electrochemical model that relates the fuel and air gas composition and temperature to voltage, current density, and other relevant fuel cell variables. The electrochemical performance of the cell is analysed for several temperatures and fuel utilisations, by means of the voltage and power density versus current density curves. The steady-state performance of the cell and the impact of changes in fuel and air inlet temperatures, fuel utilisation, average current density, and flow configuration are studied. For a co-flow SOFC operating on a 10% pre-reformed methane fuel mixture with 75% fuel utilisation, inlet fuel and air temperatures of 1023K, average current density of 0.5Acm−2, and an air ratio of 8.5, an output voltage of 0.66V with a power density of 0.33Wcm−2 and a fuel efficiency of 47%, are predicted. It was found that cathode activation overpotentials represent the major source of voltage loss, followed by anode activation overpotentials and ohmic losses. For the same operating conditions, SOFC operation under counter-flow of the fuel and air gas streams has been shown to lead to steep temperature gradients and uneven current density distributions.","container-title":"Journal of Power Sources","DOI":"10.1016/j.jpowsour.2004.06.040","ISSN":"0378-7753","issue":"1","journalAbbreviation":"Journal of Power Sources","page":"120-136","source":"ScienceDirect","title":"Anode-supported intermediate temperature direct internal reforming solid oxide fuel cell. I: model-based steady-state performance","title-short":"Anode-supported intermediate temperature direct internal reforming solid oxide fuel cell. I","volume":"138","author":[{"family":"Aguiar","given":"P."},{"family":"Adjiman","given":"C. S."},{"family":"Brandon","given":"N. P."}],"issued":{"date-parts":[["2004",11,15]]}}}],"schema":"https://github.com/citation-style-language/schema/raw/master/csl-citation.json"} </w:instrText>
      </w:r>
      <w:r>
        <w:rPr>
          <w:rFonts w:eastAsiaTheme="minorEastAsia"/>
        </w:rPr>
        <w:fldChar w:fldCharType="separate"/>
      </w:r>
      <w:r w:rsidR="00CA7A9D" w:rsidRPr="00CA7A9D">
        <w:rPr>
          <w:rFonts w:ascii="Aptos" w:hAnsi="Aptos"/>
        </w:rPr>
        <w:t>[91]</w:t>
      </w:r>
      <w:r>
        <w:rPr>
          <w:rFonts w:eastAsiaTheme="minorEastAsia"/>
        </w:rPr>
        <w:fldChar w:fldCharType="end"/>
      </w:r>
      <w:r>
        <w:rPr>
          <w:rFonts w:eastAsiaTheme="minorEastAsia"/>
        </w:rPr>
        <w:t xml:space="preserve">, so a similar relationship </w:t>
      </w:r>
      <w:r w:rsidR="00EB6FFF">
        <w:rPr>
          <w:rFonts w:eastAsiaTheme="minorEastAsia"/>
        </w:rPr>
        <w:t>is</w:t>
      </w:r>
      <w:r>
        <w:rPr>
          <w:rFonts w:eastAsiaTheme="minorEastAsia"/>
        </w:rPr>
        <w:t xml:space="preserve"> assumed here. Combining this relationship with the estimates from Duan et al.’s work, the following arbitrary values </w:t>
      </w:r>
      <w:r w:rsidR="0020124E">
        <w:rPr>
          <w:rFonts w:eastAsiaTheme="minorEastAsia"/>
        </w:rPr>
        <w:t>are</w:t>
      </w:r>
      <w:r>
        <w:rPr>
          <w:rFonts w:eastAsiaTheme="minorEastAsia"/>
        </w:rPr>
        <w:t xml:space="preserve"> selected for the model:</w:t>
      </w:r>
    </w:p>
    <w:p w14:paraId="6B9810FF" w14:textId="77777777" w:rsidR="00A93D24" w:rsidRPr="0083054F" w:rsidRDefault="00924E48" w:rsidP="00A93D24">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an</m:t>
              </m:r>
            </m:sub>
          </m:sSub>
          <m:r>
            <w:rPr>
              <w:rFonts w:ascii="Cambria Math" w:eastAsiaTheme="minorEastAsia" w:hAnsi="Cambria Math"/>
            </w:rPr>
            <m:t>=0.3</m:t>
          </m:r>
          <m:f>
            <m:fPr>
              <m:ctrlPr>
                <w:rPr>
                  <w:rFonts w:ascii="Cambria Math" w:eastAsiaTheme="minorEastAsia" w:hAnsi="Cambria Math"/>
                  <w:i/>
                </w:rPr>
              </m:ctrlPr>
            </m:fPr>
            <m:num>
              <m:r>
                <w:rPr>
                  <w:rFonts w:ascii="Cambria Math" w:eastAsiaTheme="minorEastAsia" w:hAnsi="Cambria Math"/>
                </w:rPr>
                <m:t>c</m:t>
              </m:r>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2</m:t>
                  </m:r>
                </m:sup>
              </m:sSup>
            </m:num>
            <m:den>
              <m:r>
                <w:rPr>
                  <w:rFonts w:ascii="Cambria Math" w:eastAsiaTheme="minorEastAsia" w:hAnsi="Cambria Math"/>
                </w:rPr>
                <m:t>s</m:t>
              </m:r>
            </m:den>
          </m:f>
          <m:r>
            <w:rPr>
              <w:rFonts w:ascii="Cambria Math" w:eastAsiaTheme="minorEastAsia" w:hAnsi="Cambria Math"/>
            </w:rPr>
            <m:t xml:space="preserve"> ,  </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ca</m:t>
              </m:r>
            </m:sub>
          </m:sSub>
          <m:r>
            <w:rPr>
              <w:rFonts w:ascii="Cambria Math" w:eastAsiaTheme="minorEastAsia" w:hAnsi="Cambria Math"/>
            </w:rPr>
            <m:t>=0.03</m:t>
          </m:r>
          <m:f>
            <m:fPr>
              <m:ctrlPr>
                <w:rPr>
                  <w:rFonts w:ascii="Cambria Math" w:eastAsiaTheme="minorEastAsia" w:hAnsi="Cambria Math"/>
                  <w:i/>
                </w:rPr>
              </m:ctrlPr>
            </m:fPr>
            <m:num>
              <m:r>
                <w:rPr>
                  <w:rFonts w:ascii="Cambria Math" w:eastAsiaTheme="minorEastAsia" w:hAnsi="Cambria Math"/>
                </w:rPr>
                <m:t>c</m:t>
              </m:r>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2</m:t>
                  </m:r>
                </m:sup>
              </m:sSup>
            </m:num>
            <m:den>
              <m:r>
                <w:rPr>
                  <w:rFonts w:ascii="Cambria Math" w:eastAsiaTheme="minorEastAsia" w:hAnsi="Cambria Math"/>
                </w:rPr>
                <m:t>s</m:t>
              </m:r>
            </m:den>
          </m:f>
        </m:oMath>
      </m:oMathPara>
    </w:p>
    <w:p w14:paraId="43D10617" w14:textId="77777777" w:rsidR="00A93D24" w:rsidRDefault="00A93D24" w:rsidP="00A93D24">
      <w:pPr>
        <w:pStyle w:val="Heading3"/>
        <w:rPr>
          <w:rFonts w:eastAsiaTheme="minorEastAsia"/>
        </w:rPr>
      </w:pPr>
      <w:bookmarkStart w:id="80" w:name="_Toc165641078"/>
      <w:r>
        <w:rPr>
          <w:rFonts w:eastAsiaTheme="minorEastAsia"/>
        </w:rPr>
        <w:t>3.4.5 Electrochemical Model Setup</w:t>
      </w:r>
      <w:bookmarkEnd w:id="80"/>
    </w:p>
    <w:p w14:paraId="44E37925" w14:textId="5AD5E38A" w:rsidR="00A93D24" w:rsidRDefault="00A93D24" w:rsidP="00A93D24">
      <w:pPr>
        <w:rPr>
          <w:rFonts w:eastAsiaTheme="minorEastAsia"/>
        </w:rPr>
      </w:pPr>
      <w:r>
        <w:t xml:space="preserve">The Nernst equation and the overpotentials for the model </w:t>
      </w:r>
      <w:r w:rsidR="0020124E">
        <w:t>are</w:t>
      </w:r>
      <w:r>
        <w:t xml:space="preserve"> calculated at each discretization point along the cell model. This allows the current to fluctuate with the changing cell temperature, the availability of hydrogen, and the demand of the overpotentials. The model also output</w:t>
      </w:r>
      <w:r w:rsidR="00815A9B">
        <w:t>s</w:t>
      </w:r>
      <w:r>
        <w:t xml:space="preserve"> an overarching voltage that stays consistent across the whole cell. So, while </w:t>
      </w:r>
      <m:oMath>
        <m:sSub>
          <m:sSubPr>
            <m:ctrlPr>
              <w:rPr>
                <w:rFonts w:ascii="Cambria Math" w:hAnsi="Cambria Math"/>
                <w:i/>
              </w:rPr>
            </m:ctrlPr>
          </m:sSubPr>
          <m:e>
            <m:r>
              <w:rPr>
                <w:rFonts w:ascii="Cambria Math" w:hAnsi="Cambria Math"/>
              </w:rPr>
              <m:t>E</m:t>
            </m:r>
          </m:e>
          <m:sub>
            <m:r>
              <w:rPr>
                <w:rFonts w:ascii="Cambria Math" w:hAnsi="Cambria Math"/>
              </w:rPr>
              <m:t>nernst</m:t>
            </m:r>
          </m:sub>
        </m:sSub>
      </m:oMath>
      <w:r>
        <w:rPr>
          <w:rFonts w:eastAsiaTheme="minorEastAsia"/>
        </w:rPr>
        <w:t xml:space="preserve"> and the overpotentials constantly vary through the cell, the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cell</m:t>
            </m:r>
          </m:sub>
        </m:sSub>
      </m:oMath>
      <w:r>
        <w:rPr>
          <w:rFonts w:eastAsiaTheme="minorEastAsia"/>
        </w:rPr>
        <w:t xml:space="preserve"> remain</w:t>
      </w:r>
      <w:r w:rsidR="00CF7532">
        <w:rPr>
          <w:rFonts w:eastAsiaTheme="minorEastAsia"/>
        </w:rPr>
        <w:t>s</w:t>
      </w:r>
      <w:r>
        <w:rPr>
          <w:rFonts w:eastAsiaTheme="minorEastAsia"/>
        </w:rPr>
        <w:t xml:space="preserve"> a constant variable determined by the model. </w:t>
      </w:r>
    </w:p>
    <w:p w14:paraId="65AB63A5" w14:textId="77777777" w:rsidR="00A93D24" w:rsidRDefault="00A93D24" w:rsidP="00A93D24">
      <w:pPr>
        <w:rPr>
          <w:rFonts w:eastAsiaTheme="minorEastAsia"/>
        </w:rPr>
      </w:pPr>
      <w:r>
        <w:rPr>
          <w:rFonts w:eastAsiaTheme="minorEastAsia"/>
        </w:rPr>
        <w:t>The product of the determined voltage and selected input current provides the output power density as follows:</w:t>
      </w:r>
    </w:p>
    <w:p w14:paraId="7B1A9DA9" w14:textId="77777777" w:rsidR="00A93D24" w:rsidRPr="000978FD" w:rsidRDefault="00A93D24" w:rsidP="00A93D24">
      <w:pPr>
        <w:jc w:val="right"/>
        <w:rPr>
          <w:rFonts w:eastAsiaTheme="minorEastAsia"/>
        </w:rPr>
      </w:pPr>
      <m:oMath>
        <m:r>
          <w:rPr>
            <w:rFonts w:ascii="Cambria Math" w:eastAsiaTheme="minorEastAsia" w:hAnsi="Cambria Math"/>
          </w:rPr>
          <m:t>Power Density=</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cell</m:t>
            </m:r>
          </m:sub>
        </m:sSub>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cell,avg</m:t>
            </m:r>
          </m:sub>
        </m:sSub>
      </m:oMath>
      <w:r>
        <w:rPr>
          <w:rFonts w:eastAsiaTheme="minorEastAsia"/>
        </w:rPr>
        <w:tab/>
      </w:r>
      <w:r>
        <w:rPr>
          <w:rFonts w:eastAsiaTheme="minorEastAsia"/>
        </w:rPr>
        <w:tab/>
      </w:r>
      <w:r>
        <w:rPr>
          <w:rFonts w:eastAsiaTheme="minorEastAsia"/>
        </w:rPr>
        <w:tab/>
      </w:r>
      <w:r>
        <w:rPr>
          <w:rFonts w:eastAsiaTheme="minorEastAsia"/>
        </w:rPr>
        <w:tab/>
        <w:t>(3.38)</w:t>
      </w:r>
    </w:p>
    <w:p w14:paraId="471F4BBD" w14:textId="7BF02B44" w:rsidR="00A93D24" w:rsidRDefault="00A93D24" w:rsidP="00A93D24">
      <w:pPr>
        <w:rPr>
          <w:rFonts w:eastAsiaTheme="minorEastAsia"/>
        </w:rPr>
      </w:pPr>
      <w:r>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cell,avg</m:t>
            </m:r>
          </m:sub>
        </m:sSub>
      </m:oMath>
      <w:r>
        <w:rPr>
          <w:rFonts w:eastAsiaTheme="minorEastAsia"/>
        </w:rPr>
        <w:t xml:space="preserve"> represents the average current through the cell. The average current density is one of the most important input parameters, as it directly affects how much hydrogen is removed from the bulk fuel stream. This strongly affect</w:t>
      </w:r>
      <w:r w:rsidR="00CF7532">
        <w:rPr>
          <w:rFonts w:eastAsiaTheme="minorEastAsia"/>
        </w:rPr>
        <w:t>s</w:t>
      </w:r>
      <w:r>
        <w:rPr>
          <w:rFonts w:eastAsiaTheme="minorEastAsia"/>
        </w:rPr>
        <w:t xml:space="preserve"> the reaction kinetics and output selectivity for the MDA reactions </w:t>
      </w:r>
      <w:r>
        <w:rPr>
          <w:rFonts w:eastAsiaTheme="minorEastAsia"/>
        </w:rPr>
        <w:fldChar w:fldCharType="begin"/>
      </w:r>
      <w:r w:rsidR="00CA7A9D">
        <w:rPr>
          <w:rFonts w:eastAsiaTheme="minorEastAsia"/>
        </w:rPr>
        <w:instrText xml:space="preserve"> ADDIN ZOTERO_ITEM CSL_CITATION {"citationID":"a1ctqbntj5f","properties":{"formattedCitation":"[64], [73]","plainCitation":"[64], [73]","noteIndex":0},"citationItems":[{"id":744,"uris":["http://zotero.org/users/12063231/items/6QIVDYJ5"],"itemData":{"id":744,"type":"article-journal","abstract":"A kinetic model was developed for the methane dehydroaromatization over a Mo2C/H-ZSM5 catalyst. Because the experimental observations show that the reaction and deactivation simultaneously take place in the catalyst activation (carburization) stage, the initial simulation time was specified as the time at which the activation was completed and the initial activities under each operating condition were estimated. The estimated values show that the initial activity of the Mo2C site is low in the early stage of the catalyst bed, which is probably due to the carbonization, while that of the H-ZSM5 site is very low in the later stage of the bed due to the encapsulation of coupled aromatics caused by the low confinement of Mo2C in the zeolite. Kinetic models were developed for the reaction and deactivation and the kinetic parameters were estimated by fitting the experimental data that were obtained after the activation was completed. The simulated results are in good agreement with the experimental data. The deactivation model indicates a higher temperature dependency of the Mo2C site compared with the H-ZSM5 site. In addition, the benzene and toluene yields abruptly decrease at very high temperature, indicating that a too high temperature should be avoided, although high temperatures are favored because of the endothermic characteristics of the production rate.","collection-title":"Special Issue for the 17th Korea-Japan Symposium on Catalysis","container-title":"Catalysis Today","DOI":"10.1016/j.cattod.2019.09.002","ISSN":"0920-5861","journalAbbreviation":"Catalysis Today","page":"140-147","source":"ScienceDirect","title":"Kinetic modeling of methane dehydroaromatization over a Mo2C/H-ZSM5 catalyst: Different deactivation behaviors of the Mo2C and H-ZSM5 sites","title-short":"Kinetic modeling of methane dehydroaromatization over a Mo2C/H-ZSM5 catalyst","volume":"352","author":[{"family":"Jeong","given":"Jaehun"},{"family":"Hwang","given":"Ahron"},{"family":"Kim","given":"Yong Tae"},{"family":"Hong","given":"Do-Young"},{"family":"Park","given":"Myung-June"}],"issued":{"date-parts":[["2020",8,1]]}}},{"id":128,"uris":["http://zotero.org/users/12063231/items/98RFJZQA"],"itemData":{"id":128,"type":"article-journal","abstract":"Nonoxidative methane dehydroaromatization (MDA: 6CH4 ↔ C6H6 + 9H2) using shape-selective Mo/zeolite catalysts is a key technology for exploitation of stranded natural gas reserves by direct conversion into transportable liquids. However, this reaction faces two major issues: The one-pass conversion …","container-title":"Science (New York, N.Y.)","DOI":"10.1126/science.aag0274","ISSN":"1095-9203","issue":"6299","language":"en","note":"publisher: Science\nPMID: 27493179","source":"pubmed.ncbi.nlm.nih.gov","title":"Direct conversion of methane to aromatics in a catalytic co-ionic membrane reactor","URL":"https://pubmed.ncbi.nlm.nih.gov/27493179/","volume":"353","author":[{"family":"Morejudo","given":"S. H."},{"family":"Zanón","given":"R"},{"family":"Escolástico","given":"S"},{"family":"Yuste-Tirados","given":"I"},{"family":"Malerød-Fjeld","given":"H"},{"family":"Vestre","given":"P.K."},{"family":"Coors","given":"W.G."},{"family":"Martínez","given":"A"},{"family":"Norby","given":"Truls"},{"family":"Serra","given":"J.M."},{"family":"Kjølseth","given":"C"}],"accessed":{"date-parts":[["2023",8,12]]},"issued":{"date-parts":[["2016",8,5]]}}}],"schema":"https://github.com/citation-style-language/schema/raw/master/csl-citation.json"} </w:instrText>
      </w:r>
      <w:r>
        <w:rPr>
          <w:rFonts w:eastAsiaTheme="minorEastAsia"/>
        </w:rPr>
        <w:fldChar w:fldCharType="separate"/>
      </w:r>
      <w:r w:rsidR="00CA7A9D" w:rsidRPr="00CA7A9D">
        <w:rPr>
          <w:rFonts w:ascii="Aptos" w:hAnsi="Aptos"/>
        </w:rPr>
        <w:t>[64], [73]</w:t>
      </w:r>
      <w:r>
        <w:rPr>
          <w:rFonts w:eastAsiaTheme="minorEastAsia"/>
        </w:rPr>
        <w:fldChar w:fldCharType="end"/>
      </w:r>
      <w:r>
        <w:rPr>
          <w:rFonts w:eastAsiaTheme="minorEastAsia"/>
        </w:rPr>
        <w:t>.</w:t>
      </w:r>
    </w:p>
    <w:p w14:paraId="16A96881" w14:textId="77777777" w:rsidR="00A93D24" w:rsidRDefault="00A93D24" w:rsidP="00A93D24">
      <w:pPr>
        <w:pStyle w:val="Heading2"/>
      </w:pPr>
      <w:bookmarkStart w:id="81" w:name="_Toc165641079"/>
      <w:r>
        <w:t>3.5 Energy Balance</w:t>
      </w:r>
      <w:bookmarkEnd w:id="81"/>
    </w:p>
    <w:p w14:paraId="7C1AE457" w14:textId="0479D0FD" w:rsidR="00A93D24" w:rsidRDefault="00A93D24" w:rsidP="00A93D24">
      <w:r>
        <w:t xml:space="preserve">The purpose of the energy balance is to analyze the energy inputs and outputs for the </w:t>
      </w:r>
      <w:proofErr w:type="gramStart"/>
      <w:r>
        <w:t>cell as a whole, as well as</w:t>
      </w:r>
      <w:proofErr w:type="gramEnd"/>
      <w:r>
        <w:t xml:space="preserve"> the discretized points within it. This also includes determining the temperature distribution through the cell and its layers. As </w:t>
      </w:r>
      <w:r w:rsidR="00EB6FFF">
        <w:t>is</w:t>
      </w:r>
      <w:r>
        <w:t xml:space="preserve"> noted in section 3.3.1, the cell is divided into seven layers. In the energy balance, the PEN structure is considered as one whole layer, and the interconnects are factored in as an additional “layer”. This leaves three solid layers (the PEN, Interconnects and the FDT) and three flowing layers (the pre-fuel, reacting fuel, and the air). </w:t>
      </w:r>
      <w:r>
        <w:fldChar w:fldCharType="begin"/>
      </w:r>
      <w:r>
        <w:instrText xml:space="preserve"> REF _Ref162689997 \h </w:instrText>
      </w:r>
      <w:r>
        <w:fldChar w:fldCharType="separate"/>
      </w:r>
      <w:r>
        <w:t xml:space="preserve">Figure </w:t>
      </w:r>
      <w:r>
        <w:rPr>
          <w:noProof/>
        </w:rPr>
        <w:t>2</w:t>
      </w:r>
      <w:r>
        <w:fldChar w:fldCharType="end"/>
      </w:r>
      <w:r>
        <w:t xml:space="preserve"> shows the considered types of heat transfer for the energy balance between the different layers. </w:t>
      </w:r>
    </w:p>
    <w:p w14:paraId="2EB6E8C0" w14:textId="77777777" w:rsidR="00A93D24" w:rsidRDefault="00A93D24" w:rsidP="00A93D24">
      <w:pPr>
        <w:keepNext/>
        <w:ind w:firstLine="0"/>
        <w:jc w:val="center"/>
      </w:pPr>
      <w:r w:rsidRPr="00AF3502">
        <w:rPr>
          <w:noProof/>
        </w:rPr>
        <w:drawing>
          <wp:inline distT="0" distB="0" distL="0" distR="0" wp14:anchorId="19F3C073" wp14:editId="372AB59F">
            <wp:extent cx="5722148" cy="2746452"/>
            <wp:effectExtent l="0" t="0" r="0" b="0"/>
            <wp:docPr id="1519601242" name="Picture 1" descr="A diagram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601242" name="Picture 1" descr="A diagram of a structure&#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722148" cy="2746452"/>
                    </a:xfrm>
                    <a:prstGeom prst="rect">
                      <a:avLst/>
                    </a:prstGeom>
                  </pic:spPr>
                </pic:pic>
              </a:graphicData>
            </a:graphic>
          </wp:inline>
        </w:drawing>
      </w:r>
    </w:p>
    <w:p w14:paraId="3A0BCD11" w14:textId="5EB22F1E" w:rsidR="00A93D24" w:rsidRDefault="00A93D24" w:rsidP="00A93D24">
      <w:pPr>
        <w:pStyle w:val="Caption"/>
      </w:pPr>
      <w:bookmarkStart w:id="82" w:name="_Ref162689997"/>
      <w:bookmarkStart w:id="83" w:name="_Toc165641137"/>
      <w:r>
        <w:t xml:space="preserve">Figure </w:t>
      </w:r>
      <w:r w:rsidR="00340E72">
        <w:t>3.</w:t>
      </w:r>
      <w:r>
        <w:fldChar w:fldCharType="begin"/>
      </w:r>
      <w:r>
        <w:instrText xml:space="preserve"> SEQ Figure \* ARABIC </w:instrText>
      </w:r>
      <w:r>
        <w:fldChar w:fldCharType="separate"/>
      </w:r>
      <w:r>
        <w:rPr>
          <w:noProof/>
        </w:rPr>
        <w:t>3</w:t>
      </w:r>
      <w:r>
        <w:fldChar w:fldCharType="end"/>
      </w:r>
      <w:bookmarkEnd w:id="82"/>
      <w:r>
        <w:t>: Energy balance for a whole discretized unit of the cell</w:t>
      </w:r>
      <w:bookmarkEnd w:id="83"/>
    </w:p>
    <w:p w14:paraId="71C6CB4E" w14:textId="77777777" w:rsidR="00A93D24" w:rsidRDefault="00A93D24" w:rsidP="00A93D24"/>
    <w:p w14:paraId="72727023" w14:textId="77777777" w:rsidR="00A93D24" w:rsidRDefault="00A93D24" w:rsidP="00A93D24">
      <w:pPr>
        <w:pStyle w:val="Heading3"/>
      </w:pPr>
      <w:bookmarkStart w:id="84" w:name="_Toc165641080"/>
      <w:r>
        <w:t>3.5.1 Constants for Flowing Layers</w:t>
      </w:r>
      <w:bookmarkEnd w:id="84"/>
    </w:p>
    <w:p w14:paraId="2B44D1D9" w14:textId="77777777" w:rsidR="00A93D24" w:rsidRDefault="00A93D24" w:rsidP="00A93D24">
      <w:pPr>
        <w:rPr>
          <w:rFonts w:eastAsiaTheme="minorEastAsia"/>
        </w:rPr>
      </w:pPr>
      <w:r>
        <w:t>For the flowing layers, a variety of fluid constants are required for the energy analysis. These include the hydraulic diameter (</w:t>
      </w:r>
      <w:proofErr w:type="spellStart"/>
      <w:r>
        <w:t>h</w:t>
      </w:r>
      <w:r>
        <w:softHyphen/>
      </w:r>
      <w:r>
        <w:rPr>
          <w:vertAlign w:val="subscript"/>
        </w:rPr>
        <w:t>d</w:t>
      </w:r>
      <w:proofErr w:type="spellEnd"/>
      <w:r>
        <w:t>), thermal conductivity (</w:t>
      </w:r>
      <m:oMath>
        <m:r>
          <w:rPr>
            <w:rFonts w:ascii="Cambria Math" w:hAnsi="Cambria Math"/>
          </w:rPr>
          <m:t>λ</m:t>
        </m:r>
      </m:oMath>
      <w:r>
        <w:t>), viscosity (</w:t>
      </w:r>
      <m:oMath>
        <m:r>
          <w:rPr>
            <w:rFonts w:ascii="Cambria Math" w:hAnsi="Cambria Math"/>
          </w:rPr>
          <m:t>μ</m:t>
        </m:r>
      </m:oMath>
      <w:r>
        <w:rPr>
          <w:rFonts w:eastAsiaTheme="minorEastAsia"/>
        </w:rPr>
        <w:t>)</w:t>
      </w:r>
      <w:r>
        <w:t>, convective heat transfer coefficient (h), Nusselt number (Nu), Reynold’s number (Re), Prandtl number (</w:t>
      </w:r>
      <w:proofErr w:type="spellStart"/>
      <w:r>
        <w:t>Pr</w:t>
      </w:r>
      <w:proofErr w:type="spellEnd"/>
      <w:r>
        <w:t xml:space="preserve">), density </w:t>
      </w:r>
      <w:r>
        <w:rPr>
          <w:rFonts w:eastAsiaTheme="minorEastAsia"/>
        </w:rPr>
        <w:t>(</w:t>
      </w:r>
      <m:oMath>
        <m:r>
          <w:rPr>
            <w:rFonts w:ascii="Cambria Math" w:hAnsi="Cambria Math"/>
          </w:rPr>
          <m:t>ρ</m:t>
        </m:r>
      </m:oMath>
      <w:r>
        <w:rPr>
          <w:rFonts w:eastAsiaTheme="minorEastAsia"/>
        </w:rPr>
        <w:t>), and heat capacity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p</m:t>
            </m:r>
          </m:sub>
        </m:sSub>
      </m:oMath>
      <w:r>
        <w:rPr>
          <w:rFonts w:eastAsiaTheme="minorEastAsia"/>
        </w:rPr>
        <w:t xml:space="preserve">). </w:t>
      </w:r>
    </w:p>
    <w:p w14:paraId="0A33314D" w14:textId="77777777" w:rsidR="00A93D24" w:rsidRDefault="00A93D24" w:rsidP="00A93D24">
      <w:pPr>
        <w:rPr>
          <w:rFonts w:eastAsiaTheme="minorEastAsia"/>
        </w:rPr>
      </w:pPr>
      <w:r>
        <w:rPr>
          <w:rFonts w:eastAsiaTheme="minorEastAsia"/>
        </w:rPr>
        <w:t>The hydraulic diameter is the most straightforward of these. It is used in equations in place of a standard diameter when the cross-sectional area of the flow is not represented by a circle. The general formula is</w:t>
      </w:r>
    </w:p>
    <w:p w14:paraId="68F704AD" w14:textId="5ADD8763" w:rsidR="00A93D24" w:rsidRPr="00B61B58" w:rsidRDefault="00924E48" w:rsidP="00A93D24">
      <w:pPr>
        <w:jc w:val="right"/>
        <w:rPr>
          <w:rFonts w:eastAsiaTheme="minorEastAsia"/>
        </w:rPr>
      </w:pPr>
      <m:oMath>
        <m:sSub>
          <m:sSubPr>
            <m:ctrlPr>
              <w:rPr>
                <w:rFonts w:ascii="Cambria Math" w:hAnsi="Cambria Math"/>
                <w:i/>
              </w:rPr>
            </m:ctrlPr>
          </m:sSubPr>
          <m:e>
            <m:r>
              <w:rPr>
                <w:rFonts w:ascii="Cambria Math" w:hAnsi="Cambria Math"/>
              </w:rPr>
              <m:t>d</m:t>
            </m:r>
          </m:e>
          <m:sub>
            <m:r>
              <w:rPr>
                <w:rFonts w:ascii="Cambria Math" w:hAnsi="Cambria Math"/>
              </w:rPr>
              <m:t>h</m:t>
            </m:r>
          </m:sub>
        </m:sSub>
        <m:r>
          <w:rPr>
            <w:rFonts w:ascii="Cambria Math" w:hAnsi="Cambria Math"/>
          </w:rPr>
          <m:t>=</m:t>
        </m:r>
        <m:f>
          <m:fPr>
            <m:ctrlPr>
              <w:rPr>
                <w:rFonts w:ascii="Cambria Math" w:hAnsi="Cambria Math"/>
                <w:i/>
              </w:rPr>
            </m:ctrlPr>
          </m:fPr>
          <m:num>
            <m:r>
              <w:rPr>
                <w:rFonts w:ascii="Cambria Math" w:hAnsi="Cambria Math"/>
              </w:rPr>
              <m:t>4</m:t>
            </m:r>
            <m:r>
              <w:rPr>
                <w:rFonts w:ascii="Cambria Math" w:hAnsi="Cambria Math"/>
              </w:rPr>
              <m:t>A</m:t>
            </m:r>
          </m:num>
          <m:den>
            <m:sSub>
              <m:sSubPr>
                <m:ctrlPr>
                  <w:rPr>
                    <w:rFonts w:ascii="Cambria Math" w:hAnsi="Cambria Math"/>
                    <w:i/>
                  </w:rPr>
                </m:ctrlPr>
              </m:sSubPr>
              <m:e>
                <m:r>
                  <w:rPr>
                    <w:rFonts w:ascii="Cambria Math" w:hAnsi="Cambria Math"/>
                  </w:rPr>
                  <m:t>P</m:t>
                </m:r>
              </m:e>
              <m:sub>
                <m:r>
                  <w:rPr>
                    <w:rFonts w:ascii="Cambria Math" w:hAnsi="Cambria Math"/>
                  </w:rPr>
                  <m:t>m</m:t>
                </m:r>
              </m:sub>
            </m:sSub>
          </m:den>
        </m:f>
      </m:oMath>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t>(3.39)</w:t>
      </w:r>
    </w:p>
    <w:p w14:paraId="677B5968" w14:textId="05DD1103" w:rsidR="00A93D24" w:rsidRDefault="00A93D24" w:rsidP="00A93D24">
      <w:pPr>
        <w:ind w:firstLine="0"/>
        <w:rPr>
          <w:rFonts w:eastAsiaTheme="minorEastAsia"/>
        </w:rPr>
      </w:pPr>
      <w:r>
        <w:rPr>
          <w:rFonts w:eastAsiaTheme="minorEastAsia"/>
        </w:rPr>
        <w:t xml:space="preserve">where </w:t>
      </w:r>
      <m:oMath>
        <m:r>
          <w:rPr>
            <w:rFonts w:ascii="Cambria Math" w:eastAsiaTheme="minorEastAsia" w:hAnsi="Cambria Math"/>
          </w:rPr>
          <m:t>A</m:t>
        </m:r>
      </m:oMath>
      <w:r>
        <w:rPr>
          <w:rFonts w:eastAsiaTheme="minorEastAsia"/>
        </w:rPr>
        <w:t xml:space="preserve"> is cross sectional area and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m</m:t>
            </m:r>
          </m:sub>
        </m:sSub>
        <m:r>
          <w:rPr>
            <w:rFonts w:ascii="Cambria Math" w:eastAsiaTheme="minorEastAsia" w:hAnsi="Cambria Math"/>
          </w:rPr>
          <m:t xml:space="preserve"> </m:t>
        </m:r>
      </m:oMath>
      <w:r>
        <w:rPr>
          <w:rFonts w:eastAsiaTheme="minorEastAsia"/>
        </w:rPr>
        <w:t xml:space="preserve">is the perimeter of the surface over which the fluid is flowing. For the pre-fuel, the cross-sectional area is a circle, so there is no change between the diameter and the hydraulic diameter. For the air and the reacting fuel, the cross-sectional area is an annular space. In these instances, the formula for the hydraulic diameter simplifies to </w:t>
      </w:r>
    </w:p>
    <w:p w14:paraId="0221CE97" w14:textId="77777777" w:rsidR="00A93D24" w:rsidRPr="00075298" w:rsidRDefault="00924E48" w:rsidP="00A93D24">
      <w:pPr>
        <w:ind w:firstLine="0"/>
        <w:jc w:val="right"/>
        <w:rPr>
          <w:rFonts w:eastAsiaTheme="minorEastAsia"/>
        </w:rPr>
      </w:pPr>
      <m:oMath>
        <m:sSub>
          <m:sSubPr>
            <m:ctrlPr>
              <w:rPr>
                <w:rFonts w:ascii="Cambria Math" w:hAnsi="Cambria Math"/>
                <w:i/>
              </w:rPr>
            </m:ctrlPr>
          </m:sSubPr>
          <m:e>
            <m:r>
              <w:rPr>
                <w:rFonts w:ascii="Cambria Math" w:hAnsi="Cambria Math"/>
              </w:rPr>
              <m:t>d</m:t>
            </m:r>
          </m:e>
          <m:sub>
            <m:r>
              <w:rPr>
                <w:rFonts w:ascii="Cambria Math" w:hAnsi="Cambria Math"/>
              </w:rPr>
              <m:t>h</m:t>
            </m:r>
          </m:sub>
        </m:sSub>
        <m:r>
          <w:rPr>
            <w:rFonts w:ascii="Cambria Math" w:eastAsiaTheme="minorEastAsia" w:hAnsi="Cambria Math"/>
          </w:rPr>
          <m:t>=2</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outer</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inner</m:t>
                </m:r>
              </m:sub>
            </m:sSub>
          </m:e>
        </m:d>
      </m:oMath>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t>(3.40)</w:t>
      </w:r>
    </w:p>
    <w:p w14:paraId="65FF283B" w14:textId="77777777" w:rsidR="00A93D24" w:rsidRDefault="00A93D24" w:rsidP="00A93D24">
      <w:pPr>
        <w:ind w:firstLine="0"/>
        <w:rPr>
          <w:rFonts w:eastAsiaTheme="minorEastAsia"/>
        </w:rPr>
      </w:pPr>
      <w:r>
        <w:rPr>
          <w:rFonts w:eastAsiaTheme="minorEastAsia"/>
        </w:rPr>
        <w:t xml:space="preserve">where </w:t>
      </w:r>
      <m:oMath>
        <m:r>
          <w:rPr>
            <w:rFonts w:ascii="Cambria Math" w:eastAsiaTheme="minorEastAsia" w:hAnsi="Cambria Math"/>
          </w:rPr>
          <m:t>r</m:t>
        </m:r>
      </m:oMath>
      <w:r>
        <w:rPr>
          <w:rFonts w:eastAsiaTheme="minorEastAsia"/>
        </w:rPr>
        <w:t xml:space="preserve"> represents the radius of the outer and inner circles describing the annular space.</w:t>
      </w:r>
    </w:p>
    <w:p w14:paraId="08B7542E" w14:textId="774C1E34" w:rsidR="00A93D24" w:rsidRDefault="00A93D24" w:rsidP="00A93D24">
      <w:r>
        <w:t xml:space="preserve">The thermal conductivity and viscosity determinations for the gas mixtures can be considered together in equations 3.41-3.42 since their formulation is nearly identical. The approach used in this study is taken from the collaborative work of Poling et al.’s “Properties of Gases and Liquids” </w:t>
      </w:r>
      <w:r>
        <w:fldChar w:fldCharType="begin"/>
      </w:r>
      <w:r w:rsidR="00CA7A9D">
        <w:instrText xml:space="preserve"> ADDIN ZOTERO_ITEM CSL_CITATION {"citationID":"ap7edjb6jg","properties":{"formattedCitation":"[93]","plainCitation":"[93]","noteIndex":0},"citationItems":[{"id":696,"uris":["http://zotero.org/users/12063231/items/T3FK4KJP"],"itemData":{"id":696,"type":"book","edition":"5th Edition","ISBN":"978-0-07-011682-5","language":"English","number-of-pages":"768","publisher":"McGraw-Hill","title":"The Properties of Gases and Liquids","author":[{"family":"Poling","given":"Bruce"},{"family":"Prausnitz","given":"John"},{"family":"O'Connell","given":"John"}],"issued":{"date-parts":[["2000",11,27]]}}}],"schema":"https://github.com/citation-style-language/schema/raw/master/csl-citation.json"} </w:instrText>
      </w:r>
      <w:r>
        <w:fldChar w:fldCharType="separate"/>
      </w:r>
      <w:r w:rsidR="00CA7A9D" w:rsidRPr="00CA7A9D">
        <w:rPr>
          <w:rFonts w:ascii="Aptos" w:hAnsi="Aptos"/>
        </w:rPr>
        <w:t>[93]</w:t>
      </w:r>
      <w:r>
        <w:fldChar w:fldCharType="end"/>
      </w:r>
      <w:r>
        <w:t xml:space="preserve">. The selected approach requires the use of the thermal conductivity and viscosity of the species considered in the gas mixtures. For these values, data </w:t>
      </w:r>
      <w:r w:rsidR="00EB6FFF">
        <w:t>is</w:t>
      </w:r>
      <w:r>
        <w:t xml:space="preserve"> gathered from the Aspen-HYSYS database to determine a relationship of these values with temperature. The thermal conductivity is calculated by:</w:t>
      </w:r>
    </w:p>
    <w:p w14:paraId="7C250CAC" w14:textId="77777777" w:rsidR="00A93D24" w:rsidRPr="003626BA" w:rsidRDefault="00924E48" w:rsidP="00A93D24">
      <w:pPr>
        <w:jc w:val="right"/>
        <w:rPr>
          <w:rFonts w:eastAsiaTheme="minorEastAsia"/>
        </w:rPr>
      </w:pPr>
      <m:oMath>
        <m:sSub>
          <m:sSubPr>
            <m:ctrlPr>
              <w:rPr>
                <w:rFonts w:ascii="Cambria Math" w:hAnsi="Cambria Math"/>
                <w:i/>
              </w:rPr>
            </m:ctrlPr>
          </m:sSubPr>
          <m:e>
            <m:r>
              <w:rPr>
                <w:rFonts w:ascii="Cambria Math" w:hAnsi="Cambria Math"/>
              </w:rPr>
              <m:t>λ</m:t>
            </m:r>
          </m:e>
          <m:sub>
            <m:r>
              <w:rPr>
                <w:rFonts w:ascii="Cambria Math" w:hAnsi="Cambria Math"/>
              </w:rPr>
              <m:t>mix</m:t>
            </m:r>
          </m:sub>
        </m:sSub>
        <m:r>
          <w:rPr>
            <w:rFonts w:ascii="Cambria Math" w:hAnsi="Cambria Math"/>
          </w:rPr>
          <m:t>=</m:t>
        </m:r>
        <m:nary>
          <m:naryPr>
            <m:chr m:val="∑"/>
            <m:limLoc m:val="undOvr"/>
            <m:ctrlPr>
              <w:rPr>
                <w:rFonts w:ascii="Cambria Math" w:hAnsi="Cambria Math"/>
                <w:i/>
              </w:rPr>
            </m:ctrlPr>
          </m:naryPr>
          <m:sub>
            <m:r>
              <w:rPr>
                <w:rFonts w:ascii="Cambria Math" w:hAnsi="Cambria Math"/>
              </w:rPr>
              <m:t>i</m:t>
            </m:r>
            <m:r>
              <w:rPr>
                <w:rFonts w:ascii="Cambria Math" w:hAnsi="Cambria Math"/>
              </w:rPr>
              <m:t>=1</m:t>
            </m:r>
          </m:sub>
          <m:sup>
            <m:r>
              <w:rPr>
                <w:rFonts w:ascii="Cambria Math" w:hAnsi="Cambria Math"/>
              </w:rPr>
              <m:t>n</m:t>
            </m:r>
          </m:sup>
          <m:e>
            <m:f>
              <m:fPr>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i</m:t>
                    </m:r>
                  </m:sub>
                </m:sSub>
                <m:sSub>
                  <m:sSubPr>
                    <m:ctrlPr>
                      <w:rPr>
                        <w:rFonts w:ascii="Cambria Math" w:hAnsi="Cambria Math"/>
                        <w:i/>
                      </w:rPr>
                    </m:ctrlPr>
                  </m:sSubPr>
                  <m:e>
                    <m:r>
                      <w:rPr>
                        <w:rFonts w:ascii="Cambria Math" w:hAnsi="Cambria Math"/>
                      </w:rPr>
                      <m:t>λ</m:t>
                    </m:r>
                  </m:e>
                  <m:sub>
                    <m:r>
                      <w:rPr>
                        <w:rFonts w:ascii="Cambria Math" w:hAnsi="Cambria Math"/>
                      </w:rPr>
                      <m:t>i</m:t>
                    </m:r>
                  </m:sub>
                </m:sSub>
              </m:num>
              <m:den>
                <m:nary>
                  <m:naryPr>
                    <m:chr m:val="∑"/>
                    <m:limLoc m:val="undOvr"/>
                    <m:ctrlPr>
                      <w:rPr>
                        <w:rFonts w:ascii="Cambria Math" w:hAnsi="Cambria Math"/>
                        <w:i/>
                      </w:rPr>
                    </m:ctrlPr>
                  </m:naryPr>
                  <m:sub>
                    <m:r>
                      <w:rPr>
                        <w:rFonts w:ascii="Cambria Math" w:hAnsi="Cambria Math"/>
                      </w:rPr>
                      <m:t>j</m:t>
                    </m:r>
                    <m:r>
                      <w:rPr>
                        <w:rFonts w:ascii="Cambria Math" w:hAnsi="Cambria Math"/>
                      </w:rPr>
                      <m:t>=1</m:t>
                    </m:r>
                  </m:sub>
                  <m:sup>
                    <m:r>
                      <w:rPr>
                        <w:rFonts w:ascii="Cambria Math" w:hAnsi="Cambria Math"/>
                      </w:rPr>
                      <m:t>n</m:t>
                    </m:r>
                  </m:sup>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j</m:t>
                            </m:r>
                          </m:sub>
                        </m:sSub>
                        <m:sSub>
                          <m:sSubPr>
                            <m:ctrlPr>
                              <w:rPr>
                                <w:rFonts w:ascii="Cambria Math" w:hAnsi="Cambria Math"/>
                                <w:i/>
                              </w:rPr>
                            </m:ctrlPr>
                          </m:sSubPr>
                          <m:e>
                            <m:r>
                              <w:rPr>
                                <w:rFonts w:ascii="Cambria Math" w:hAnsi="Cambria Math"/>
                              </w:rPr>
                              <m:t>ϕ</m:t>
                            </m:r>
                          </m:e>
                          <m:sub>
                            <m:r>
                              <w:rPr>
                                <w:rFonts w:ascii="Cambria Math" w:hAnsi="Cambria Math"/>
                              </w:rPr>
                              <m:t>ij</m:t>
                            </m:r>
                          </m:sub>
                        </m:sSub>
                      </m:e>
                    </m:d>
                  </m:e>
                </m:nary>
              </m:den>
            </m:f>
          </m:e>
        </m:nary>
      </m:oMath>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t>(3.41)</w:t>
      </w:r>
    </w:p>
    <w:p w14:paraId="346429E1" w14:textId="77777777" w:rsidR="00A93D24" w:rsidRDefault="00A93D24" w:rsidP="00A93D24">
      <w:pPr>
        <w:rPr>
          <w:rFonts w:eastAsiaTheme="minorEastAsia"/>
        </w:rPr>
      </w:pPr>
      <w:r>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i</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j</m:t>
            </m:r>
          </m:sub>
        </m:sSub>
      </m:oMath>
      <w:r>
        <w:rPr>
          <w:rFonts w:eastAsiaTheme="minorEastAsia"/>
        </w:rPr>
        <w:t xml:space="preserve"> represent the molar concentration of species </w:t>
      </w:r>
      <m:oMath>
        <m:r>
          <w:rPr>
            <w:rFonts w:ascii="Cambria Math" w:eastAsiaTheme="minorEastAsia" w:hAnsi="Cambria Math"/>
          </w:rPr>
          <m:t>i</m:t>
        </m:r>
      </m:oMath>
      <w:r>
        <w:rPr>
          <w:rFonts w:eastAsiaTheme="minorEastAsia"/>
        </w:rPr>
        <w:t xml:space="preserve"> and </w:t>
      </w:r>
      <m:oMath>
        <m:r>
          <w:rPr>
            <w:rFonts w:ascii="Cambria Math" w:eastAsiaTheme="minorEastAsia" w:hAnsi="Cambria Math"/>
          </w:rPr>
          <m:t>j</m:t>
        </m:r>
      </m:oMath>
      <w:r>
        <w:rPr>
          <w:rFonts w:eastAsiaTheme="minorEastAsia"/>
        </w:rPr>
        <w:t xml:space="preserve">, </w:t>
      </w:r>
      <m:oMath>
        <m:r>
          <w:rPr>
            <w:rFonts w:ascii="Cambria Math" w:eastAsiaTheme="minorEastAsia" w:hAnsi="Cambria Math"/>
          </w:rPr>
          <m:t>λ</m:t>
        </m:r>
      </m:oMath>
      <w:r>
        <w:rPr>
          <w:rFonts w:eastAsiaTheme="minorEastAsia"/>
        </w:rPr>
        <w:t xml:space="preserve"> is the thermal conductivity, </w:t>
      </w:r>
      <m:oMath>
        <m:r>
          <w:rPr>
            <w:rFonts w:ascii="Cambria Math" w:eastAsiaTheme="minorEastAsia" w:hAnsi="Cambria Math"/>
          </w:rPr>
          <m:t>n</m:t>
        </m:r>
      </m:oMath>
      <w:r>
        <w:rPr>
          <w:rFonts w:eastAsiaTheme="minorEastAsia"/>
        </w:rPr>
        <w:t xml:space="preserve"> is the number of varying species in the fluid flow and</w:t>
      </w:r>
    </w:p>
    <w:p w14:paraId="01A77F46" w14:textId="77777777" w:rsidR="00A93D24" w:rsidRPr="00D37582" w:rsidRDefault="00924E48" w:rsidP="00A93D24">
      <w:pPr>
        <w:jc w:val="right"/>
        <w:rPr>
          <w:rFonts w:eastAsiaTheme="minorEastAsia"/>
        </w:rPr>
      </w:pPr>
      <m:oMath>
        <m:sSub>
          <m:sSubPr>
            <m:ctrlPr>
              <w:rPr>
                <w:rFonts w:ascii="Cambria Math" w:hAnsi="Cambria Math"/>
                <w:i/>
              </w:rPr>
            </m:ctrlPr>
          </m:sSubPr>
          <m:e>
            <m:r>
              <w:rPr>
                <w:rFonts w:ascii="Cambria Math" w:hAnsi="Cambria Math"/>
              </w:rPr>
              <m:t>ϕ</m:t>
            </m:r>
          </m:e>
          <m:sub>
            <m:r>
              <w:rPr>
                <w:rFonts w:ascii="Cambria Math" w:hAnsi="Cambria Math"/>
              </w:rPr>
              <m:t>ij</m:t>
            </m:r>
          </m:sub>
        </m:sSub>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m:rPr>
                    <m:sty m:val="p"/>
                  </m:rPr>
                  <w:rPr>
                    <w:rFonts w:ascii="Cambria Math" w:eastAsiaTheme="minorEastAsia" w:hAnsi="Cambria Math"/>
                  </w:rPr>
                  <m:t>ϵ</m:t>
                </m:r>
                <m:d>
                  <m:dPr>
                    <m:begChr m:val="["/>
                    <m:endChr m:val="]"/>
                    <m:ctrlPr>
                      <w:rPr>
                        <w:rFonts w:ascii="Cambria Math" w:eastAsiaTheme="minorEastAsia" w:hAnsi="Cambria Math"/>
                        <w:i/>
                      </w:rPr>
                    </m:ctrlPr>
                  </m:dPr>
                  <m:e>
                    <m:r>
                      <w:rPr>
                        <w:rFonts w:ascii="Cambria Math" w:eastAsiaTheme="minorEastAsia" w:hAnsi="Cambria Math"/>
                      </w:rPr>
                      <m:t>1+</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i</m:t>
                                    </m:r>
                                  </m:sub>
                                </m:sSub>
                              </m:num>
                              <m:den>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j</m:t>
                                    </m:r>
                                  </m:sub>
                                </m:sSub>
                              </m:den>
                            </m:f>
                          </m:e>
                        </m:d>
                      </m:e>
                      <m:sup>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p>
                    </m:sSup>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j</m:t>
                                    </m:r>
                                  </m:sub>
                                </m:sSub>
                              </m:num>
                              <m:den>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i</m:t>
                                    </m:r>
                                  </m:sub>
                                </m:sSub>
                              </m:den>
                            </m:f>
                          </m:e>
                        </m:d>
                      </m:e>
                      <m:sup>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sup>
                    </m:sSup>
                    <m:r>
                      <w:rPr>
                        <w:rFonts w:ascii="Cambria Math" w:eastAsiaTheme="minorEastAsia" w:hAnsi="Cambria Math"/>
                      </w:rPr>
                      <m:t xml:space="preserve"> </m:t>
                    </m:r>
                  </m:e>
                </m:d>
              </m:e>
              <m:sup>
                <m:r>
                  <w:rPr>
                    <w:rFonts w:ascii="Cambria Math" w:eastAsiaTheme="minorEastAsia" w:hAnsi="Cambria Math"/>
                  </w:rPr>
                  <m:t>2</m:t>
                </m:r>
              </m:sup>
            </m:sSup>
          </m:num>
          <m:den>
            <m:sSup>
              <m:sSupPr>
                <m:ctrlPr>
                  <w:rPr>
                    <w:rFonts w:ascii="Cambria Math" w:eastAsiaTheme="minorEastAsia" w:hAnsi="Cambria Math"/>
                    <w:i/>
                  </w:rPr>
                </m:ctrlPr>
              </m:sSupPr>
              <m:e>
                <m:d>
                  <m:dPr>
                    <m:begChr m:val="["/>
                    <m:endChr m:val="]"/>
                    <m:ctrlPr>
                      <w:rPr>
                        <w:rFonts w:ascii="Cambria Math" w:eastAsiaTheme="minorEastAsia" w:hAnsi="Cambria Math"/>
                        <w:i/>
                      </w:rPr>
                    </m:ctrlPr>
                  </m:dPr>
                  <m:e>
                    <m:r>
                      <w:rPr>
                        <w:rFonts w:ascii="Cambria Math" w:eastAsiaTheme="minorEastAsia" w:hAnsi="Cambria Math"/>
                      </w:rPr>
                      <m:t>8</m:t>
                    </m:r>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i</m:t>
                                </m:r>
                              </m:sub>
                            </m:sSub>
                          </m:num>
                          <m:den>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j</m:t>
                                </m:r>
                              </m:sub>
                            </m:sSub>
                          </m:den>
                        </m:f>
                      </m:e>
                    </m:d>
                  </m:e>
                </m:d>
              </m:e>
              <m:sup>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p>
            </m:sSup>
          </m:den>
        </m:f>
      </m:oMath>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t>(3.42)</w:t>
      </w:r>
    </w:p>
    <w:p w14:paraId="11CA4E70" w14:textId="77777777" w:rsidR="00A93D24" w:rsidRDefault="00A93D24" w:rsidP="00A93D24">
      <w:pPr>
        <w:ind w:firstLine="0"/>
        <w:rPr>
          <w:rFonts w:eastAsiaTheme="minorEastAsia"/>
        </w:rPr>
      </w:pPr>
      <w:r>
        <w:rPr>
          <w:rFonts w:eastAsiaTheme="minorEastAsia"/>
        </w:rPr>
        <w:t xml:space="preserve">where </w:t>
      </w:r>
      <m:oMath>
        <m:r>
          <w:rPr>
            <w:rFonts w:ascii="Cambria Math" w:eastAsiaTheme="minorEastAsia" w:hAnsi="Cambria Math"/>
          </w:rPr>
          <m:t>ϵ</m:t>
        </m:r>
      </m:oMath>
      <w:r>
        <w:rPr>
          <w:rFonts w:eastAsiaTheme="minorEastAsia"/>
        </w:rPr>
        <w:t xml:space="preserve"> is a constant at or near unity, and </w:t>
      </w:r>
      <m:oMath>
        <m:r>
          <w:rPr>
            <w:rFonts w:ascii="Cambria Math" w:eastAsiaTheme="minorEastAsia" w:hAnsi="Cambria Math"/>
          </w:rPr>
          <m:t>M</m:t>
        </m:r>
      </m:oMath>
      <w:r>
        <w:rPr>
          <w:rFonts w:eastAsiaTheme="minorEastAsia"/>
        </w:rPr>
        <w:t xml:space="preserve"> is the molar mass of a particular species in the gas mixture. For viscosity, the formula setup is identical, but the thermal conductivity </w:t>
      </w:r>
      <m:oMath>
        <m:r>
          <w:rPr>
            <w:rFonts w:ascii="Cambria Math" w:eastAsiaTheme="minorEastAsia" w:hAnsi="Cambria Math"/>
          </w:rPr>
          <m:t>γ</m:t>
        </m:r>
      </m:oMath>
      <w:r>
        <w:rPr>
          <w:rFonts w:eastAsiaTheme="minorEastAsia"/>
        </w:rPr>
        <w:t xml:space="preserve"> values are swapped out with viscosity </w:t>
      </w:r>
      <m:oMath>
        <m:r>
          <w:rPr>
            <w:rFonts w:ascii="Cambria Math" w:eastAsiaTheme="minorEastAsia" w:hAnsi="Cambria Math"/>
          </w:rPr>
          <m:t>μ</m:t>
        </m:r>
      </m:oMath>
      <w:r>
        <w:rPr>
          <w:rFonts w:eastAsiaTheme="minorEastAsia"/>
        </w:rPr>
        <w:t xml:space="preserve"> values, and </w:t>
      </w:r>
      <m:oMath>
        <m:r>
          <w:rPr>
            <w:rFonts w:ascii="Cambria Math" w:eastAsiaTheme="minorEastAsia" w:hAnsi="Cambria Math"/>
          </w:rPr>
          <m:t>ϵ</m:t>
        </m:r>
      </m:oMath>
      <w:r>
        <w:rPr>
          <w:rFonts w:eastAsiaTheme="minorEastAsia"/>
        </w:rPr>
        <w:t xml:space="preserve"> </w:t>
      </w:r>
      <w:r>
        <w:rPr>
          <w:rFonts w:eastAsiaTheme="minorEastAsia"/>
          <w:i/>
          <w:iCs/>
        </w:rPr>
        <w:t>must</w:t>
      </w:r>
      <w:r>
        <w:rPr>
          <w:rFonts w:eastAsiaTheme="minorEastAsia"/>
        </w:rPr>
        <w:t xml:space="preserve"> equal one, rather than sometimes only being </w:t>
      </w:r>
      <w:r>
        <w:rPr>
          <w:rFonts w:eastAsiaTheme="minorEastAsia"/>
          <w:i/>
          <w:iCs/>
        </w:rPr>
        <w:t>close</w:t>
      </w:r>
      <w:r>
        <w:rPr>
          <w:rFonts w:eastAsiaTheme="minorEastAsia"/>
        </w:rPr>
        <w:t xml:space="preserve"> to one.</w:t>
      </w:r>
    </w:p>
    <w:p w14:paraId="192FE666" w14:textId="77777777" w:rsidR="00A93D24" w:rsidRDefault="00A93D24" w:rsidP="00A93D24">
      <w:r>
        <w:t>The convective heat transfer coefficients are calculated from the remaining fluid parameters, starting with the following:</w:t>
      </w:r>
    </w:p>
    <w:p w14:paraId="5DA68F83" w14:textId="77777777" w:rsidR="00A93D24" w:rsidRPr="00150A69" w:rsidRDefault="00A93D24" w:rsidP="00A93D24">
      <w:pPr>
        <w:jc w:val="right"/>
        <w:rPr>
          <w:rFonts w:eastAsiaTheme="minorEastAsia"/>
        </w:rPr>
      </w:pPr>
      <m:oMath>
        <m:r>
          <w:rPr>
            <w:rFonts w:ascii="Cambria Math" w:hAnsi="Cambria Math"/>
          </w:rPr>
          <m:t>h=</m:t>
        </m:r>
        <m:f>
          <m:fPr>
            <m:ctrlPr>
              <w:rPr>
                <w:rFonts w:ascii="Cambria Math" w:hAnsi="Cambria Math"/>
                <w:i/>
              </w:rPr>
            </m:ctrlPr>
          </m:fPr>
          <m:num>
            <m:r>
              <w:rPr>
                <w:rFonts w:ascii="Cambria Math" w:hAnsi="Cambria Math"/>
              </w:rPr>
              <m:t>Nu*λ</m:t>
            </m:r>
          </m:num>
          <m:den>
            <m:sSub>
              <m:sSubPr>
                <m:ctrlPr>
                  <w:rPr>
                    <w:rFonts w:ascii="Cambria Math" w:hAnsi="Cambria Math"/>
                    <w:i/>
                  </w:rPr>
                </m:ctrlPr>
              </m:sSubPr>
              <m:e>
                <m:r>
                  <w:rPr>
                    <w:rFonts w:ascii="Cambria Math" w:hAnsi="Cambria Math"/>
                  </w:rPr>
                  <m:t>d</m:t>
                </m:r>
              </m:e>
              <m:sub>
                <m:r>
                  <w:rPr>
                    <w:rFonts w:ascii="Cambria Math" w:hAnsi="Cambria Math"/>
                  </w:rPr>
                  <m:t>h</m:t>
                </m:r>
              </m:sub>
            </m:sSub>
          </m:den>
        </m:f>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(3.43)</w:t>
      </w:r>
    </w:p>
    <w:p w14:paraId="59DC7C7A" w14:textId="77777777" w:rsidR="00A93D24" w:rsidRDefault="00A93D24" w:rsidP="00A93D24">
      <w:pPr>
        <w:rPr>
          <w:rFonts w:eastAsiaTheme="minorEastAsia"/>
        </w:rPr>
      </w:pPr>
      <m:oMath>
        <m:r>
          <w:rPr>
            <w:rFonts w:ascii="Cambria Math" w:eastAsiaTheme="minorEastAsia" w:hAnsi="Cambria Math"/>
          </w:rPr>
          <m:t>λ</m:t>
        </m:r>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h</m:t>
            </m:r>
          </m:sub>
        </m:sSub>
      </m:oMath>
      <w:r>
        <w:rPr>
          <w:rFonts w:eastAsiaTheme="minorEastAsia"/>
        </w:rPr>
        <w:t xml:space="preserve"> are known, and the Graetz-Lèvêque correlation is assumed here to estimate </w:t>
      </w:r>
      <m:oMath>
        <m:r>
          <w:rPr>
            <w:rFonts w:ascii="Cambria Math" w:eastAsiaTheme="minorEastAsia" w:hAnsi="Cambria Math"/>
          </w:rPr>
          <m:t>Nu</m:t>
        </m:r>
      </m:oMath>
      <w:r>
        <w:rPr>
          <w:rFonts w:eastAsiaTheme="minorEastAsia"/>
        </w:rPr>
        <w:t>:</w:t>
      </w:r>
    </w:p>
    <w:p w14:paraId="7AA03B6B" w14:textId="77777777" w:rsidR="00A93D24" w:rsidRPr="00DC69AF" w:rsidRDefault="00A93D24" w:rsidP="00A93D24">
      <w:pPr>
        <w:jc w:val="right"/>
        <w:rPr>
          <w:rFonts w:eastAsiaTheme="minorEastAsia"/>
        </w:rPr>
      </w:pPr>
      <m:oMath>
        <m:r>
          <w:rPr>
            <w:rFonts w:ascii="Cambria Math" w:hAnsi="Cambria Math"/>
          </w:rPr>
          <m:t>Nu=1.86</m:t>
        </m:r>
        <m:sSup>
          <m:sSupPr>
            <m:ctrlPr>
              <w:rPr>
                <w:rFonts w:ascii="Cambria Math" w:hAnsi="Cambria Math"/>
                <w:i/>
              </w:rPr>
            </m:ctrlPr>
          </m:sSupPr>
          <m:e>
            <m:d>
              <m:dPr>
                <m:ctrlPr>
                  <w:rPr>
                    <w:rFonts w:ascii="Cambria Math" w:hAnsi="Cambria Math"/>
                    <w:i/>
                  </w:rPr>
                </m:ctrlPr>
              </m:dPr>
              <m:e>
                <m:r>
                  <w:rPr>
                    <w:rFonts w:ascii="Cambria Math" w:hAnsi="Cambria Math"/>
                  </w:rPr>
                  <m:t>Re*Pr*</m:t>
                </m:r>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h</m:t>
                        </m:r>
                      </m:sub>
                    </m:sSub>
                  </m:num>
                  <m:den>
                    <m:r>
                      <w:rPr>
                        <w:rFonts w:ascii="Cambria Math" w:hAnsi="Cambria Math"/>
                      </w:rPr>
                      <m:t>L</m:t>
                    </m:r>
                  </m:den>
                </m:f>
              </m:e>
            </m:d>
          </m:e>
          <m:sup>
            <m:f>
              <m:fPr>
                <m:ctrlPr>
                  <w:rPr>
                    <w:rFonts w:ascii="Cambria Math" w:hAnsi="Cambria Math"/>
                    <w:i/>
                  </w:rPr>
                </m:ctrlPr>
              </m:fPr>
              <m:num>
                <m:r>
                  <w:rPr>
                    <w:rFonts w:ascii="Cambria Math" w:hAnsi="Cambria Math"/>
                  </w:rPr>
                  <m:t>1</m:t>
                </m:r>
              </m:num>
              <m:den>
                <m:r>
                  <w:rPr>
                    <w:rFonts w:ascii="Cambria Math" w:hAnsi="Cambria Math"/>
                  </w:rPr>
                  <m:t>3</m:t>
                </m:r>
              </m:den>
            </m:f>
          </m:sup>
        </m:sSup>
      </m:oMath>
      <w:r>
        <w:rPr>
          <w:rFonts w:eastAsiaTheme="minorEastAsia"/>
        </w:rPr>
        <w:tab/>
      </w:r>
      <w:r>
        <w:rPr>
          <w:rFonts w:eastAsiaTheme="minorEastAsia"/>
        </w:rPr>
        <w:tab/>
      </w:r>
      <w:r>
        <w:rPr>
          <w:rFonts w:eastAsiaTheme="minorEastAsia"/>
        </w:rPr>
        <w:tab/>
      </w:r>
      <w:r>
        <w:rPr>
          <w:rFonts w:eastAsiaTheme="minorEastAsia"/>
        </w:rPr>
        <w:tab/>
        <w:t>(3.44)</w:t>
      </w:r>
    </w:p>
    <w:p w14:paraId="701475AC" w14:textId="6DCB05AA" w:rsidR="00A93D24" w:rsidRDefault="00A93D24" w:rsidP="00A93D24">
      <w:pPr>
        <w:ind w:firstLine="0"/>
        <w:rPr>
          <w:rFonts w:eastAsiaTheme="minorEastAsia"/>
        </w:rPr>
      </w:pPr>
      <w:r>
        <w:rPr>
          <w:rFonts w:eastAsiaTheme="minorEastAsia"/>
        </w:rPr>
        <w:t xml:space="preserve">where </w:t>
      </w:r>
      <m:oMath>
        <m:r>
          <w:rPr>
            <w:rFonts w:ascii="Cambria Math" w:eastAsiaTheme="minorEastAsia" w:hAnsi="Cambria Math"/>
          </w:rPr>
          <m:t>L</m:t>
        </m:r>
      </m:oMath>
      <w:r>
        <w:rPr>
          <w:rFonts w:eastAsiaTheme="minorEastAsia"/>
        </w:rPr>
        <w:t xml:space="preserve"> is the length of the considered flowing section. This correlation assumes laminar flow with a </w:t>
      </w:r>
      <m:oMath>
        <m:r>
          <w:rPr>
            <w:rFonts w:ascii="Cambria Math" w:eastAsiaTheme="minorEastAsia" w:hAnsi="Cambria Math"/>
          </w:rPr>
          <m:t>Re&lt;2100</m:t>
        </m:r>
      </m:oMath>
      <w:r>
        <w:rPr>
          <w:rFonts w:eastAsiaTheme="minorEastAsia"/>
        </w:rPr>
        <w:t xml:space="preserve"> </w:t>
      </w:r>
      <w:r>
        <w:rPr>
          <w:rFonts w:eastAsiaTheme="minorEastAsia"/>
        </w:rPr>
        <w:fldChar w:fldCharType="begin"/>
      </w:r>
      <w:r w:rsidR="00CA7A9D">
        <w:rPr>
          <w:rFonts w:eastAsiaTheme="minorEastAsia"/>
        </w:rPr>
        <w:instrText xml:space="preserve"> ADDIN ZOTERO_ITEM CSL_CITATION {"citationID":"a21k5tair8g","properties":{"formattedCitation":"[94]","plainCitation":"[94]","noteIndex":0},"citationItems":[{"id":827,"uris":["http://zotero.org/users/12063231/items/MK8VSP9U"],"itemData":{"id":827,"type":"article-journal","abstract":"The objective of the present work was to investigate the mass transport and fouling mechanism of direct contact membrane distillation (DCMD) process. The experiments were performed on a flat sheet module using pure water and humic acid solution as feeds. The membrane employed was hydrophobic PVDF of pore size 0.22μm. The mass transfer models based on Dusty gas model were applied to fit the flux data and the pressure blocking filtration laws were employed to explain the membrane fouling. The results showed that molecular diffusion was the most suitable model for predicting fluxes of both laminar and turbulent flow. Fouling of the membrane by humic acid aggregates can be described by cake filtration model. The transport resistance of the feed boundary layer was higher than other resistances, and fouling resistance increased significantly with time.","container-title":"Journal of Membrane Science","DOI":"10.1016/j.memsci.2005.10.028","ISSN":"0376-7388","issue":"1","journalAbbreviation":"Journal of Membrane Science","page":"186-194","source":"ScienceDirect","title":"Mass transfer mechanisms and transport resistances in direct contact membrane distillation process","volume":"277","author":[{"family":"Srisurichan","given":"Surapit"},{"family":"Jiraratananon","given":"Ratana"},{"family":"Fane","given":"A. G."}],"issued":{"date-parts":[["2006",6,1]]}}}],"schema":"https://github.com/citation-style-language/schema/raw/master/csl-citation.json"} </w:instrText>
      </w:r>
      <w:r>
        <w:rPr>
          <w:rFonts w:eastAsiaTheme="minorEastAsia"/>
        </w:rPr>
        <w:fldChar w:fldCharType="separate"/>
      </w:r>
      <w:r w:rsidR="00CA7A9D" w:rsidRPr="00CA7A9D">
        <w:rPr>
          <w:rFonts w:ascii="Aptos" w:hAnsi="Aptos"/>
        </w:rPr>
        <w:t>[94]</w:t>
      </w:r>
      <w:r>
        <w:rPr>
          <w:rFonts w:eastAsiaTheme="minorEastAsia"/>
        </w:rPr>
        <w:fldChar w:fldCharType="end"/>
      </w:r>
      <w:r>
        <w:rPr>
          <w:rFonts w:eastAsiaTheme="minorEastAsia"/>
        </w:rPr>
        <w:t xml:space="preserve">. The Reynolds number and Prandtl number used in the calculation of </w:t>
      </w:r>
      <m:oMath>
        <m:r>
          <w:rPr>
            <w:rFonts w:ascii="Cambria Math" w:eastAsiaTheme="minorEastAsia" w:hAnsi="Cambria Math"/>
          </w:rPr>
          <m:t>Nu</m:t>
        </m:r>
      </m:oMath>
      <w:r>
        <w:rPr>
          <w:rFonts w:eastAsiaTheme="minorEastAsia"/>
        </w:rPr>
        <w:t xml:space="preserve"> are calculated by the general equations</w:t>
      </w:r>
    </w:p>
    <w:p w14:paraId="5BF346C9" w14:textId="77777777" w:rsidR="00A93D24" w:rsidRPr="007F428E" w:rsidRDefault="00A93D24" w:rsidP="00A93D24">
      <w:pPr>
        <w:ind w:firstLine="0"/>
        <w:jc w:val="right"/>
        <w:rPr>
          <w:rFonts w:eastAsiaTheme="minorEastAsia"/>
        </w:rPr>
      </w:pPr>
      <m:oMath>
        <m:r>
          <w:rPr>
            <w:rFonts w:ascii="Cambria Math" w:eastAsiaTheme="minorEastAsia" w:hAnsi="Cambria Math"/>
          </w:rPr>
          <m:t>Re=</m:t>
        </m:r>
        <m:f>
          <m:fPr>
            <m:ctrlPr>
              <w:rPr>
                <w:rFonts w:ascii="Cambria Math" w:eastAsiaTheme="minorEastAsia" w:hAnsi="Cambria Math"/>
                <w:i/>
              </w:rPr>
            </m:ctrlPr>
          </m:fPr>
          <m:num>
            <m:r>
              <w:rPr>
                <w:rFonts w:ascii="Cambria Math" w:eastAsiaTheme="minorEastAsia" w:hAnsi="Cambria Math"/>
              </w:rPr>
              <m:t>ρ</m:t>
            </m:r>
            <m:acc>
              <m:accPr>
                <m:chr m:val="⃑"/>
                <m:ctrlPr>
                  <w:rPr>
                    <w:rFonts w:ascii="Cambria Math" w:eastAsiaTheme="minorEastAsia" w:hAnsi="Cambria Math"/>
                    <w:i/>
                  </w:rPr>
                </m:ctrlPr>
              </m:accPr>
              <m:e>
                <m:r>
                  <w:rPr>
                    <w:rFonts w:ascii="Cambria Math" w:eastAsiaTheme="minorEastAsia" w:hAnsi="Cambria Math"/>
                  </w:rPr>
                  <m:t>V</m:t>
                </m:r>
              </m:e>
            </m:acc>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h</m:t>
                </m:r>
              </m:sub>
            </m:sSub>
          </m:num>
          <m:den>
            <m:r>
              <w:rPr>
                <w:rFonts w:ascii="Cambria Math" w:eastAsiaTheme="minorEastAsia" w:hAnsi="Cambria Math"/>
              </w:rPr>
              <m:t>μ</m:t>
            </m:r>
          </m:den>
        </m:f>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(3.45)</w:t>
      </w:r>
    </w:p>
    <w:p w14:paraId="1EEF7E3D" w14:textId="77777777" w:rsidR="00A93D24" w:rsidRPr="00375B08" w:rsidRDefault="00A93D24" w:rsidP="00A93D24">
      <w:pPr>
        <w:ind w:firstLine="0"/>
        <w:jc w:val="right"/>
        <w:rPr>
          <w:rFonts w:eastAsiaTheme="minorEastAsia"/>
        </w:rPr>
      </w:pPr>
      <m:oMath>
        <m:r>
          <w:rPr>
            <w:rFonts w:ascii="Cambria Math" w:eastAsiaTheme="minorEastAsia" w:hAnsi="Cambria Math"/>
          </w:rPr>
          <m:t>Pr=</m:t>
        </m:r>
        <m:f>
          <m:fPr>
            <m:ctrlPr>
              <w:rPr>
                <w:rFonts w:ascii="Cambria Math" w:eastAsiaTheme="minorEastAsia" w:hAnsi="Cambria Math"/>
                <w:i/>
              </w:rPr>
            </m:ctrlPr>
          </m:fPr>
          <m:num>
            <m:r>
              <w:rPr>
                <w:rFonts w:ascii="Cambria Math" w:eastAsiaTheme="minorEastAsia" w:hAnsi="Cambria Math"/>
              </w:rPr>
              <m:t>μ</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p</m:t>
                </m:r>
              </m:sub>
            </m:sSub>
          </m:num>
          <m:den>
            <m:r>
              <w:rPr>
                <w:rFonts w:ascii="Cambria Math" w:eastAsiaTheme="minorEastAsia" w:hAnsi="Cambria Math"/>
              </w:rPr>
              <m:t>λ</m:t>
            </m:r>
          </m:den>
        </m:f>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(3.46)</w:t>
      </w:r>
    </w:p>
    <w:p w14:paraId="64CAAF3E" w14:textId="77777777" w:rsidR="00A93D24" w:rsidRDefault="00A93D24" w:rsidP="00A93D24">
      <w:pPr>
        <w:ind w:firstLine="0"/>
        <w:rPr>
          <w:rFonts w:eastAsiaTheme="minorEastAsia"/>
        </w:rPr>
      </w:pPr>
      <w:r>
        <w:rPr>
          <w:rFonts w:eastAsiaTheme="minorEastAsia"/>
        </w:rPr>
        <w:t xml:space="preserve">where </w:t>
      </w:r>
      <m:oMath>
        <m:r>
          <w:rPr>
            <w:rFonts w:ascii="Cambria Math" w:eastAsiaTheme="minorEastAsia" w:hAnsi="Cambria Math"/>
          </w:rPr>
          <m:t>ρ</m:t>
        </m:r>
      </m:oMath>
      <w:r>
        <w:rPr>
          <w:rFonts w:eastAsiaTheme="minorEastAsia"/>
        </w:rPr>
        <w:t xml:space="preserve"> is the density of the gas mixture calculated by the ideal gas law, and </w:t>
      </w:r>
      <m:oMath>
        <m:acc>
          <m:accPr>
            <m:chr m:val="⃑"/>
            <m:ctrlPr>
              <w:rPr>
                <w:rFonts w:ascii="Cambria Math" w:eastAsiaTheme="minorEastAsia" w:hAnsi="Cambria Math"/>
                <w:i/>
              </w:rPr>
            </m:ctrlPr>
          </m:accPr>
          <m:e>
            <m:r>
              <w:rPr>
                <w:rFonts w:ascii="Cambria Math" w:eastAsiaTheme="minorEastAsia" w:hAnsi="Cambria Math"/>
              </w:rPr>
              <m:t>V</m:t>
            </m:r>
          </m:e>
        </m:acc>
      </m:oMath>
      <w:r>
        <w:rPr>
          <w:rFonts w:eastAsiaTheme="minorEastAsia"/>
        </w:rPr>
        <w:t xml:space="preserve"> is the velocity of the flow. The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p</m:t>
            </m:r>
          </m:sub>
        </m:sSub>
      </m:oMath>
      <w:r>
        <w:rPr>
          <w:rFonts w:eastAsiaTheme="minorEastAsia"/>
        </w:rPr>
        <w:t xml:space="preserve"> is calculated by</w:t>
      </w:r>
    </w:p>
    <w:p w14:paraId="4EB1C97F" w14:textId="77777777" w:rsidR="00A93D24" w:rsidRPr="00702D23" w:rsidRDefault="00924E48" w:rsidP="00A93D24">
      <w:pPr>
        <w:ind w:firstLine="0"/>
        <w:jc w:val="right"/>
        <w:rPr>
          <w:rFonts w:eastAsiaTheme="minorEastAsia"/>
        </w:rPr>
      </w:pP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p</m:t>
            </m:r>
          </m:sub>
        </m:sSub>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m:t>
            </m:r>
            <m:r>
              <w:rPr>
                <w:rFonts w:ascii="Cambria Math" w:eastAsiaTheme="minorEastAsia" w:hAnsi="Cambria Math"/>
              </w:rPr>
              <m:t>=1</m:t>
            </m:r>
          </m:sub>
          <m:sup>
            <m:r>
              <w:rPr>
                <w:rFonts w:ascii="Cambria Math" w:eastAsiaTheme="minorEastAsia" w:hAnsi="Cambria Math"/>
              </w:rPr>
              <m:t>n</m:t>
            </m:r>
          </m:sup>
          <m:e>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i</m:t>
                </m:r>
              </m:sub>
            </m:s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p</m:t>
                </m:r>
                <m:r>
                  <w:rPr>
                    <w:rFonts w:ascii="Cambria Math" w:eastAsiaTheme="minorEastAsia" w:hAnsi="Cambria Math"/>
                  </w:rPr>
                  <m:t>,</m:t>
                </m:r>
                <m:r>
                  <w:rPr>
                    <w:rFonts w:ascii="Cambria Math" w:eastAsiaTheme="minorEastAsia" w:hAnsi="Cambria Math"/>
                  </w:rPr>
                  <m:t>i</m:t>
                </m:r>
              </m:sub>
            </m:sSub>
          </m:e>
        </m:nary>
      </m:oMath>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r>
      <w:r w:rsidR="00A93D24">
        <w:rPr>
          <w:rFonts w:eastAsiaTheme="minorEastAsia"/>
        </w:rPr>
        <w:tab/>
        <w:t>(3.47)</w:t>
      </w:r>
    </w:p>
    <w:p w14:paraId="158BDD2A" w14:textId="77777777" w:rsidR="00A93D24" w:rsidRDefault="00A93D24" w:rsidP="00A93D24">
      <w:pPr>
        <w:ind w:firstLine="0"/>
        <w:rPr>
          <w:rFonts w:eastAsiaTheme="minorEastAsia"/>
        </w:rPr>
      </w:pPr>
      <w:r>
        <w:rPr>
          <w:rFonts w:eastAsiaTheme="minorEastAsia"/>
        </w:rPr>
        <w:t xml:space="preserve">where </w:t>
      </w:r>
      <m:oMath>
        <m:r>
          <w:rPr>
            <w:rFonts w:ascii="Cambria Math" w:eastAsiaTheme="minorEastAsia" w:hAnsi="Cambria Math"/>
          </w:rPr>
          <m:t>n</m:t>
        </m:r>
      </m:oMath>
      <w:r>
        <w:rPr>
          <w:rFonts w:eastAsiaTheme="minorEastAsia"/>
        </w:rPr>
        <w:t xml:space="preserve"> represents the number of species in the gas mixture.</w:t>
      </w:r>
    </w:p>
    <w:p w14:paraId="31B0476F" w14:textId="2E5E35C9" w:rsidR="00A93D24" w:rsidRDefault="00A93D24" w:rsidP="00A93D24">
      <w:r>
        <w:t xml:space="preserve">All the above constants </w:t>
      </w:r>
      <w:r w:rsidR="0020124E">
        <w:t>are</w:t>
      </w:r>
      <w:r>
        <w:t xml:space="preserve"> calculated at each discretized point along the </w:t>
      </w:r>
      <w:proofErr w:type="gramStart"/>
      <w:r>
        <w:t>cell, since</w:t>
      </w:r>
      <w:proofErr w:type="gramEnd"/>
      <w:r>
        <w:t xml:space="preserve"> all of them are dependent on temperature and the changing molar concentrations. </w:t>
      </w:r>
    </w:p>
    <w:p w14:paraId="52B1497C" w14:textId="77777777" w:rsidR="00A93D24" w:rsidRDefault="00A93D24" w:rsidP="00A93D24">
      <w:pPr>
        <w:pStyle w:val="Heading3"/>
      </w:pPr>
      <w:bookmarkStart w:id="85" w:name="_Toc165641081"/>
      <w:r>
        <w:t>3.5.2 Energy Balance in Gas Flows</w:t>
      </w:r>
      <w:bookmarkEnd w:id="85"/>
    </w:p>
    <w:p w14:paraId="765D03EB" w14:textId="77777777" w:rsidR="00A93D24" w:rsidRDefault="00A93D24" w:rsidP="00A93D24">
      <w:r>
        <w:t>The energy balance in the pre-fuel, reacting fuel, and air flow streams is considered here. For the pre-fuel, t</w:t>
      </w:r>
      <w:r>
        <w:rPr>
          <w:rFonts w:eastAsiaTheme="minorEastAsia"/>
        </w:rPr>
        <w:t>he coefficient for convection experiences a negligible change through the cell since the composition never changes inside the FDT. Therefore, the coefficient for convection for the pre-fuel is assumed to be equal to the coefficient for the reacting fuel inlet (</w:t>
      </w: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F,0</m:t>
            </m:r>
          </m:sub>
        </m:sSub>
      </m:oMath>
      <w:r>
        <w:rPr>
          <w:rFonts w:eastAsiaTheme="minorEastAsia"/>
        </w:rPr>
        <w:t xml:space="preserve">) to ease the computation demands. </w:t>
      </w:r>
      <w:r>
        <w:t>For the fuel inside the delivery tube, the energy balance considers the convective heat transfer coming in from the FDT, and the heat transfer between each of the discretized units of pre-fuel in the cell. This is represented as the following:</w:t>
      </w:r>
    </w:p>
    <w:p w14:paraId="696C4175" w14:textId="62A1C6FC" w:rsidR="00A93D24" w:rsidRPr="009034F0" w:rsidRDefault="00A93D24" w:rsidP="00A93D24">
      <w:pPr>
        <w:jc w:val="right"/>
        <w:rPr>
          <w:rFonts w:eastAsiaTheme="minorEastAsia"/>
        </w:rPr>
      </w:pPr>
      <m:oMath>
        <m:r>
          <w:rPr>
            <w:rFonts w:ascii="Cambria Math" w:hAnsi="Cambria Math"/>
          </w:rPr>
          <m:t>0=</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PF</m:t>
                    </m:r>
                  </m:sub>
                </m:sSub>
                <m:r>
                  <w:rPr>
                    <w:rFonts w:ascii="Cambria Math" w:eastAsiaTheme="minorEastAsia" w:hAnsi="Cambria Math"/>
                  </w:rPr>
                  <m:t>*2π</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m:t>
                    </m:r>
                  </m:sub>
                </m:sSub>
                <m:r>
                  <m:rPr>
                    <m:sty m:val="p"/>
                  </m:rPr>
                  <w:rPr>
                    <w:rFonts w:ascii="Cambria Math" w:eastAsiaTheme="minorEastAsia" w:hAnsi="Cambria Math"/>
                  </w:rPr>
                  <m:t>Δ</m:t>
                </m:r>
                <m:r>
                  <w:rPr>
                    <w:rFonts w:ascii="Cambria Math" w:eastAsiaTheme="minorEastAsia" w:hAnsi="Cambria Math"/>
                  </w:rPr>
                  <m:t>z*</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FDT,i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PF,i</m:t>
                        </m:r>
                      </m:sub>
                    </m:sSub>
                  </m:e>
                </m:d>
              </m:e>
            </m:d>
          </m:e>
          <m:sub>
            <m:r>
              <w:rPr>
                <w:rFonts w:ascii="Cambria Math" w:eastAsiaTheme="minorEastAsia" w:hAnsi="Cambria Math"/>
              </w:rPr>
              <m:t>conv in</m:t>
            </m:r>
          </m:sub>
        </m:sSub>
        <m:r>
          <w:rPr>
            <w:rFonts w:ascii="Cambria Math" w:eastAsiaTheme="minorEastAsia" w:hAnsi="Cambria Math"/>
          </w:rPr>
          <m:t>+</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PF,i-1</m:t>
                    </m:r>
                  </m:sub>
                </m:sSub>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PF,i-1</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PF</m:t>
                        </m:r>
                      </m:sub>
                    </m:sSub>
                  </m:e>
                </m:d>
                <m:r>
                  <w:rPr>
                    <w:rFonts w:ascii="Cambria Math" w:eastAsiaTheme="minorEastAsia" w:hAnsi="Cambria Math"/>
                  </w:rPr>
                  <m:t>-</m:t>
                </m:r>
                <m:sSub>
                  <m:sSubPr>
                    <m:ctrlPr>
                      <w:rPr>
                        <w:rFonts w:ascii="Cambria Math" w:eastAsiaTheme="minorEastAsia" w:hAnsi="Cambria Math"/>
                      </w:rPr>
                    </m:ctrlPr>
                  </m:sSubPr>
                  <m:e>
                    <m:r>
                      <m:rPr>
                        <m:sty m:val="p"/>
                      </m:rPr>
                      <w:rPr>
                        <w:rFonts w:ascii="Cambria Math" w:eastAsiaTheme="minorEastAsia" w:hAnsi="Cambria Math"/>
                      </w:rPr>
                      <m:t>N</m:t>
                    </m:r>
                  </m:e>
                  <m:sub>
                    <m:r>
                      <m:rPr>
                        <m:sty m:val="p"/>
                      </m:rPr>
                      <w:rPr>
                        <w:rFonts w:ascii="Cambria Math" w:eastAsiaTheme="minorEastAsia" w:hAnsi="Cambria Math"/>
                      </w:rPr>
                      <m:t>PF,i</m:t>
                    </m:r>
                  </m:sub>
                </m:sSub>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PF,i</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PF</m:t>
                        </m:r>
                      </m:sub>
                    </m:sSub>
                  </m:e>
                </m:d>
              </m:e>
            </m:d>
          </m:e>
          <m:sub>
            <m:r>
              <w:rPr>
                <w:rFonts w:ascii="Cambria Math" w:eastAsiaTheme="minorEastAsia" w:hAnsi="Cambria Math"/>
              </w:rPr>
              <m:t>Energy In-Energy Out</m:t>
            </m:r>
          </m:sub>
        </m:sSub>
      </m:oMath>
      <w:r>
        <w:rPr>
          <w:rFonts w:eastAsiaTheme="minorEastAsia"/>
        </w:rPr>
        <w:tab/>
      </w:r>
      <w:r>
        <w:rPr>
          <w:rFonts w:eastAsiaTheme="minorEastAsia"/>
        </w:rPr>
        <w:tab/>
        <w:t>(3.48)</w:t>
      </w:r>
    </w:p>
    <w:p w14:paraId="791825B4" w14:textId="62F398C8" w:rsidR="00A93D24" w:rsidRPr="005E17E8" w:rsidRDefault="00A93D24" w:rsidP="00A93D24">
      <w:pPr>
        <w:ind w:firstLine="0"/>
        <w:rPr>
          <w:rFonts w:eastAsiaTheme="minorEastAsia"/>
        </w:rPr>
      </w:pPr>
      <w:r>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m:t>
            </m:r>
          </m:sub>
        </m:sSub>
      </m:oMath>
      <w:r>
        <w:rPr>
          <w:rFonts w:eastAsiaTheme="minorEastAsia"/>
        </w:rPr>
        <w:t xml:space="preserve"> represents the radius of the first layer as depicted in </w:t>
      </w:r>
      <w:r>
        <w:rPr>
          <w:rFonts w:eastAsiaTheme="minorEastAsia"/>
        </w:rPr>
        <w:fldChar w:fldCharType="begin"/>
      </w:r>
      <w:r>
        <w:rPr>
          <w:rFonts w:eastAsiaTheme="minorEastAsia"/>
        </w:rPr>
        <w:instrText xml:space="preserve"> REF _Ref162453295 \h </w:instrText>
      </w:r>
      <w:r>
        <w:rPr>
          <w:rFonts w:eastAsiaTheme="minorEastAsia"/>
        </w:rPr>
      </w:r>
      <w:r>
        <w:rPr>
          <w:rFonts w:eastAsiaTheme="minorEastAsia"/>
        </w:rPr>
        <w:fldChar w:fldCharType="separate"/>
      </w:r>
      <w:r>
        <w:t xml:space="preserve">Figure </w:t>
      </w:r>
      <w:r>
        <w:rPr>
          <w:noProof/>
        </w:rPr>
        <w:t>1</w:t>
      </w:r>
      <w:r>
        <w:rPr>
          <w:rFonts w:eastAsiaTheme="minorEastAsia"/>
        </w:rPr>
        <w:fldChar w:fldCharType="end"/>
      </w: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PF</m:t>
            </m:r>
          </m:sub>
        </m:sSub>
      </m:oMath>
      <w:r>
        <w:rPr>
          <w:rFonts w:eastAsiaTheme="minorEastAsia"/>
        </w:rPr>
        <w:t xml:space="preserve"> represents the coefficient of convective heat transfer for the pre-fuel, </w:t>
      </w:r>
      <m:oMath>
        <m:r>
          <m:rPr>
            <m:sty m:val="p"/>
          </m:rPr>
          <w:rPr>
            <w:rFonts w:ascii="Cambria Math" w:eastAsiaTheme="minorEastAsia" w:hAnsi="Cambria Math"/>
          </w:rPr>
          <m:t>Δ</m:t>
        </m:r>
        <m:r>
          <w:rPr>
            <w:rFonts w:ascii="Cambria Math" w:eastAsiaTheme="minorEastAsia" w:hAnsi="Cambria Math"/>
          </w:rPr>
          <m:t>z</m:t>
        </m:r>
      </m:oMath>
      <w:r>
        <w:rPr>
          <w:rFonts w:eastAsiaTheme="minorEastAsia"/>
        </w:rPr>
        <w:t xml:space="preserve"> represents the length of a discretized unit of the cell length, and </w:t>
      </w:r>
      <m:oMath>
        <m:r>
          <m:rPr>
            <m:sty m:val="p"/>
          </m:rPr>
          <w:rPr>
            <w:rFonts w:ascii="Cambria Math" w:hAnsi="Cambria Math"/>
          </w:rPr>
          <m:t>Δ</m:t>
        </m:r>
        <m:sSub>
          <m:sSubPr>
            <m:ctrlPr>
              <w:rPr>
                <w:rFonts w:ascii="Cambria Math" w:hAnsi="Cambria Math"/>
                <w:i/>
              </w:rPr>
            </m:ctrlPr>
          </m:sSubPr>
          <m:e>
            <m:r>
              <w:rPr>
                <w:rFonts w:ascii="Cambria Math" w:hAnsi="Cambria Math"/>
              </w:rPr>
              <m:t>h</m:t>
            </m:r>
          </m:e>
          <m:sub>
            <m:r>
              <w:rPr>
                <w:rFonts w:ascii="Cambria Math" w:hAnsi="Cambria Math"/>
              </w:rPr>
              <m:t>PF,i</m:t>
            </m:r>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PF</m:t>
                </m:r>
              </m:sub>
            </m:sSub>
          </m:e>
        </m:d>
      </m:oMath>
      <w:r>
        <w:rPr>
          <w:rFonts w:eastAsiaTheme="minorEastAsia"/>
        </w:rPr>
        <w:t xml:space="preserve"> represents the enthalpy </w:t>
      </w:r>
      <m:oMath>
        <m:r>
          <m:rPr>
            <m:sty m:val="p"/>
          </m:rPr>
          <w:rPr>
            <w:rFonts w:ascii="Cambria Math" w:eastAsiaTheme="minorEastAsia" w:hAnsi="Cambria Math"/>
          </w:rPr>
          <m:t>Δ</m:t>
        </m:r>
        <m:r>
          <w:rPr>
            <w:rFonts w:ascii="Cambria Math" w:eastAsiaTheme="minorEastAsia" w:hAnsi="Cambria Math"/>
          </w:rPr>
          <m:t>h</m:t>
        </m:r>
      </m:oMath>
      <w:r>
        <w:rPr>
          <w:rFonts w:eastAsiaTheme="minorEastAsia"/>
        </w:rPr>
        <w:t xml:space="preserve"> of the pre-fuel stream at the determined temperature </w:t>
      </w:r>
      <m:oMath>
        <m:r>
          <w:rPr>
            <w:rFonts w:ascii="Cambria Math" w:eastAsiaTheme="minorEastAsia" w:hAnsi="Cambria Math"/>
          </w:rPr>
          <m:t>T</m:t>
        </m:r>
      </m:oMath>
      <w:r>
        <w:rPr>
          <w:rFonts w:eastAsiaTheme="minorEastAsia"/>
        </w:rPr>
        <w:t xml:space="preserve"> at each discretized point </w:t>
      </w:r>
      <m:oMath>
        <m:r>
          <w:rPr>
            <w:rFonts w:ascii="Cambria Math" w:eastAsiaTheme="minorEastAsia" w:hAnsi="Cambria Math"/>
          </w:rPr>
          <m:t>i</m:t>
        </m:r>
      </m:oMath>
      <w:r>
        <w:rPr>
          <w:rFonts w:eastAsiaTheme="minorEastAsia"/>
        </w:rPr>
        <w:t xml:space="preserve">. </w:t>
      </w:r>
    </w:p>
    <w:p w14:paraId="2E6B626D" w14:textId="75DCF067" w:rsidR="00A93D24" w:rsidRDefault="00A93D24" w:rsidP="00A93D24">
      <w:pPr>
        <w:rPr>
          <w:rFonts w:eastAsiaTheme="minorEastAsia"/>
        </w:rPr>
      </w:pPr>
      <w:r>
        <w:rPr>
          <w:rFonts w:eastAsiaTheme="minorEastAsia"/>
        </w:rPr>
        <w:t>The reacting fuel considers the convective heat transfer from the PEN structure, interconnects and the FDT, the change in enthalpy due to the reactions, and the heat transfer between the discretized units. The approach for the reactions is taken from the models created by Kazempoor</w:t>
      </w:r>
      <w:r w:rsidR="00F04C82">
        <w:rPr>
          <w:rFonts w:eastAsiaTheme="minorEastAsia"/>
        </w:rPr>
        <w:t xml:space="preserve"> </w:t>
      </w:r>
      <w:r w:rsidR="00F04C82">
        <w:rPr>
          <w:rFonts w:eastAsiaTheme="minorEastAsia"/>
        </w:rPr>
        <w:fldChar w:fldCharType="begin"/>
      </w:r>
      <w:r w:rsidR="00CA7A9D">
        <w:rPr>
          <w:rFonts w:eastAsiaTheme="minorEastAsia"/>
        </w:rPr>
        <w:instrText xml:space="preserve"> ADDIN ZOTERO_ITEM CSL_CITATION {"citationID":"a2oa956r7sm","properties":{"formattedCitation":"[77], [78], [85]","plainCitation":"[77], [78], [85]","noteIndex":0},"citationItems":[{"id":809,"uris":["http://zotero.org/users/12063231/items/86VEYUNF"],"itemData":{"id":809,"type":"article-journal","container-title":"Fuel Cells","DOI":"10.1002/fuce.200900082","issue":"6","language":"English","page":"1074-1094","title":"Modelling and Performance Evaluation of Solid Oxide Fuel Cell for Building Integrated Co- and Polygeneration","volume":"10","author":[{"family":"Kazempoor","given":"Pejman"},{"family":"Dorer","given":"Viktor"},{"family":"Fathollah","given":"Ommi"}],"issued":{"date-parts":[["2010"]]}}},{"id":887,"uris":["http://zotero.org/users/12063231/items/WHDJHSA2"],"itemData":{"id":887,"type":"article-journal","abstract":"The use of regenerative, high temperature solid oxide cells (SOCs) as energy storage devices has the potential for round-trip efficiencies that are competitive with other storage technologies. The focus of the current study is to investigate regenerative SOC operation (i.e., working in both fuel cell and electrolysis modes) through a combination of modeling and numerical simulation. As an intermediate step, this paper focuses on the electrolysis mode and presents a dynamic cell model that couples the reversible electrochemistry, reactant chemistry, and the thermo-fluidic phenomena inside a cell channel. The model is calibrated and validated using available experimental and numerical data for button cells, single cells, and multi-cell stacks supplied with either steam or syngas. Parametric studies are also performed to show how the investigated parameters affect model validity. The results show that the present model can accurately simulate the electrolytic cell behavior, especially in the low current range, which is a favored operating point in practical systems. It is observed that improvements in stack-level model precision require further investigation to better represent the contact resistance of the stack components and to improve the estimation of the activation polarization throughout the operating envelope. It is also concluded that the CO2 electrochemical reaction can be neglected when the concentration of the steam supplied to the cell is high enough to support the water–gas shift reaction.","container-title":"International Journal of Hydrogen Energy","DOI":"10.1016/j.ijhydene.2013.12.010","ISSN":"0360-3199","issue":"6","journalAbbreviation":"International Journal of Hydrogen Energy","page":"2669-2684","source":"ScienceDirect","title":"Model validation and performance analysis of regenerative solid oxide cells: Electrolytic operation","title-short":"Model validation and performance analysis of regenerative solid oxide cells","volume":"39","author":[{"family":"Kazempoor","given":"P."},{"family":"Braun","given":"R. J."}],"issued":{"date-parts":[["2014",2,14]]}}},{"id":885,"uris":["http://zotero.org/users/12063231/items/2YPLBP28"],"itemData":{"id":885,"type":"article-journal","abstract":"The need for electrical energy storage (EES) is being driven by the deployment of increasing amounts of intermittent renewable energy resources. In addition to their fuel flexibility, high efficiency, scalability, and long-term cost outlook, reversible (regenerative) solid oxide cell (rSOC) systems have the potential for round-trip efficiencies competitive with the other available energy storage technologies. Accordingly, the focus of the current study is to investigate modeling methods for high temperature rSOCs in order to facilitate future endeavors related to establishing optimal operating conditions and system designs. Previously developed solid oxide fuel cell (SOFC) and solid-oxide electrolytic cell (SOEC) models are integrated to form a general rSOC model. The model is first calibrated and validated based on the available experimental data in the extant literature. The validation results show that the fitting parameters extracted from the calibration study can precisely simulate the cell behavior under various operating conditions. The effects of key operating parameters, such as temperature, gas composition and fuel utilization, on the voltage–current density performance characteristic and thermoneutral voltage are then investigated. It is also observed that the total electrochemical losses of the cell can be significantly different in each operating mode (fuel cell and electrolyzing) under certain operating conditions. Advantages of pressurized operation on thermal management are also discussed.","container-title":"International Journal of Hydrogen Energy","DOI":"10.1016/j.ijhydene.2014.01.186","ISSN":"0360-3199","issue":"11","journalAbbreviation":"International Journal of Hydrogen Energy","page":"5955-5971","source":"ScienceDirect","title":"Model validation and performance analysis of regenerative solid oxide cells for energy storage applications: Reversible operation","title-short":"Model validation and performance analysis of regenerative solid oxide cells for energy storage applications","volume":"39","author":[{"family":"Kazempoor","given":"P."},{"family":"Braun","given":"R. J."}],"issued":{"date-parts":[["2014",4,4]]}}}],"schema":"https://github.com/citation-style-language/schema/raw/master/csl-citation.json"} </w:instrText>
      </w:r>
      <w:r w:rsidR="00F04C82">
        <w:rPr>
          <w:rFonts w:eastAsiaTheme="minorEastAsia"/>
        </w:rPr>
        <w:fldChar w:fldCharType="separate"/>
      </w:r>
      <w:r w:rsidR="00CA7A9D" w:rsidRPr="00CA7A9D">
        <w:rPr>
          <w:rFonts w:ascii="Aptos" w:hAnsi="Aptos"/>
        </w:rPr>
        <w:t>[77], [78], [85]</w:t>
      </w:r>
      <w:r w:rsidR="00F04C82">
        <w:rPr>
          <w:rFonts w:eastAsiaTheme="minorEastAsia"/>
        </w:rPr>
        <w:fldChar w:fldCharType="end"/>
      </w:r>
      <w:r>
        <w:rPr>
          <w:rFonts w:eastAsiaTheme="minorEastAsia"/>
        </w:rPr>
        <w:t xml:space="preserve"> and Xi </w:t>
      </w:r>
      <w:r>
        <w:rPr>
          <w:rFonts w:eastAsiaTheme="minorEastAsia"/>
        </w:rPr>
        <w:fldChar w:fldCharType="begin"/>
      </w:r>
      <w:r w:rsidR="00CA7A9D">
        <w:rPr>
          <w:rFonts w:eastAsiaTheme="minorEastAsia"/>
        </w:rPr>
        <w:instrText xml:space="preserve"> ADDIN ZOTERO_ITEM CSL_CITATION {"citationID":"a1e66qqkc8u","properties":{"formattedCitation":"[76]","plainCitation":"[76]","noteIndex":0},"citationItems":[{"id":805,"uris":["http://zotero.org/users/12063231/items/IV7WWVFD"],"itemData":{"id":805,"type":"thesis","event-place":"Ann Arbor, MI","language":"English","number-of-pages":"183","publisher":"University of Michigan","publisher-place":"Ann Arbor, MI","title":"Dynamic Modeling and Control of Planar SOFC Power Systems","author":[{"family":"Xi","given":"Handa"}],"issued":{"date-parts":[["2007"]]}}}],"schema":"https://github.com/citation-style-language/schema/raw/master/csl-citation.json"} </w:instrText>
      </w:r>
      <w:r>
        <w:rPr>
          <w:rFonts w:eastAsiaTheme="minorEastAsia"/>
        </w:rPr>
        <w:fldChar w:fldCharType="separate"/>
      </w:r>
      <w:r w:rsidR="00CA7A9D" w:rsidRPr="00CA7A9D">
        <w:rPr>
          <w:rFonts w:ascii="Aptos" w:hAnsi="Aptos"/>
        </w:rPr>
        <w:t>[76]</w:t>
      </w:r>
      <w:r>
        <w:rPr>
          <w:rFonts w:eastAsiaTheme="minorEastAsia"/>
        </w:rPr>
        <w:fldChar w:fldCharType="end"/>
      </w:r>
      <w:r>
        <w:rPr>
          <w:rFonts w:eastAsiaTheme="minorEastAsia"/>
        </w:rPr>
        <w:t>. Additionally, the radiation heat from the interconnects</w:t>
      </w:r>
      <w:r w:rsidR="00672582">
        <w:rPr>
          <w:rFonts w:eastAsiaTheme="minorEastAsia"/>
        </w:rPr>
        <w:t xml:space="preserve"> and PEN assembly</w:t>
      </w:r>
      <w:r>
        <w:rPr>
          <w:rFonts w:eastAsiaTheme="minorEastAsia"/>
        </w:rPr>
        <w:t xml:space="preserve"> is assumed to be absorbed by the </w:t>
      </w:r>
      <w:r w:rsidR="00672582">
        <w:rPr>
          <w:rFonts w:eastAsiaTheme="minorEastAsia"/>
        </w:rPr>
        <w:t>FDT</w:t>
      </w:r>
      <w:r>
        <w:rPr>
          <w:rFonts w:eastAsiaTheme="minorEastAsia"/>
        </w:rPr>
        <w:t xml:space="preserve">, and therefore does not have a noticeable effect on the temperature of the fuel, </w:t>
      </w:r>
      <w:r w:rsidR="00E332AA">
        <w:rPr>
          <w:rFonts w:eastAsiaTheme="minorEastAsia"/>
        </w:rPr>
        <w:t xml:space="preserve">which relationship has also been </w:t>
      </w:r>
      <w:r>
        <w:rPr>
          <w:rFonts w:eastAsiaTheme="minorEastAsia"/>
        </w:rPr>
        <w:t xml:space="preserve">assumed </w:t>
      </w:r>
      <w:r w:rsidR="00E332AA">
        <w:rPr>
          <w:rFonts w:eastAsiaTheme="minorEastAsia"/>
        </w:rPr>
        <w:t>in previous</w:t>
      </w:r>
      <w:r>
        <w:rPr>
          <w:rFonts w:eastAsiaTheme="minorEastAsia"/>
        </w:rPr>
        <w:t xml:space="preserve"> SOFC model</w:t>
      </w:r>
      <w:r w:rsidR="007431F4">
        <w:rPr>
          <w:rFonts w:eastAsiaTheme="minorEastAsia"/>
        </w:rPr>
        <w:t>s</w:t>
      </w:r>
      <w:r>
        <w:rPr>
          <w:rFonts w:eastAsiaTheme="minorEastAsia"/>
        </w:rPr>
        <w:t xml:space="preserve"> </w:t>
      </w:r>
      <w:r>
        <w:rPr>
          <w:rFonts w:eastAsiaTheme="minorEastAsia"/>
        </w:rPr>
        <w:fldChar w:fldCharType="begin"/>
      </w:r>
      <w:r w:rsidR="00CA7A9D">
        <w:rPr>
          <w:rFonts w:eastAsiaTheme="minorEastAsia"/>
        </w:rPr>
        <w:instrText xml:space="preserve"> ADDIN ZOTERO_ITEM CSL_CITATION {"citationID":"a1701bq0rkb","properties":{"formattedCitation":"[76]","plainCitation":"[76]","noteIndex":0},"citationItems":[{"id":805,"uris":["http://zotero.org/users/12063231/items/IV7WWVFD"],"itemData":{"id":805,"type":"thesis","event-place":"Ann Arbor, MI","language":"English","number-of-pages":"183","publisher":"University of Michigan","publisher-place":"Ann Arbor, MI","title":"Dynamic Modeling and Control of Planar SOFC Power Systems","author":[{"family":"Xi","given":"Handa"}],"issued":{"date-parts":[["2007"]]}}}],"schema":"https://github.com/citation-style-language/schema/raw/master/csl-citation.json"} </w:instrText>
      </w:r>
      <w:r>
        <w:rPr>
          <w:rFonts w:eastAsiaTheme="minorEastAsia"/>
        </w:rPr>
        <w:fldChar w:fldCharType="separate"/>
      </w:r>
      <w:r w:rsidR="00CA7A9D" w:rsidRPr="00CA7A9D">
        <w:rPr>
          <w:rFonts w:ascii="Aptos" w:hAnsi="Aptos"/>
        </w:rPr>
        <w:t>[76]</w:t>
      </w:r>
      <w:r>
        <w:rPr>
          <w:rFonts w:eastAsiaTheme="minorEastAsia"/>
        </w:rPr>
        <w:fldChar w:fldCharType="end"/>
      </w:r>
      <w:r>
        <w:rPr>
          <w:rFonts w:eastAsiaTheme="minorEastAsia"/>
        </w:rPr>
        <w:t>.</w:t>
      </w:r>
    </w:p>
    <w:p w14:paraId="68ABC923" w14:textId="77777777" w:rsidR="00A93D24" w:rsidRDefault="00A93D24" w:rsidP="00A93D24">
      <w:pPr>
        <w:rPr>
          <w:rFonts w:eastAsiaTheme="minorEastAsia"/>
        </w:rPr>
      </w:pPr>
      <w:r>
        <w:rPr>
          <w:rFonts w:eastAsiaTheme="minorEastAsia"/>
        </w:rPr>
        <w:t>The energy balance for the fuel is represented by the equation:</w:t>
      </w:r>
    </w:p>
    <w:p w14:paraId="5E1DF2F8" w14:textId="77777777" w:rsidR="00231CAC" w:rsidRDefault="00A93D24" w:rsidP="00A93D24">
      <w:pPr>
        <w:rPr>
          <w:rFonts w:eastAsiaTheme="minorEastAsia"/>
        </w:rPr>
      </w:pPr>
      <m:oMath>
        <m:r>
          <w:rPr>
            <w:rFonts w:ascii="Cambria Math" w:hAnsi="Cambria Math"/>
          </w:rPr>
          <m:t>0=</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F,i</m:t>
                    </m:r>
                  </m:sub>
                </m:sSub>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4</m:t>
                    </m:r>
                  </m:den>
                </m:f>
                <m:d>
                  <m:dPr>
                    <m:ctrlPr>
                      <w:rPr>
                        <w:rFonts w:ascii="Cambria Math" w:eastAsiaTheme="minorEastAsia" w:hAnsi="Cambria Math"/>
                        <w:i/>
                      </w:rPr>
                    </m:ctrlPr>
                  </m:dPr>
                  <m:e>
                    <m:r>
                      <w:rPr>
                        <w:rFonts w:ascii="Cambria Math" w:eastAsiaTheme="minorEastAsia" w:hAnsi="Cambria Math"/>
                      </w:rPr>
                      <m:t>2π</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3</m:t>
                        </m:r>
                      </m:sub>
                    </m:sSub>
                    <m:r>
                      <m:rPr>
                        <m:sty m:val="p"/>
                      </m:rPr>
                      <w:rPr>
                        <w:rFonts w:ascii="Cambria Math" w:eastAsiaTheme="minorEastAsia" w:hAnsi="Cambria Math"/>
                      </w:rPr>
                      <m:t>Δ</m:t>
                    </m:r>
                    <m:r>
                      <w:rPr>
                        <w:rFonts w:ascii="Cambria Math" w:eastAsiaTheme="minorEastAsia" w:hAnsi="Cambria Math"/>
                      </w:rPr>
                      <m:t>z</m:t>
                    </m:r>
                  </m:e>
                </m:d>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F,i</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 xml:space="preserve">F,i </m:t>
                    </m:r>
                  </m:sub>
                </m:sSub>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r>
                  <w:rPr>
                    <w:rFonts w:ascii="Cambria Math" w:eastAsiaTheme="minorEastAsia" w:hAnsi="Cambria Math"/>
                  </w:rPr>
                  <m:t>2π</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3</m:t>
                    </m:r>
                  </m:sub>
                </m:sSub>
                <m:r>
                  <m:rPr>
                    <m:sty m:val="p"/>
                  </m:rPr>
                  <w:rPr>
                    <w:rFonts w:ascii="Cambria Math" w:eastAsiaTheme="minorEastAsia" w:hAnsi="Cambria Math"/>
                  </w:rPr>
                  <m:t>Δ</m:t>
                </m:r>
                <m:r>
                  <w:rPr>
                    <w:rFonts w:ascii="Cambria Math" w:eastAsiaTheme="minorEastAsia" w:hAnsi="Cambria Math"/>
                  </w:rPr>
                  <m:t>z</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ICF,i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F,i</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F,i</m:t>
                    </m:r>
                  </m:sub>
                </m:sSub>
                <m:d>
                  <m:dPr>
                    <m:ctrlPr>
                      <w:rPr>
                        <w:rFonts w:ascii="Cambria Math" w:eastAsiaTheme="minorEastAsia" w:hAnsi="Cambria Math"/>
                        <w:i/>
                      </w:rPr>
                    </m:ctrlPr>
                  </m:dPr>
                  <m:e>
                    <m:r>
                      <w:rPr>
                        <w:rFonts w:ascii="Cambria Math" w:eastAsiaTheme="minorEastAsia" w:hAnsi="Cambria Math"/>
                      </w:rPr>
                      <m:t>2π</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m:t>
                        </m:r>
                      </m:sub>
                    </m:sSub>
                    <m:r>
                      <m:rPr>
                        <m:sty m:val="p"/>
                      </m:rPr>
                      <w:rPr>
                        <w:rFonts w:ascii="Cambria Math" w:eastAsiaTheme="minorEastAsia" w:hAnsi="Cambria Math"/>
                      </w:rPr>
                      <m:t>Δ</m:t>
                    </m:r>
                    <m:r>
                      <w:rPr>
                        <w:rFonts w:ascii="Cambria Math" w:eastAsiaTheme="minorEastAsia" w:hAnsi="Cambria Math"/>
                      </w:rPr>
                      <m:t>z</m:t>
                    </m:r>
                  </m:e>
                </m:d>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FDT,i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F,i</m:t>
                        </m:r>
                      </m:sub>
                    </m:sSub>
                  </m:e>
                </m:d>
              </m:e>
            </m:d>
          </m:e>
          <m:sub>
            <m:r>
              <w:rPr>
                <w:rFonts w:ascii="Cambria Math" w:eastAsiaTheme="minorEastAsia" w:hAnsi="Cambria Math"/>
              </w:rPr>
              <m:t>conv</m:t>
            </m:r>
          </m:sub>
        </m:sSub>
        <m:r>
          <w:rPr>
            <w:rFonts w:ascii="Cambria Math" w:eastAsiaTheme="minorEastAsia" w:hAnsi="Cambria Math"/>
          </w:rPr>
          <m:t>+</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me</m:t>
                    </m:r>
                  </m:sub>
                </m:sSub>
                <m:d>
                  <m:dPr>
                    <m:ctrlPr>
                      <w:rPr>
                        <w:rFonts w:ascii="Cambria Math" w:eastAsiaTheme="minorEastAsia" w:hAnsi="Cambria Math"/>
                        <w:i/>
                      </w:rPr>
                    </m:ctrlPr>
                  </m:dPr>
                  <m:e>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PEN,i</m:t>
                            </m:r>
                          </m:sub>
                        </m:sSub>
                      </m:e>
                    </m:d>
                    <m:r>
                      <w:rPr>
                        <w:rFonts w:ascii="Cambria Math" w:eastAsiaTheme="minorEastAsia" w:hAnsi="Cambria Math"/>
                      </w:rPr>
                      <m:t>+</m:t>
                    </m:r>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PEN,i</m:t>
                            </m:r>
                          </m:sub>
                        </m:sSub>
                      </m:e>
                    </m:d>
                    <m:r>
                      <w:rPr>
                        <w:rFonts w:ascii="Cambria Math" w:eastAsiaTheme="minorEastAsia" w:hAnsi="Cambria Math"/>
                      </w:rPr>
                      <m:t>-</m:t>
                    </m:r>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4</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F,i</m:t>
                            </m:r>
                          </m:sub>
                        </m:sSub>
                      </m:e>
                    </m:d>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eb</m:t>
                    </m:r>
                  </m:sub>
                </m:sSub>
                <m:d>
                  <m:dPr>
                    <m:ctrlPr>
                      <w:rPr>
                        <w:rFonts w:ascii="Cambria Math" w:eastAsiaTheme="minorEastAsia" w:hAnsi="Cambria Math"/>
                        <w:i/>
                      </w:rPr>
                    </m:ctrlPr>
                  </m:dPr>
                  <m:e>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6</m:t>
                            </m:r>
                          </m:sub>
                        </m:s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6</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PEN,i</m:t>
                            </m:r>
                          </m:sub>
                        </m:sSub>
                      </m:e>
                    </m:d>
                    <m:r>
                      <w:rPr>
                        <w:rFonts w:ascii="Cambria Math" w:eastAsiaTheme="minorEastAsia" w:hAnsi="Cambria Math"/>
                      </w:rPr>
                      <m:t>+3</m:t>
                    </m:r>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PEN,i</m:t>
                            </m:r>
                          </m:sub>
                        </m:sSub>
                      </m:e>
                    </m:d>
                    <m:r>
                      <w:rPr>
                        <w:rFonts w:ascii="Cambria Math" w:eastAsiaTheme="minorEastAsia" w:hAnsi="Cambria Math"/>
                      </w:rPr>
                      <m:t>-3</m:t>
                    </m:r>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4</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F,i</m:t>
                            </m:r>
                          </m:sub>
                        </m:sSub>
                      </m:e>
                    </m:d>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bt</m:t>
                    </m:r>
                  </m:sub>
                </m:sSub>
                <m:d>
                  <m:dPr>
                    <m:ctrlPr>
                      <w:rPr>
                        <w:rFonts w:ascii="Cambria Math" w:eastAsiaTheme="minorEastAsia" w:hAnsi="Cambria Math"/>
                        <w:i/>
                      </w:rPr>
                    </m:ctrlPr>
                  </m:dPr>
                  <m:e>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7</m:t>
                            </m:r>
                          </m:sub>
                        </m:s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8</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PEN,i</m:t>
                            </m:r>
                          </m:sub>
                        </m:sSub>
                      </m:e>
                    </m:d>
                    <m:r>
                      <w:rPr>
                        <w:rFonts w:ascii="Cambria Math" w:eastAsiaTheme="minorEastAsia" w:hAnsi="Cambria Math"/>
                      </w:rPr>
                      <m:t>+</m:t>
                    </m:r>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PEN,i</m:t>
                            </m:r>
                          </m:sub>
                        </m:sSub>
                      </m:e>
                    </m:d>
                    <m:r>
                      <w:rPr>
                        <w:rFonts w:ascii="Cambria Math" w:eastAsiaTheme="minorEastAsia" w:hAnsi="Cambria Math"/>
                      </w:rPr>
                      <m:t>-</m:t>
                    </m:r>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4</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F,i</m:t>
                            </m:r>
                          </m:sub>
                        </m:sSub>
                      </m:e>
                    </m:d>
                    <m:r>
                      <w:rPr>
                        <w:rFonts w:ascii="Cambria Math" w:eastAsiaTheme="minorEastAsia" w:hAnsi="Cambria Math"/>
                      </w:rPr>
                      <m:t>-</m:t>
                    </m:r>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6</m:t>
                            </m:r>
                          </m:sub>
                        </m:s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6</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F,i</m:t>
                            </m:r>
                          </m:sub>
                        </m:sSub>
                      </m:e>
                    </m:d>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po</m:t>
                    </m:r>
                  </m:sub>
                </m:sSub>
                <m:d>
                  <m:dPr>
                    <m:ctrlPr>
                      <w:rPr>
                        <w:rFonts w:ascii="Cambria Math" w:eastAsiaTheme="minorEastAsia" w:hAnsi="Cambria Math"/>
                        <w:i/>
                      </w:rPr>
                    </m:ctrlPr>
                  </m:dPr>
                  <m:e>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CO</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PEN,i</m:t>
                            </m:r>
                          </m:sub>
                        </m:sSub>
                      </m:e>
                    </m:d>
                    <m:r>
                      <w:rPr>
                        <w:rFonts w:ascii="Cambria Math" w:eastAsiaTheme="minorEastAsia" w:hAnsi="Cambria Math"/>
                      </w:rPr>
                      <m:t>+2</m:t>
                    </m:r>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PEN,i</m:t>
                            </m:r>
                          </m:sub>
                        </m:sSub>
                      </m:e>
                    </m:d>
                    <m:r>
                      <w:rPr>
                        <w:rFonts w:ascii="Cambria Math" w:eastAsiaTheme="minorEastAsia" w:hAnsi="Cambria Math"/>
                      </w:rPr>
                      <m:t>-</m:t>
                    </m:r>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4</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F,i</m:t>
                            </m:r>
                          </m:sub>
                        </m:sSub>
                      </m:e>
                    </m:d>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sr</m:t>
                    </m:r>
                  </m:sub>
                </m:sSub>
                <m:d>
                  <m:dPr>
                    <m:ctrlPr>
                      <w:rPr>
                        <w:rFonts w:ascii="Cambria Math" w:eastAsiaTheme="minorEastAsia" w:hAnsi="Cambria Math"/>
                        <w:i/>
                      </w:rPr>
                    </m:ctrlPr>
                  </m:dPr>
                  <m:e>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CO</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PEN,i</m:t>
                            </m:r>
                          </m:sub>
                        </m:sSub>
                      </m:e>
                    </m:d>
                    <m:r>
                      <w:rPr>
                        <w:rFonts w:ascii="Cambria Math" w:eastAsiaTheme="minorEastAsia" w:hAnsi="Cambria Math"/>
                      </w:rPr>
                      <m:t>+3</m:t>
                    </m:r>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PEN,i</m:t>
                            </m:r>
                          </m:sub>
                        </m:sSub>
                      </m:e>
                    </m:d>
                    <m:r>
                      <w:rPr>
                        <w:rFonts w:ascii="Cambria Math" w:eastAsiaTheme="minorEastAsia" w:hAnsi="Cambria Math"/>
                      </w:rPr>
                      <m:t>-</m:t>
                    </m:r>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4</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F,i</m:t>
                            </m:r>
                          </m:sub>
                        </m:sSub>
                      </m:e>
                    </m:d>
                    <m:r>
                      <w:rPr>
                        <w:rFonts w:ascii="Cambria Math" w:eastAsiaTheme="minorEastAsia" w:hAnsi="Cambria Math"/>
                      </w:rPr>
                      <m:t>-</m:t>
                    </m:r>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O</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F,i</m:t>
                            </m:r>
                          </m:sub>
                        </m:sSub>
                      </m:e>
                    </m:d>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wgs</m:t>
                    </m:r>
                  </m:sub>
                </m:sSub>
                <m:d>
                  <m:dPr>
                    <m:ctrlPr>
                      <w:rPr>
                        <w:rFonts w:ascii="Cambria Math" w:eastAsiaTheme="minorEastAsia" w:hAnsi="Cambria Math"/>
                        <w:i/>
                      </w:rPr>
                    </m:ctrlPr>
                  </m:dPr>
                  <m:e>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2</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PEN,i</m:t>
                            </m:r>
                          </m:sub>
                        </m:sSub>
                      </m:e>
                    </m:d>
                    <m:r>
                      <w:rPr>
                        <w:rFonts w:ascii="Cambria Math" w:eastAsiaTheme="minorEastAsia" w:hAnsi="Cambria Math"/>
                      </w:rPr>
                      <m:t>+</m:t>
                    </m:r>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PEN,i</m:t>
                            </m:r>
                          </m:sub>
                        </m:sSub>
                      </m:e>
                    </m:d>
                    <m:r>
                      <w:rPr>
                        <w:rFonts w:ascii="Cambria Math" w:eastAsiaTheme="minorEastAsia" w:hAnsi="Cambria Math"/>
                      </w:rPr>
                      <m:t>-</m:t>
                    </m:r>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O</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F,i</m:t>
                            </m:r>
                          </m:sub>
                        </m:sSub>
                      </m:e>
                    </m:d>
                    <m:r>
                      <w:rPr>
                        <w:rFonts w:ascii="Cambria Math" w:eastAsiaTheme="minorEastAsia" w:hAnsi="Cambria Math"/>
                      </w:rPr>
                      <m:t>-</m:t>
                    </m:r>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CO</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F,i</m:t>
                            </m:r>
                          </m:sub>
                        </m:sSub>
                      </m:e>
                    </m:d>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orr</m:t>
                    </m:r>
                  </m:sub>
                </m:sSub>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m:t>
                        </m:r>
                      </m:sub>
                    </m:sSub>
                  </m:e>
                </m:d>
              </m:e>
            </m:d>
          </m:e>
          <m:sub>
            <m:r>
              <w:rPr>
                <w:rFonts w:ascii="Cambria Math" w:eastAsiaTheme="minorEastAsia" w:hAnsi="Cambria Math"/>
              </w:rPr>
              <m:t>rxn enthalpy</m:t>
            </m:r>
          </m:sub>
        </m:sSub>
        <m:r>
          <w:rPr>
            <w:rFonts w:ascii="Cambria Math" w:eastAsiaTheme="minorEastAsia" w:hAnsi="Cambria Math"/>
          </w:rPr>
          <m:t>+</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F,i-1</m:t>
                    </m:r>
                  </m:sub>
                </m:sSub>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F,i-1</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m:t>
                        </m:r>
                      </m:sub>
                    </m:sSub>
                  </m:e>
                </m:d>
                <m:r>
                  <w:rPr>
                    <w:rFonts w:ascii="Cambria Math" w:eastAsiaTheme="minorEastAsia" w:hAnsi="Cambria Math"/>
                  </w:rPr>
                  <m:t>-</m:t>
                </m:r>
                <m:sSub>
                  <m:sSubPr>
                    <m:ctrlPr>
                      <w:rPr>
                        <w:rFonts w:ascii="Cambria Math" w:eastAsiaTheme="minorEastAsia" w:hAnsi="Cambria Math"/>
                      </w:rPr>
                    </m:ctrlPr>
                  </m:sSubPr>
                  <m:e>
                    <m:r>
                      <m:rPr>
                        <m:sty m:val="p"/>
                      </m:rPr>
                      <w:rPr>
                        <w:rFonts w:ascii="Cambria Math" w:eastAsiaTheme="minorEastAsia" w:hAnsi="Cambria Math"/>
                      </w:rPr>
                      <m:t>N</m:t>
                    </m:r>
                  </m:e>
                  <m:sub>
                    <m:r>
                      <m:rPr>
                        <m:sty m:val="p"/>
                      </m:rPr>
                      <w:rPr>
                        <w:rFonts w:ascii="Cambria Math" w:eastAsiaTheme="minorEastAsia" w:hAnsi="Cambria Math"/>
                      </w:rPr>
                      <m:t>F,i</m:t>
                    </m:r>
                  </m:sub>
                </m:sSub>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F,i</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m:t>
                        </m:r>
                      </m:sub>
                    </m:sSub>
                  </m:e>
                </m:d>
              </m:e>
            </m:d>
          </m:e>
          <m:sub>
            <m:r>
              <w:rPr>
                <w:rFonts w:ascii="Cambria Math" w:eastAsiaTheme="minorEastAsia" w:hAnsi="Cambria Math"/>
              </w:rPr>
              <m:t>Energy In-Energy Out</m:t>
            </m:r>
          </m:sub>
        </m:sSub>
      </m:oMath>
      <w:r>
        <w:rPr>
          <w:rFonts w:eastAsiaTheme="minorEastAsia"/>
        </w:rPr>
        <w:tab/>
      </w:r>
      <w:r>
        <w:rPr>
          <w:rFonts w:eastAsiaTheme="minorEastAsia"/>
        </w:rPr>
        <w:tab/>
      </w:r>
    </w:p>
    <w:p w14:paraId="21501FE1" w14:textId="35000DCB" w:rsidR="00A93D24" w:rsidRDefault="00A93D24" w:rsidP="00231CAC">
      <w:pPr>
        <w:jc w:val="right"/>
        <w:rPr>
          <w:rFonts w:eastAsiaTheme="minorEastAsia"/>
        </w:rPr>
      </w:pPr>
      <w:r>
        <w:rPr>
          <w:rFonts w:eastAsiaTheme="minorEastAsia"/>
        </w:rPr>
        <w:t>(3.49)</w:t>
      </w:r>
    </w:p>
    <w:p w14:paraId="19E3BE40" w14:textId="77777777" w:rsidR="00A93D24" w:rsidRPr="004930E5" w:rsidRDefault="00A93D24" w:rsidP="00A93D24">
      <w:pPr>
        <w:rPr>
          <w:rFonts w:eastAsiaTheme="minorEastAsia"/>
        </w:rPr>
      </w:pPr>
    </w:p>
    <w:p w14:paraId="510669FA" w14:textId="77777777" w:rsidR="00A93D24" w:rsidRPr="00066114" w:rsidRDefault="00A93D24" w:rsidP="00A93D24">
      <w:pPr>
        <w:ind w:firstLine="0"/>
        <w:rPr>
          <w:rFonts w:eastAsiaTheme="minorEastAsia"/>
        </w:rPr>
      </w:pPr>
      <w:r>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F</m:t>
            </m:r>
          </m:sub>
        </m:sSub>
      </m:oMath>
      <w:r>
        <w:rPr>
          <w:rFonts w:eastAsiaTheme="minorEastAsia"/>
        </w:rPr>
        <w:t xml:space="preserve"> is the convective heat transfer coefficient for the reacting fuel at discretized point </w:t>
      </w:r>
      <m:oMath>
        <m:r>
          <w:rPr>
            <w:rFonts w:ascii="Cambria Math" w:eastAsiaTheme="minorEastAsia" w:hAnsi="Cambria Math"/>
          </w:rPr>
          <m:t>i</m:t>
        </m:r>
      </m:oMath>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3</m:t>
            </m:r>
          </m:sub>
        </m:sSub>
      </m:oMath>
      <w:r>
        <w:rPr>
          <w:rFonts w:eastAsiaTheme="minorEastAsia"/>
        </w:rPr>
        <w:t xml:space="preserve"> are the radii of layers 2 and 3 from </w:t>
      </w:r>
      <w:r>
        <w:rPr>
          <w:rFonts w:eastAsiaTheme="minorEastAsia"/>
        </w:rPr>
        <w:fldChar w:fldCharType="begin"/>
      </w:r>
      <w:r>
        <w:rPr>
          <w:rFonts w:eastAsiaTheme="minorEastAsia"/>
        </w:rPr>
        <w:instrText xml:space="preserve"> REF _Ref162453295 \h </w:instrText>
      </w:r>
      <w:r>
        <w:rPr>
          <w:rFonts w:eastAsiaTheme="minorEastAsia"/>
        </w:rPr>
      </w:r>
      <w:r>
        <w:rPr>
          <w:rFonts w:eastAsiaTheme="minorEastAsia"/>
        </w:rPr>
        <w:fldChar w:fldCharType="separate"/>
      </w:r>
      <w:r>
        <w:t xml:space="preserve">Figure </w:t>
      </w:r>
      <w:r>
        <w:rPr>
          <w:noProof/>
        </w:rPr>
        <w:t>1</w:t>
      </w:r>
      <w:r>
        <w:rPr>
          <w:rFonts w:eastAsiaTheme="minorEastAsia"/>
        </w:rPr>
        <w:fldChar w:fldCharType="end"/>
      </w:r>
      <w:r>
        <w:rPr>
          <w:rFonts w:eastAsiaTheme="minorEastAsia"/>
        </w:rPr>
        <w:t xml:space="preserve">, respectively, </w:t>
      </w:r>
      <m:oMath>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s</m:t>
            </m:r>
          </m:sub>
        </m:sSub>
        <m:d>
          <m:dPr>
            <m:ctrlPr>
              <w:rPr>
                <w:rFonts w:ascii="Cambria Math" w:eastAsiaTheme="minorEastAsia" w:hAnsi="Cambria Math"/>
                <w:i/>
              </w:rPr>
            </m:ctrlPr>
          </m:dPr>
          <m:e>
            <m:r>
              <w:rPr>
                <w:rFonts w:ascii="Cambria Math" w:eastAsiaTheme="minorEastAsia" w:hAnsi="Cambria Math"/>
              </w:rPr>
              <m:t>T</m:t>
            </m:r>
          </m:e>
        </m:d>
      </m:oMath>
      <w:r>
        <w:rPr>
          <w:rFonts w:eastAsiaTheme="minorEastAsia"/>
        </w:rPr>
        <w:t xml:space="preserve"> is the enthalpy of species </w:t>
      </w:r>
      <m:oMath>
        <m:r>
          <w:rPr>
            <w:rFonts w:ascii="Cambria Math" w:eastAsiaTheme="minorEastAsia" w:hAnsi="Cambria Math"/>
          </w:rPr>
          <m:t>s</m:t>
        </m:r>
      </m:oMath>
      <w:r>
        <w:rPr>
          <w:rFonts w:eastAsiaTheme="minorEastAsia"/>
        </w:rPr>
        <w:t xml:space="preserve"> at the corresponding temperature </w:t>
      </w:r>
      <m:oMath>
        <m:r>
          <w:rPr>
            <w:rFonts w:ascii="Cambria Math" w:eastAsiaTheme="minorEastAsia" w:hAnsi="Cambria Math"/>
          </w:rPr>
          <m:t>T</m:t>
        </m:r>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i</m:t>
            </m:r>
          </m:sub>
        </m:sSub>
      </m:oMath>
      <w:r>
        <w:rPr>
          <w:rFonts w:eastAsiaTheme="minorEastAsia"/>
        </w:rPr>
        <w:t xml:space="preserve"> is the number of moles at the discretized point </w:t>
      </w:r>
      <m:oMath>
        <m:r>
          <w:rPr>
            <w:rFonts w:ascii="Cambria Math" w:eastAsiaTheme="minorEastAsia" w:hAnsi="Cambria Math"/>
          </w:rPr>
          <m:t>i</m:t>
        </m:r>
      </m:oMath>
      <w:r>
        <w:rPr>
          <w:rFonts w:eastAsiaTheme="minorEastAsia"/>
        </w:rPr>
        <w:t>.</w:t>
      </w:r>
    </w:p>
    <w:p w14:paraId="7E1C75A8" w14:textId="77777777" w:rsidR="00A93D24" w:rsidRDefault="00A93D24" w:rsidP="00A93D24">
      <w:pPr>
        <w:rPr>
          <w:rFonts w:eastAsiaTheme="minorEastAsia"/>
        </w:rPr>
      </w:pPr>
      <w:r>
        <w:rPr>
          <w:rFonts w:eastAsiaTheme="minorEastAsia"/>
        </w:rPr>
        <w:t xml:space="preserve">The air side is </w:t>
      </w:r>
      <w:proofErr w:type="gramStart"/>
      <w:r>
        <w:rPr>
          <w:rFonts w:eastAsiaTheme="minorEastAsia"/>
        </w:rPr>
        <w:t>similar to</w:t>
      </w:r>
      <w:proofErr w:type="gramEnd"/>
      <w:r>
        <w:rPr>
          <w:rFonts w:eastAsiaTheme="minorEastAsia"/>
        </w:rPr>
        <w:t xml:space="preserve"> the fuel side, albeit with fewer reactions taking place. The energy balance used in this study models the convective heat transfer from the PEN structure and the interconnect, the reaction enthalpies, and the heat in/out along the discretized units:</w:t>
      </w:r>
    </w:p>
    <w:p w14:paraId="24DAA612" w14:textId="77777777" w:rsidR="00A93D24" w:rsidRPr="00F33E85" w:rsidRDefault="00A93D24" w:rsidP="00A93D24">
      <w:pPr>
        <w:ind w:left="720" w:firstLine="0"/>
        <w:rPr>
          <w:rFonts w:eastAsiaTheme="minorEastAsia"/>
        </w:rPr>
      </w:pPr>
      <m:oMathPara>
        <m:oMath>
          <m:r>
            <w:rPr>
              <w:rFonts w:ascii="Cambria Math" w:hAnsi="Cambria Math"/>
            </w:rPr>
            <m:t>0=</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A,i</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3A</m:t>
                      </m:r>
                    </m:num>
                    <m:den>
                      <m:r>
                        <w:rPr>
                          <w:rFonts w:ascii="Cambria Math" w:eastAsiaTheme="minorEastAsia" w:hAnsi="Cambria Math"/>
                        </w:rPr>
                        <m:t>4</m:t>
                      </m:r>
                    </m:den>
                  </m:f>
                  <m:r>
                    <w:rPr>
                      <w:rFonts w:ascii="Cambria Math" w:eastAsiaTheme="minorEastAsia" w:hAnsi="Cambria Math"/>
                    </w:rPr>
                    <m: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A,i</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A,i</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A</m:t>
                      </m:r>
                    </m:num>
                    <m:den>
                      <m:r>
                        <w:rPr>
                          <w:rFonts w:ascii="Cambria Math" w:eastAsiaTheme="minorEastAsia" w:hAnsi="Cambria Math"/>
                        </w:rPr>
                        <m:t>4</m:t>
                      </m:r>
                    </m:den>
                  </m:f>
                  <m:r>
                    <w:rPr>
                      <w:rFonts w:ascii="Cambria Math" w:eastAsiaTheme="minorEastAsia" w:hAnsi="Cambria Math"/>
                    </w:rPr>
                    <m: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IC,i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A,i</m:t>
                          </m:r>
                        </m:sub>
                      </m:sSub>
                    </m:e>
                  </m:d>
                </m:e>
              </m:d>
            </m:e>
            <m:sub>
              <m:r>
                <w:rPr>
                  <w:rFonts w:ascii="Cambria Math" w:eastAsiaTheme="minorEastAsia" w:hAnsi="Cambria Math"/>
                </w:rPr>
                <m:t>conv</m:t>
              </m:r>
            </m:sub>
          </m:sSub>
          <m:r>
            <w:rPr>
              <w:rFonts w:ascii="Cambria Math" w:eastAsiaTheme="minorEastAsia" w:hAnsi="Cambria Math"/>
            </w:rPr>
            <m:t>+</m:t>
          </m:r>
        </m:oMath>
      </m:oMathPara>
    </w:p>
    <w:p w14:paraId="7321B3B6" w14:textId="7FAD98F8" w:rsidR="00A93D24" w:rsidRPr="00066114" w:rsidRDefault="00924E48" w:rsidP="00A93D24">
      <w:pPr>
        <w:ind w:left="720" w:firstLine="0"/>
        <w:jc w:val="right"/>
        <w:rPr>
          <w:rFonts w:eastAsiaTheme="minorEastAsia"/>
        </w:rPr>
      </w:pPr>
      <m:oMath>
        <m:sSub>
          <m:sSubPr>
            <m:ctrlPr>
              <w:rPr>
                <w:rFonts w:ascii="Cambria Math" w:eastAsiaTheme="minorEastAsia" w:hAnsi="Cambria Math"/>
                <w:i/>
              </w:rPr>
            </m:ctrlPr>
          </m:sSub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orr</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O</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m:t>
                            </m:r>
                            <m:r>
                              <w:rPr>
                                <w:rFonts w:ascii="Cambria Math" w:eastAsiaTheme="minorEastAsia" w:hAnsi="Cambria Math"/>
                              </w:rPr>
                              <m:t>,</m:t>
                            </m:r>
                            <m:r>
                              <w:rPr>
                                <w:rFonts w:ascii="Cambria Math" w:eastAsiaTheme="minorEastAsia" w:hAnsi="Cambria Math"/>
                              </w:rPr>
                              <m:t>i</m:t>
                            </m:r>
                          </m:sub>
                        </m:sSub>
                      </m:e>
                    </m:d>
                    <m:r>
                      <w:rPr>
                        <w:rFonts w:ascii="Cambria Math" w:eastAsiaTheme="minorEastAsia" w:hAnsi="Cambria Math"/>
                      </w:rPr>
                      <m:t>-</m:t>
                    </m:r>
                    <m:r>
                      <w:rPr>
                        <w:rFonts w:ascii="Cambria Math" w:eastAsiaTheme="minorEastAsia" w:hAnsi="Cambria Math"/>
                      </w:rPr>
                      <m:t>0.5</m:t>
                    </m:r>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2</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A</m:t>
                            </m:r>
                            <m:r>
                              <w:rPr>
                                <w:rFonts w:ascii="Cambria Math" w:eastAsiaTheme="minorEastAsia" w:hAnsi="Cambria Math"/>
                              </w:rPr>
                              <m:t>,</m:t>
                            </m:r>
                            <m:r>
                              <w:rPr>
                                <w:rFonts w:ascii="Cambria Math" w:eastAsiaTheme="minorEastAsia" w:hAnsi="Cambria Math"/>
                              </w:rPr>
                              <m:t>i</m:t>
                            </m:r>
                          </m:sub>
                        </m:sSub>
                      </m:e>
                    </m:d>
                  </m:e>
                </m:d>
                <m:r>
                  <w:rPr>
                    <w:rFonts w:ascii="Cambria Math" w:eastAsiaTheme="minorEastAsia" w:hAnsi="Cambria Math"/>
                  </w:rPr>
                  <m:t>-</m:t>
                </m:r>
                <m:r>
                  <w:rPr>
                    <w:rFonts w:ascii="Cambria Math" w:eastAsiaTheme="minorEastAsia" w:hAnsi="Cambria Math"/>
                  </w:rPr>
                  <m:t>0.5*</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po</m:t>
                    </m:r>
                  </m:sub>
                </m:sSub>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2</m:t>
                        </m:r>
                      </m:sub>
                    </m:sSub>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A</m:t>
                    </m:r>
                    <m:r>
                      <w:rPr>
                        <w:rFonts w:ascii="Cambria Math" w:eastAsiaTheme="minorEastAsia" w:hAnsi="Cambria Math"/>
                      </w:rPr>
                      <m:t>,</m:t>
                    </m:r>
                    <m:r>
                      <w:rPr>
                        <w:rFonts w:ascii="Cambria Math" w:eastAsiaTheme="minorEastAsia" w:hAnsi="Cambria Math"/>
                      </w:rPr>
                      <m:t>i</m:t>
                    </m:r>
                  </m:sub>
                </m:sSub>
                <m:r>
                  <w:rPr>
                    <w:rFonts w:ascii="Cambria Math" w:eastAsiaTheme="minorEastAsia" w:hAnsi="Cambria Math"/>
                  </w:rPr>
                  <m:t>)</m:t>
                </m:r>
              </m:e>
            </m:d>
          </m:e>
          <m:sub>
            <m:r>
              <w:rPr>
                <w:rFonts w:ascii="Cambria Math" w:eastAsiaTheme="minorEastAsia" w:hAnsi="Cambria Math"/>
              </w:rPr>
              <m:t>rxn</m:t>
            </m:r>
            <m:r>
              <w:rPr>
                <w:rFonts w:ascii="Cambria Math" w:eastAsiaTheme="minorEastAsia" w:hAnsi="Cambria Math"/>
              </w:rPr>
              <m:t xml:space="preserve"> </m:t>
            </m:r>
            <m:r>
              <w:rPr>
                <w:rFonts w:ascii="Cambria Math" w:eastAsiaTheme="minorEastAsia" w:hAnsi="Cambria Math"/>
              </w:rPr>
              <m:t>ent</m:t>
            </m:r>
            <m:r>
              <w:rPr>
                <w:rFonts w:ascii="Cambria Math" w:eastAsiaTheme="minorEastAsia" w:hAnsi="Cambria Math"/>
              </w:rPr>
              <m:t>h</m:t>
            </m:r>
            <m:r>
              <w:rPr>
                <w:rFonts w:ascii="Cambria Math" w:eastAsiaTheme="minorEastAsia" w:hAnsi="Cambria Math"/>
              </w:rPr>
              <m:t>alpy</m:t>
            </m:r>
          </m:sub>
        </m:sSub>
        <m:r>
          <w:rPr>
            <w:rFonts w:ascii="Cambria Math" w:eastAsiaTheme="minorEastAsia" w:hAnsi="Cambria Math"/>
          </w:rPr>
          <m:t>+</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A</m:t>
                    </m:r>
                    <m:r>
                      <w:rPr>
                        <w:rFonts w:ascii="Cambria Math" w:eastAsiaTheme="minorEastAsia" w:hAnsi="Cambria Math"/>
                      </w:rPr>
                      <m:t>,</m:t>
                    </m:r>
                    <m:r>
                      <w:rPr>
                        <w:rFonts w:ascii="Cambria Math" w:eastAsiaTheme="minorEastAsia" w:hAnsi="Cambria Math"/>
                      </w:rPr>
                      <m:t>i</m:t>
                    </m:r>
                    <m:r>
                      <w:rPr>
                        <w:rFonts w:ascii="Cambria Math" w:eastAsiaTheme="minorEastAsia" w:hAnsi="Cambria Math"/>
                      </w:rPr>
                      <m:t>-</m:t>
                    </m:r>
                    <m:r>
                      <w:rPr>
                        <w:rFonts w:ascii="Cambria Math" w:eastAsiaTheme="minorEastAsia" w:hAnsi="Cambria Math"/>
                      </w:rPr>
                      <m:t>1</m:t>
                    </m:r>
                  </m:sub>
                </m:sSub>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A</m:t>
                    </m:r>
                    <m:r>
                      <w:rPr>
                        <w:rFonts w:ascii="Cambria Math" w:eastAsiaTheme="minorEastAsia" w:hAnsi="Cambria Math"/>
                      </w:rPr>
                      <m:t>,</m:t>
                    </m:r>
                    <m:r>
                      <w:rPr>
                        <w:rFonts w:ascii="Cambria Math" w:eastAsiaTheme="minorEastAsia" w:hAnsi="Cambria Math"/>
                      </w:rPr>
                      <m:t>i</m:t>
                    </m:r>
                    <m:r>
                      <w:rPr>
                        <w:rFonts w:ascii="Cambria Math" w:eastAsiaTheme="minorEastAsia" w:hAnsi="Cambria Math"/>
                      </w:rPr>
                      <m:t>-</m:t>
                    </m:r>
                    <m:r>
                      <w:rPr>
                        <w:rFonts w:ascii="Cambria Math" w:eastAsiaTheme="minorEastAsia" w:hAnsi="Cambria Math"/>
                      </w:rPr>
                      <m:t>1</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A</m:t>
                        </m:r>
                      </m:sub>
                    </m:sSub>
                  </m:e>
                </m:d>
                <m:r>
                  <w:rPr>
                    <w:rFonts w:ascii="Cambria Math" w:eastAsiaTheme="minorEastAsia" w:hAnsi="Cambria Math"/>
                  </w:rPr>
                  <m:t>-</m:t>
                </m:r>
                <m:sSub>
                  <m:sSubPr>
                    <m:ctrlPr>
                      <w:rPr>
                        <w:rFonts w:ascii="Cambria Math" w:eastAsiaTheme="minorEastAsia" w:hAnsi="Cambria Math"/>
                      </w:rPr>
                    </m:ctrlPr>
                  </m:sSubPr>
                  <m:e>
                    <m:r>
                      <m:rPr>
                        <m:sty m:val="p"/>
                      </m:rPr>
                      <w:rPr>
                        <w:rFonts w:ascii="Cambria Math" w:eastAsiaTheme="minorEastAsia" w:hAnsi="Cambria Math"/>
                      </w:rPr>
                      <m:t>N</m:t>
                    </m:r>
                  </m:e>
                  <m:sub>
                    <m:r>
                      <m:rPr>
                        <m:sty m:val="p"/>
                      </m:rPr>
                      <w:rPr>
                        <w:rFonts w:ascii="Cambria Math" w:eastAsiaTheme="minorEastAsia" w:hAnsi="Cambria Math"/>
                      </w:rPr>
                      <m:t>A,i</m:t>
                    </m:r>
                  </m:sub>
                </m:sSub>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A</m:t>
                    </m:r>
                    <m:r>
                      <w:rPr>
                        <w:rFonts w:ascii="Cambria Math" w:eastAsiaTheme="minorEastAsia" w:hAnsi="Cambria Math"/>
                      </w:rPr>
                      <m:t>,</m:t>
                    </m:r>
                    <m:r>
                      <w:rPr>
                        <w:rFonts w:ascii="Cambria Math" w:eastAsiaTheme="minorEastAsia" w:hAnsi="Cambria Math"/>
                      </w:rPr>
                      <m:t>i</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A</m:t>
                        </m:r>
                      </m:sub>
                    </m:sSub>
                  </m:e>
                </m:d>
              </m:e>
            </m:d>
          </m:e>
          <m:sub>
            <m:r>
              <w:rPr>
                <w:rFonts w:ascii="Cambria Math" w:eastAsiaTheme="minorEastAsia" w:hAnsi="Cambria Math"/>
              </w:rPr>
              <m:t>Energy</m:t>
            </m:r>
            <m:r>
              <w:rPr>
                <w:rFonts w:ascii="Cambria Math" w:eastAsiaTheme="minorEastAsia" w:hAnsi="Cambria Math"/>
              </w:rPr>
              <m:t xml:space="preserve"> </m:t>
            </m:r>
            <m:r>
              <w:rPr>
                <w:rFonts w:ascii="Cambria Math" w:eastAsiaTheme="minorEastAsia" w:hAnsi="Cambria Math"/>
              </w:rPr>
              <m:t>In</m:t>
            </m:r>
            <m:r>
              <w:rPr>
                <w:rFonts w:ascii="Cambria Math" w:eastAsiaTheme="minorEastAsia" w:hAnsi="Cambria Math"/>
              </w:rPr>
              <m:t>-</m:t>
            </m:r>
            <m:r>
              <w:rPr>
                <w:rFonts w:ascii="Cambria Math" w:eastAsiaTheme="minorEastAsia" w:hAnsi="Cambria Math"/>
              </w:rPr>
              <m:t>Energy</m:t>
            </m:r>
            <m:r>
              <w:rPr>
                <w:rFonts w:ascii="Cambria Math" w:eastAsiaTheme="minorEastAsia" w:hAnsi="Cambria Math"/>
              </w:rPr>
              <m:t xml:space="preserve"> </m:t>
            </m:r>
            <m:r>
              <w:rPr>
                <w:rFonts w:ascii="Cambria Math" w:eastAsiaTheme="minorEastAsia" w:hAnsi="Cambria Math"/>
              </w:rPr>
              <m:t>Out</m:t>
            </m:r>
          </m:sub>
        </m:sSub>
      </m:oMath>
      <w:r w:rsidR="00A93D24">
        <w:rPr>
          <w:rFonts w:eastAsiaTheme="minorEastAsia"/>
        </w:rPr>
        <w:tab/>
      </w:r>
      <w:r w:rsidR="00A93D24">
        <w:rPr>
          <w:rFonts w:eastAsiaTheme="minorEastAsia"/>
        </w:rPr>
        <w:tab/>
        <w:t>(3.50)</w:t>
      </w:r>
    </w:p>
    <w:p w14:paraId="6EF84FA4" w14:textId="77777777" w:rsidR="00A93D24" w:rsidRDefault="00A93D24" w:rsidP="00A93D24">
      <w:pPr>
        <w:pStyle w:val="Heading3"/>
      </w:pPr>
      <w:bookmarkStart w:id="86" w:name="_Toc165641082"/>
      <w:r>
        <w:t>3.5.3 Constants for Solid Layers</w:t>
      </w:r>
      <w:bookmarkEnd w:id="86"/>
    </w:p>
    <w:p w14:paraId="4714309A" w14:textId="2DC4862D" w:rsidR="00A93D24" w:rsidRDefault="00A93D24" w:rsidP="00A93D24">
      <w:r>
        <w:t xml:space="preserve">The solid layers are relatively straightforward by comparison. The only input variables needed for these layers are the emissivity and thermal conductivity of the materials. Values for these terms </w:t>
      </w:r>
      <w:r w:rsidR="0020124E">
        <w:t>are</w:t>
      </w:r>
      <w:r>
        <w:t xml:space="preserve"> taken from the previous modelling work of Kazempoor </w:t>
      </w:r>
      <w:r>
        <w:fldChar w:fldCharType="begin"/>
      </w:r>
      <w:r w:rsidR="00CA7A9D">
        <w:instrText xml:space="preserve"> ADDIN ZOTERO_ITEM CSL_CITATION {"citationID":"a19ra8o3dv4","properties":{"formattedCitation":"[78], [85]","plainCitation":"[78], [85]","noteIndex":0},"citationItems":[{"id":885,"uris":["http://zotero.org/users/12063231/items/2YPLBP28"],"itemData":{"id":885,"type":"article-journal","abstract":"The need for electrical energy storage (EES) is being driven by the deployment of increasing amounts of intermittent renewable energy resources. In addition to their fuel flexibility, high efficiency, scalability, and long-term cost outlook, reversible (regenerative) solid oxide cell (rSOC) systems have the potential for round-trip efficiencies competitive with the other available energy storage technologies. Accordingly, the focus of the current study is to investigate modeling methods for high temperature rSOCs in order to facilitate future endeavors related to establishing optimal operating conditions and system designs. Previously developed solid oxide fuel cell (SOFC) and solid-oxide electrolytic cell (SOEC) models are integrated to form a general rSOC model. The model is first calibrated and validated based on the available experimental data in the extant literature. The validation results show that the fitting parameters extracted from the calibration study can precisely simulate the cell behavior under various operating conditions. The effects of key operating parameters, such as temperature, gas composition and fuel utilization, on the voltage–current density performance characteristic and thermoneutral voltage are then investigated. It is also observed that the total electrochemical losses of the cell can be significantly different in each operating mode (fuel cell and electrolyzing) under certain operating conditions. Advantages of pressurized operation on thermal management are also discussed.","container-title":"International Journal of Hydrogen Energy","DOI":"10.1016/j.ijhydene.2014.01.186","ISSN":"0360-3199","issue":"11","journalAbbreviation":"International Journal of Hydrogen Energy","page":"5955-5971","source":"ScienceDirect","title":"Model validation and performance analysis of regenerative solid oxide cells for energy storage applications: Reversible operation","title-short":"Model validation and performance analysis of regenerative solid oxide cells for energy storage applications","volume":"39","author":[{"family":"Kazempoor","given":"P."},{"family":"Braun","given":"R. J."}],"issued":{"date-parts":[["2014",4,4]]}}},{"id":887,"uris":["http://zotero.org/users/12063231/items/WHDJHSA2"],"itemData":{"id":887,"type":"article-journal","abstract":"The use of regenerative, high temperature solid oxide cells (SOCs) as energy storage devices has the potential for round-trip efficiencies that are competitive with other storage technologies. The focus of the current study is to investigate regenerative SOC operation (i.e., working in both fuel cell and electrolysis modes) through a combination of modeling and numerical simulation. As an intermediate step, this paper focuses on the electrolysis mode and presents a dynamic cell model that couples the reversible electrochemistry, reactant chemistry, and the thermo-fluidic phenomena inside a cell channel. The model is calibrated and validated using available experimental and numerical data for button cells, single cells, and multi-cell stacks supplied with either steam or syngas. Parametric studies are also performed to show how the investigated parameters affect model validity. The results show that the present model can accurately simulate the electrolytic cell behavior, especially in the low current range, which is a favored operating point in practical systems. It is observed that improvements in stack-level model precision require further investigation to better represent the contact resistance of the stack components and to improve the estimation of the activation polarization throughout the operating envelope. It is also concluded that the CO2 electrochemical reaction can be neglected when the concentration of the steam supplied to the cell is high enough to support the water–gas shift reaction.","container-title":"International Journal of Hydrogen Energy","DOI":"10.1016/j.ijhydene.2013.12.010","ISSN":"0360-3199","issue":"6","journalAbbreviation":"International Journal of Hydrogen Energy","page":"2669-2684","source":"ScienceDirect","title":"Model validation and performance analysis of regenerative solid oxide cells: Electrolytic operation","title-short":"Model validation and performance analysis of regenerative solid oxide cells","volume":"39","author":[{"family":"Kazempoor","given":"P."},{"family":"Braun","given":"R. J."}],"issued":{"date-parts":[["2014",2,14]]}}}],"schema":"https://github.com/citation-style-language/schema/raw/master/csl-citation.json"} </w:instrText>
      </w:r>
      <w:r>
        <w:fldChar w:fldCharType="separate"/>
      </w:r>
      <w:r w:rsidR="00CA7A9D" w:rsidRPr="00CA7A9D">
        <w:rPr>
          <w:rFonts w:ascii="Aptos" w:hAnsi="Aptos"/>
        </w:rPr>
        <w:t>[78], [85]</w:t>
      </w:r>
      <w:r>
        <w:fldChar w:fldCharType="end"/>
      </w:r>
      <w:r>
        <w:t xml:space="preserve"> and the online Engineering Toolbox as shown in </w:t>
      </w:r>
      <w:r>
        <w:fldChar w:fldCharType="begin"/>
      </w:r>
      <w:r>
        <w:instrText xml:space="preserve"> REF _Ref162626635 \h </w:instrText>
      </w:r>
      <w:r>
        <w:fldChar w:fldCharType="separate"/>
      </w:r>
      <w:r>
        <w:t xml:space="preserve">Table </w:t>
      </w:r>
      <w:r>
        <w:rPr>
          <w:noProof/>
        </w:rPr>
        <w:t>3</w:t>
      </w:r>
      <w:r>
        <w:fldChar w:fldCharType="end"/>
      </w:r>
      <w:r>
        <w:t>:</w:t>
      </w:r>
    </w:p>
    <w:p w14:paraId="6C995EAE" w14:textId="70216989" w:rsidR="00A93D24" w:rsidRDefault="00A93D24" w:rsidP="00A93D24">
      <w:pPr>
        <w:pStyle w:val="Caption"/>
        <w:keepNext/>
      </w:pPr>
      <w:bookmarkStart w:id="87" w:name="_Ref162626635"/>
      <w:bookmarkStart w:id="88" w:name="_Toc165641117"/>
      <w:r>
        <w:t xml:space="preserve">Table </w:t>
      </w:r>
      <w:r w:rsidR="004243AD">
        <w:t>3.</w:t>
      </w:r>
      <w:r>
        <w:fldChar w:fldCharType="begin"/>
      </w:r>
      <w:r>
        <w:instrText xml:space="preserve"> SEQ Table \* ARABIC </w:instrText>
      </w:r>
      <w:r>
        <w:fldChar w:fldCharType="separate"/>
      </w:r>
      <w:r>
        <w:rPr>
          <w:noProof/>
        </w:rPr>
        <w:t>3</w:t>
      </w:r>
      <w:r>
        <w:fldChar w:fldCharType="end"/>
      </w:r>
      <w:bookmarkEnd w:id="87"/>
      <w:r>
        <w:t>: Thermal Conductivities of Solid Layers</w:t>
      </w:r>
      <w:bookmarkEnd w:id="88"/>
    </w:p>
    <w:tbl>
      <w:tblPr>
        <w:tblStyle w:val="TableGrid"/>
        <w:tblW w:w="0" w:type="auto"/>
        <w:jc w:val="center"/>
        <w:tblLook w:val="04A0" w:firstRow="1" w:lastRow="0" w:firstColumn="1" w:lastColumn="0" w:noHBand="0" w:noVBand="1"/>
      </w:tblPr>
      <w:tblGrid>
        <w:gridCol w:w="895"/>
        <w:gridCol w:w="1080"/>
        <w:gridCol w:w="828"/>
        <w:gridCol w:w="3330"/>
      </w:tblGrid>
      <w:tr w:rsidR="00A93D24" w14:paraId="3B39275F" w14:textId="77777777" w:rsidTr="002E7584">
        <w:trPr>
          <w:jc w:val="center"/>
        </w:trPr>
        <w:tc>
          <w:tcPr>
            <w:tcW w:w="895" w:type="dxa"/>
          </w:tcPr>
          <w:p w14:paraId="52D23823" w14:textId="77777777" w:rsidR="00A93D24" w:rsidRPr="003275A8" w:rsidRDefault="00A93D24" w:rsidP="002E7584">
            <w:pPr>
              <w:spacing w:line="276" w:lineRule="auto"/>
              <w:ind w:firstLine="0"/>
              <w:rPr>
                <w:b/>
                <w:bCs/>
              </w:rPr>
            </w:pPr>
            <w:r w:rsidRPr="003275A8">
              <w:rPr>
                <w:b/>
                <w:bCs/>
              </w:rPr>
              <w:t>Term</w:t>
            </w:r>
          </w:p>
        </w:tc>
        <w:tc>
          <w:tcPr>
            <w:tcW w:w="1080" w:type="dxa"/>
          </w:tcPr>
          <w:p w14:paraId="65C08B87" w14:textId="77777777" w:rsidR="00A93D24" w:rsidRPr="003275A8" w:rsidRDefault="00A93D24" w:rsidP="002E7584">
            <w:pPr>
              <w:spacing w:line="276" w:lineRule="auto"/>
              <w:ind w:firstLine="0"/>
              <w:rPr>
                <w:b/>
                <w:bCs/>
              </w:rPr>
            </w:pPr>
            <w:r w:rsidRPr="003275A8">
              <w:rPr>
                <w:b/>
                <w:bCs/>
              </w:rPr>
              <w:t>Units</w:t>
            </w:r>
          </w:p>
        </w:tc>
        <w:tc>
          <w:tcPr>
            <w:tcW w:w="810" w:type="dxa"/>
          </w:tcPr>
          <w:p w14:paraId="26B59AB4" w14:textId="77777777" w:rsidR="00A93D24" w:rsidRPr="003275A8" w:rsidRDefault="00A93D24" w:rsidP="002E7584">
            <w:pPr>
              <w:spacing w:line="276" w:lineRule="auto"/>
              <w:ind w:firstLine="0"/>
              <w:rPr>
                <w:b/>
                <w:bCs/>
              </w:rPr>
            </w:pPr>
            <w:r w:rsidRPr="003275A8">
              <w:rPr>
                <w:b/>
                <w:bCs/>
              </w:rPr>
              <w:t>Value</w:t>
            </w:r>
          </w:p>
        </w:tc>
        <w:tc>
          <w:tcPr>
            <w:tcW w:w="3330" w:type="dxa"/>
          </w:tcPr>
          <w:p w14:paraId="1FFCAB02" w14:textId="77777777" w:rsidR="00A93D24" w:rsidRPr="003275A8" w:rsidRDefault="00A93D24" w:rsidP="002E7584">
            <w:pPr>
              <w:spacing w:line="276" w:lineRule="auto"/>
              <w:ind w:firstLine="0"/>
              <w:rPr>
                <w:b/>
                <w:bCs/>
              </w:rPr>
            </w:pPr>
            <w:r w:rsidRPr="003275A8">
              <w:rPr>
                <w:b/>
                <w:bCs/>
              </w:rPr>
              <w:t>Reference</w:t>
            </w:r>
          </w:p>
        </w:tc>
      </w:tr>
      <w:tr w:rsidR="00A93D24" w14:paraId="610A84F2" w14:textId="77777777" w:rsidTr="002E7584">
        <w:trPr>
          <w:jc w:val="center"/>
        </w:trPr>
        <w:tc>
          <w:tcPr>
            <w:tcW w:w="895" w:type="dxa"/>
            <w:vAlign w:val="center"/>
          </w:tcPr>
          <w:p w14:paraId="1AA83178" w14:textId="77777777" w:rsidR="00A93D24" w:rsidRDefault="00924E48" w:rsidP="002E7584">
            <w:pPr>
              <w:spacing w:line="276" w:lineRule="auto"/>
              <w:ind w:firstLine="0"/>
              <w:jc w:val="center"/>
            </w:pPr>
            <m:oMathPara>
              <m:oMath>
                <m:sSub>
                  <m:sSubPr>
                    <m:ctrlPr>
                      <w:rPr>
                        <w:rFonts w:ascii="Cambria Math" w:hAnsi="Cambria Math"/>
                        <w:i/>
                      </w:rPr>
                    </m:ctrlPr>
                  </m:sSubPr>
                  <m:e>
                    <m:r>
                      <w:rPr>
                        <w:rFonts w:ascii="Cambria Math" w:hAnsi="Cambria Math"/>
                      </w:rPr>
                      <m:t>k</m:t>
                    </m:r>
                  </m:e>
                  <m:sub>
                    <m:r>
                      <w:rPr>
                        <w:rFonts w:ascii="Cambria Math" w:hAnsi="Cambria Math"/>
                      </w:rPr>
                      <m:t>PEN</m:t>
                    </m:r>
                  </m:sub>
                </m:sSub>
              </m:oMath>
            </m:oMathPara>
          </w:p>
        </w:tc>
        <w:tc>
          <w:tcPr>
            <w:tcW w:w="1080" w:type="dxa"/>
            <w:vAlign w:val="center"/>
          </w:tcPr>
          <w:p w14:paraId="417E86C9" w14:textId="77777777" w:rsidR="00A93D24" w:rsidRDefault="00924E48" w:rsidP="002E7584">
            <w:pPr>
              <w:spacing w:line="276" w:lineRule="auto"/>
              <w:ind w:firstLine="0"/>
              <w:jc w:val="center"/>
            </w:pPr>
            <m:oMathPara>
              <m:oMath>
                <m:f>
                  <m:fPr>
                    <m:ctrlPr>
                      <w:rPr>
                        <w:rFonts w:ascii="Cambria Math" w:hAnsi="Cambria Math"/>
                        <w:i/>
                      </w:rPr>
                    </m:ctrlPr>
                  </m:fPr>
                  <m:num>
                    <m:r>
                      <w:rPr>
                        <w:rFonts w:ascii="Cambria Math" w:hAnsi="Cambria Math"/>
                      </w:rPr>
                      <m:t>W</m:t>
                    </m:r>
                  </m:num>
                  <m:den>
                    <m:r>
                      <w:rPr>
                        <w:rFonts w:ascii="Cambria Math" w:hAnsi="Cambria Math"/>
                      </w:rPr>
                      <m:t>m</m:t>
                    </m:r>
                    <m:r>
                      <w:rPr>
                        <w:rFonts w:ascii="Cambria Math" w:hAnsi="Cambria Math"/>
                      </w:rPr>
                      <m:t>*</m:t>
                    </m:r>
                    <m:r>
                      <w:rPr>
                        <w:rFonts w:ascii="Cambria Math" w:hAnsi="Cambria Math"/>
                      </w:rPr>
                      <m:t>K</m:t>
                    </m:r>
                  </m:den>
                </m:f>
              </m:oMath>
            </m:oMathPara>
          </w:p>
        </w:tc>
        <w:tc>
          <w:tcPr>
            <w:tcW w:w="810" w:type="dxa"/>
            <w:vAlign w:val="center"/>
          </w:tcPr>
          <w:p w14:paraId="2E059DB8" w14:textId="77777777" w:rsidR="00A93D24" w:rsidRDefault="00A93D24" w:rsidP="002E7584">
            <w:pPr>
              <w:spacing w:line="276" w:lineRule="auto"/>
              <w:ind w:firstLine="0"/>
              <w:jc w:val="center"/>
            </w:pPr>
            <m:oMathPara>
              <m:oMath>
                <m:r>
                  <w:rPr>
                    <w:rFonts w:ascii="Cambria Math" w:hAnsi="Cambria Math"/>
                  </w:rPr>
                  <m:t>2.16</m:t>
                </m:r>
              </m:oMath>
            </m:oMathPara>
          </w:p>
        </w:tc>
        <w:tc>
          <w:tcPr>
            <w:tcW w:w="3330" w:type="dxa"/>
          </w:tcPr>
          <w:p w14:paraId="28806760" w14:textId="6D89453F" w:rsidR="00A93D24" w:rsidRDefault="00A93D24" w:rsidP="002E7584">
            <w:pPr>
              <w:spacing w:line="276" w:lineRule="auto"/>
              <w:ind w:firstLine="0"/>
              <w:jc w:val="center"/>
            </w:pPr>
            <w:r w:rsidRPr="00F61BDE">
              <w:fldChar w:fldCharType="begin"/>
            </w:r>
            <w:r w:rsidR="000B673D">
              <w:instrText xml:space="preserve"> ADDIN ZOTERO_ITEM CSL_CITATION {"citationID":"ags7ndbkhs","properties":{"formattedCitation":"[77], [78], [85]","plainCitation":"[77], [78], [85]","noteIndex":0},"citationItems":[{"id":809,"uris":["http://zotero.org/users/12063231/items/86VEYUNF"],"itemData":{"id":809,"type":"article-journal","container-title":"Fuel Cells","DOI":"10.1002/fuce.200900082","issue":"6","language":"English","page":"1074-1094","title":"Modelling and Performance Evaluation of Solid Oxide Fuel Cell for Building Integrated Co- and Polygeneration","volume":"10","author":[{"family":"Kazempoor","given":"Pejman"},{"family":"Dorer","given":"Viktor"},{"family":"Fathollah","given":"Ommi"}],"issued":{"date-parts":[["2010"]]}}},{"id":885,"uris":["http://zotero.org/users/12063231/items/2YPLBP28"],"itemData":{"id":885,"type":"article-journal","abstract":"The need for electrical energy storage (EES) is being driven by the deployment of increasing amounts of intermittent renewable energy resources. In addition to their fuel flexibility, high efficiency, scalability, and long-term cost outlook, reversible (regenerative) solid oxide cell (rSOC) systems have the potential for round-trip efficiencies competitive with the other available energy storage technologies. Accordingly, the focus of the current study is to investigate modeling methods for high temperature rSOCs in order to facilitate future endeavors related to establishing optimal operating conditions and system designs. Previously developed solid oxide fuel cell (SOFC) and solid-oxide electrolytic cell (SOEC) models are integrated to form a general rSOC model. The model is first calibrated and validated based on the available experimental data in the extant literature. The validation results show that the fitting parameters extracted from the calibration study can precisely simulate the cell behavior under various operating conditions. The effects of key operating parameters, such as temperature, gas composition and fuel utilization, on the voltage–current density performance characteristic and thermoneutral voltage are then investigated. It is also observed that the total electrochemical losses of the cell can be significantly different in each operating mode (fuel cell and electrolyzing) under certain operating conditions. Advantages of pressurized operation on thermal management are also discussed.","container-title":"International Journal of Hydrogen Energy","DOI":"10.1016/j.ijhydene.2014.01.186","ISSN":"0360-3199","issue":"11","journalAbbreviation":"International Journal of Hydrogen Energy","page":"5955-5971","source":"ScienceDirect","title":"Model validation and performance analysis of regenerative solid oxide cells for energy storage applications: Reversible operation","title-short":"Model validation and performance analysis of regenerative solid oxide cells for energy storage applications","volume":"39","author":[{"family":"Kazempoor","given":"P."},{"family":"Braun","given":"R. J."}],"issued":{"date-parts":[["2014",4,4]]}}},{"id":887,"uris":["http://zotero.org/users/12063231/items/WHDJHSA2"],"itemData":{"id":887,"type":"article-journal","abstract":"The use of regenerative, high temperature solid oxide cells (SOCs) as energy storage devices has the potential for round-trip efficiencies that are competitive with other storage technologies. The focus of the current study is to investigate regenerative SOC operation (i.e., working in both fuel cell and electrolysis modes) through a combination of modeling and numerical simulation. As an intermediate step, this paper focuses on the electrolysis mode and presents a dynamic cell model that couples the reversible electrochemistry, reactant chemistry, and the thermo-fluidic phenomena inside a cell channel. The model is calibrated and validated using available experimental and numerical data for button cells, single cells, and multi-cell stacks supplied with either steam or syngas. Parametric studies are also performed to show how the investigated parameters affect model validity. The results show that the present model can accurately simulate the electrolytic cell behavior, especially in the low current range, which is a favored operating point in practical systems. It is observed that improvements in stack-level model precision require further investigation to better represent the contact resistance of the stack components and to improve the estimation of the activation polarization throughout the operating envelope. It is also concluded that the CO2 electrochemical reaction can be neglected when the concentration of the steam supplied to the cell is high enough to support the water–gas shift reaction.","container-title":"International Journal of Hydrogen Energy","DOI":"10.1016/j.ijhydene.2013.12.010","ISSN":"0360-3199","issue":"6","journalAbbreviation":"International Journal of Hydrogen Energy","page":"2669-2684","source":"ScienceDirect","title":"Model validation and performance analysis of regenerative solid oxide cells: Electrolytic operation","title-short":"Model validation and performance analysis of regenerative solid oxide cells","volume":"39","author":[{"family":"Kazempoor","given":"P."},{"family":"Braun","given":"R. J."}],"issued":{"date-parts":[["2014",2,14]]}}}],"schema":"https://github.com/citation-style-language/schema/raw/master/csl-citation.json"} </w:instrText>
            </w:r>
            <w:r w:rsidRPr="00F61BDE">
              <w:fldChar w:fldCharType="separate"/>
            </w:r>
            <w:r w:rsidR="000B673D" w:rsidRPr="000B673D">
              <w:rPr>
                <w:rFonts w:ascii="Aptos" w:hAnsi="Aptos" w:cs="Times New Roman"/>
                <w:kern w:val="0"/>
              </w:rPr>
              <w:t>[77], [78], [85]</w:t>
            </w:r>
            <w:r w:rsidRPr="00F61BDE">
              <w:fldChar w:fldCharType="end"/>
            </w:r>
            <w:r w:rsidRPr="00F61BDE">
              <w:t xml:space="preserve"> </w:t>
            </w:r>
          </w:p>
        </w:tc>
      </w:tr>
      <w:tr w:rsidR="00A93D24" w14:paraId="31B2C2BA" w14:textId="77777777" w:rsidTr="002E7584">
        <w:trPr>
          <w:jc w:val="center"/>
        </w:trPr>
        <w:tc>
          <w:tcPr>
            <w:tcW w:w="895" w:type="dxa"/>
            <w:vAlign w:val="center"/>
          </w:tcPr>
          <w:p w14:paraId="6B9B2528" w14:textId="77777777" w:rsidR="00A93D24" w:rsidRDefault="00924E48" w:rsidP="002E7584">
            <w:pPr>
              <w:spacing w:line="276" w:lineRule="auto"/>
              <w:ind w:firstLine="0"/>
              <w:jc w:val="center"/>
            </w:pPr>
            <m:oMathPara>
              <m:oMath>
                <m:sSub>
                  <m:sSubPr>
                    <m:ctrlPr>
                      <w:rPr>
                        <w:rFonts w:ascii="Cambria Math" w:hAnsi="Cambria Math"/>
                        <w:i/>
                      </w:rPr>
                    </m:ctrlPr>
                  </m:sSubPr>
                  <m:e>
                    <m:r>
                      <w:rPr>
                        <w:rFonts w:ascii="Cambria Math" w:hAnsi="Cambria Math"/>
                      </w:rPr>
                      <m:t>k</m:t>
                    </m:r>
                  </m:e>
                  <m:sub>
                    <m:r>
                      <w:rPr>
                        <w:rFonts w:ascii="Cambria Math" w:hAnsi="Cambria Math"/>
                      </w:rPr>
                      <m:t>IC</m:t>
                    </m:r>
                  </m:sub>
                </m:sSub>
              </m:oMath>
            </m:oMathPara>
          </w:p>
        </w:tc>
        <w:tc>
          <w:tcPr>
            <w:tcW w:w="1080" w:type="dxa"/>
            <w:vAlign w:val="center"/>
          </w:tcPr>
          <w:p w14:paraId="39ED694A" w14:textId="77777777" w:rsidR="00A93D24" w:rsidRDefault="00924E48" w:rsidP="002E7584">
            <w:pPr>
              <w:spacing w:line="276" w:lineRule="auto"/>
              <w:ind w:firstLine="0"/>
              <w:jc w:val="center"/>
            </w:pPr>
            <m:oMathPara>
              <m:oMath>
                <m:f>
                  <m:fPr>
                    <m:ctrlPr>
                      <w:rPr>
                        <w:rFonts w:ascii="Cambria Math" w:hAnsi="Cambria Math"/>
                        <w:i/>
                      </w:rPr>
                    </m:ctrlPr>
                  </m:fPr>
                  <m:num>
                    <m:r>
                      <w:rPr>
                        <w:rFonts w:ascii="Cambria Math" w:hAnsi="Cambria Math"/>
                      </w:rPr>
                      <m:t>W</m:t>
                    </m:r>
                  </m:num>
                  <m:den>
                    <m:r>
                      <w:rPr>
                        <w:rFonts w:ascii="Cambria Math" w:hAnsi="Cambria Math"/>
                      </w:rPr>
                      <m:t>m</m:t>
                    </m:r>
                    <m:r>
                      <w:rPr>
                        <w:rFonts w:ascii="Cambria Math" w:hAnsi="Cambria Math"/>
                      </w:rPr>
                      <m:t>*</m:t>
                    </m:r>
                    <m:r>
                      <w:rPr>
                        <w:rFonts w:ascii="Cambria Math" w:hAnsi="Cambria Math"/>
                      </w:rPr>
                      <m:t>K</m:t>
                    </m:r>
                  </m:den>
                </m:f>
              </m:oMath>
            </m:oMathPara>
          </w:p>
        </w:tc>
        <w:tc>
          <w:tcPr>
            <w:tcW w:w="810" w:type="dxa"/>
            <w:vAlign w:val="center"/>
          </w:tcPr>
          <w:p w14:paraId="63ED1C2A" w14:textId="77777777" w:rsidR="00A93D24" w:rsidRDefault="00A93D24" w:rsidP="002E7584">
            <w:pPr>
              <w:spacing w:line="276" w:lineRule="auto"/>
              <w:ind w:firstLine="0"/>
              <w:jc w:val="center"/>
            </w:pPr>
            <m:oMathPara>
              <m:oMath>
                <m:r>
                  <w:rPr>
                    <w:rFonts w:ascii="Cambria Math" w:hAnsi="Cambria Math"/>
                  </w:rPr>
                  <m:t>27</m:t>
                </m:r>
              </m:oMath>
            </m:oMathPara>
          </w:p>
        </w:tc>
        <w:tc>
          <w:tcPr>
            <w:tcW w:w="3330" w:type="dxa"/>
          </w:tcPr>
          <w:p w14:paraId="1A5E60C2" w14:textId="68FF77FA" w:rsidR="00A93D24" w:rsidRDefault="00B36BE1" w:rsidP="002E7584">
            <w:pPr>
              <w:spacing w:line="276" w:lineRule="auto"/>
              <w:ind w:firstLine="0"/>
              <w:jc w:val="center"/>
            </w:pPr>
            <w:r w:rsidRPr="00F61BDE">
              <w:fldChar w:fldCharType="begin"/>
            </w:r>
            <w:r w:rsidR="000B673D">
              <w:instrText xml:space="preserve"> ADDIN ZOTERO_ITEM CSL_CITATION {"citationID":"y2D02abI","properties":{"formattedCitation":"[77], [78], [85]","plainCitation":"[77], [78], [85]","noteIndex":0},"citationItems":[{"id":809,"uris":["http://zotero.org/users/12063231/items/86VEYUNF"],"itemData":{"id":809,"type":"article-journal","container-title":"Fuel Cells","DOI":"10.1002/fuce.200900082","issue":"6","language":"English","page":"1074-1094","title":"Modelling and Performance Evaluation of Solid Oxide Fuel Cell for Building Integrated Co- and Polygeneration","volume":"10","author":[{"family":"Kazempoor","given":"Pejman"},{"family":"Dorer","given":"Viktor"},{"family":"Fathollah","given":"Ommi"}],"issued":{"date-parts":[["2010"]]}}},{"id":885,"uris":["http://zotero.org/users/12063231/items/2YPLBP28"],"itemData":{"id":885,"type":"article-journal","abstract":"The need for electrical energy storage (EES) is being driven by the deployment of increasing amounts of intermittent renewable energy resources. In addition to their fuel flexibility, high efficiency, scalability, and long-term cost outlook, reversible (regenerative) solid oxide cell (rSOC) systems have the potential for round-trip efficiencies competitive with the other available energy storage technologies. Accordingly, the focus of the current study is to investigate modeling methods for high temperature rSOCs in order to facilitate future endeavors related to establishing optimal operating conditions and system designs. Previously developed solid oxide fuel cell (SOFC) and solid-oxide electrolytic cell (SOEC) models are integrated to form a general rSOC model. The model is first calibrated and validated based on the available experimental data in the extant literature. The validation results show that the fitting parameters extracted from the calibration study can precisely simulate the cell behavior under various operating conditions. The effects of key operating parameters, such as temperature, gas composition and fuel utilization, on the voltage–current density performance characteristic and thermoneutral voltage are then investigated. It is also observed that the total electrochemical losses of the cell can be significantly different in each operating mode (fuel cell and electrolyzing) under certain operating conditions. Advantages of pressurized operation on thermal management are also discussed.","container-title":"International Journal of Hydrogen Energy","DOI":"10.1016/j.ijhydene.2014.01.186","ISSN":"0360-3199","issue":"11","journalAbbreviation":"International Journal of Hydrogen Energy","page":"5955-5971","source":"ScienceDirect","title":"Model validation and performance analysis of regenerative solid oxide cells for energy storage applications: Reversible operation","title-short":"Model validation and performance analysis of regenerative solid oxide cells for energy storage applications","volume":"39","author":[{"family":"Kazempoor","given":"P."},{"family":"Braun","given":"R. J."}],"issued":{"date-parts":[["2014",4,4]]}}},{"id":887,"uris":["http://zotero.org/users/12063231/items/WHDJHSA2"],"itemData":{"id":887,"type":"article-journal","abstract":"The use of regenerative, high temperature solid oxide cells (SOCs) as energy storage devices has the potential for round-trip efficiencies that are competitive with other storage technologies. The focus of the current study is to investigate regenerative SOC operation (i.e., working in both fuel cell and electrolysis modes) through a combination of modeling and numerical simulation. As an intermediate step, this paper focuses on the electrolysis mode and presents a dynamic cell model that couples the reversible electrochemistry, reactant chemistry, and the thermo-fluidic phenomena inside a cell channel. The model is calibrated and validated using available experimental and numerical data for button cells, single cells, and multi-cell stacks supplied with either steam or syngas. Parametric studies are also performed to show how the investigated parameters affect model validity. The results show that the present model can accurately simulate the electrolytic cell behavior, especially in the low current range, which is a favored operating point in practical systems. It is observed that improvements in stack-level model precision require further investigation to better represent the contact resistance of the stack components and to improve the estimation of the activation polarization throughout the operating envelope. It is also concluded that the CO2 electrochemical reaction can be neglected when the concentration of the steam supplied to the cell is high enough to support the water–gas shift reaction.","container-title":"International Journal of Hydrogen Energy","DOI":"10.1016/j.ijhydene.2013.12.010","ISSN":"0360-3199","issue":"6","journalAbbreviation":"International Journal of Hydrogen Energy","page":"2669-2684","source":"ScienceDirect","title":"Model validation and performance analysis of regenerative solid oxide cells: Electrolytic operation","title-short":"Model validation and performance analysis of regenerative solid oxide cells","volume":"39","author":[{"family":"Kazempoor","given":"P."},{"family":"Braun","given":"R. J."}],"issued":{"date-parts":[["2014",2,14]]}}}],"schema":"https://github.com/citation-style-language/schema/raw/master/csl-citation.json"} </w:instrText>
            </w:r>
            <w:r w:rsidRPr="00F61BDE">
              <w:fldChar w:fldCharType="separate"/>
            </w:r>
            <w:r w:rsidR="000B673D" w:rsidRPr="000B673D">
              <w:rPr>
                <w:rFonts w:ascii="Aptos" w:hAnsi="Aptos" w:cs="Times New Roman"/>
                <w:kern w:val="0"/>
              </w:rPr>
              <w:t>[77], [78], [85]</w:t>
            </w:r>
            <w:r w:rsidRPr="00F61BDE">
              <w:fldChar w:fldCharType="end"/>
            </w:r>
          </w:p>
        </w:tc>
      </w:tr>
      <w:tr w:rsidR="00A93D24" w14:paraId="6ADB23F7" w14:textId="77777777" w:rsidTr="002E7584">
        <w:trPr>
          <w:jc w:val="center"/>
        </w:trPr>
        <w:tc>
          <w:tcPr>
            <w:tcW w:w="895" w:type="dxa"/>
            <w:vAlign w:val="center"/>
          </w:tcPr>
          <w:p w14:paraId="31E521A7" w14:textId="77777777" w:rsidR="00A93D24" w:rsidRDefault="00924E48" w:rsidP="002E7584">
            <w:pPr>
              <w:spacing w:line="276" w:lineRule="auto"/>
              <w:ind w:firstLine="0"/>
              <w:jc w:val="center"/>
            </w:pPr>
            <m:oMathPara>
              <m:oMath>
                <m:sSub>
                  <m:sSubPr>
                    <m:ctrlPr>
                      <w:rPr>
                        <w:rFonts w:ascii="Cambria Math" w:hAnsi="Cambria Math"/>
                        <w:i/>
                      </w:rPr>
                    </m:ctrlPr>
                  </m:sSubPr>
                  <m:e>
                    <m:r>
                      <w:rPr>
                        <w:rFonts w:ascii="Cambria Math" w:hAnsi="Cambria Math"/>
                      </w:rPr>
                      <m:t>k</m:t>
                    </m:r>
                  </m:e>
                  <m:sub>
                    <m:r>
                      <w:rPr>
                        <w:rFonts w:ascii="Cambria Math" w:hAnsi="Cambria Math"/>
                      </w:rPr>
                      <m:t>FDT</m:t>
                    </m:r>
                  </m:sub>
                </m:sSub>
              </m:oMath>
            </m:oMathPara>
          </w:p>
        </w:tc>
        <w:tc>
          <w:tcPr>
            <w:tcW w:w="1080" w:type="dxa"/>
            <w:vAlign w:val="center"/>
          </w:tcPr>
          <w:p w14:paraId="3E48D378" w14:textId="77777777" w:rsidR="00A93D24" w:rsidRDefault="00924E48" w:rsidP="002E7584">
            <w:pPr>
              <w:spacing w:line="276" w:lineRule="auto"/>
              <w:ind w:firstLine="0"/>
              <w:jc w:val="center"/>
            </w:pPr>
            <m:oMathPara>
              <m:oMath>
                <m:f>
                  <m:fPr>
                    <m:ctrlPr>
                      <w:rPr>
                        <w:rFonts w:ascii="Cambria Math" w:hAnsi="Cambria Math"/>
                        <w:i/>
                      </w:rPr>
                    </m:ctrlPr>
                  </m:fPr>
                  <m:num>
                    <m:r>
                      <w:rPr>
                        <w:rFonts w:ascii="Cambria Math" w:hAnsi="Cambria Math"/>
                      </w:rPr>
                      <m:t>W</m:t>
                    </m:r>
                  </m:num>
                  <m:den>
                    <m:r>
                      <w:rPr>
                        <w:rFonts w:ascii="Cambria Math" w:hAnsi="Cambria Math"/>
                      </w:rPr>
                      <m:t>m</m:t>
                    </m:r>
                    <m:r>
                      <w:rPr>
                        <w:rFonts w:ascii="Cambria Math" w:hAnsi="Cambria Math"/>
                      </w:rPr>
                      <m:t>*</m:t>
                    </m:r>
                    <m:r>
                      <w:rPr>
                        <w:rFonts w:ascii="Cambria Math" w:hAnsi="Cambria Math"/>
                      </w:rPr>
                      <m:t>K</m:t>
                    </m:r>
                  </m:den>
                </m:f>
              </m:oMath>
            </m:oMathPara>
          </w:p>
        </w:tc>
        <w:tc>
          <w:tcPr>
            <w:tcW w:w="810" w:type="dxa"/>
            <w:vAlign w:val="center"/>
          </w:tcPr>
          <w:p w14:paraId="0AE5673B" w14:textId="77777777" w:rsidR="00A93D24" w:rsidRDefault="00A93D24" w:rsidP="002E7584">
            <w:pPr>
              <w:spacing w:line="276" w:lineRule="auto"/>
              <w:ind w:firstLine="0"/>
              <w:jc w:val="center"/>
            </w:pPr>
            <m:oMathPara>
              <m:oMath>
                <m:r>
                  <w:rPr>
                    <w:rFonts w:ascii="Cambria Math" w:hAnsi="Cambria Math"/>
                  </w:rPr>
                  <m:t>355</m:t>
                </m:r>
              </m:oMath>
            </m:oMathPara>
          </w:p>
        </w:tc>
        <w:tc>
          <w:tcPr>
            <w:tcW w:w="3330" w:type="dxa"/>
            <w:vAlign w:val="center"/>
          </w:tcPr>
          <w:p w14:paraId="1DB60499" w14:textId="329536F2" w:rsidR="00A93D24" w:rsidRDefault="00A93D24" w:rsidP="002E7584">
            <w:pPr>
              <w:spacing w:line="276" w:lineRule="auto"/>
              <w:ind w:firstLine="0"/>
              <w:jc w:val="center"/>
            </w:pPr>
            <w:r>
              <w:t xml:space="preserve">Engineering Toolbox – Copper </w:t>
            </w:r>
            <w:r>
              <w:fldChar w:fldCharType="begin"/>
            </w:r>
            <w:r w:rsidR="00CA7A9D">
              <w:instrText xml:space="preserve"> ADDIN ZOTERO_ITEM CSL_CITATION {"citationID":"a168g4ovtdd","properties":{"formattedCitation":"[95]","plainCitation":"[95]","noteIndex":0},"citationItems":[{"id":823,"uris":["http://zotero.org/users/12063231/items/M5EZX7X8"],"itemData":{"id":823,"type":"webpage","title":"Copper - Density, Specific Heat and Thermal Conductivity vs. Temperature","URL":"https://www.engineeringtoolbox.com/copper-density-specific-heat-thermal-conductivity-vs-temperature-d_2223.html","accessed":{"date-parts":[["2024",3,29]]}}}],"schema":"https://github.com/citation-style-language/schema/raw/master/csl-citation.json"} </w:instrText>
            </w:r>
            <w:r>
              <w:fldChar w:fldCharType="separate"/>
            </w:r>
            <w:r w:rsidR="00CA7A9D" w:rsidRPr="00CA7A9D">
              <w:rPr>
                <w:rFonts w:ascii="Aptos" w:hAnsi="Aptos"/>
              </w:rPr>
              <w:t>[95]</w:t>
            </w:r>
            <w:r>
              <w:fldChar w:fldCharType="end"/>
            </w:r>
          </w:p>
        </w:tc>
      </w:tr>
      <w:tr w:rsidR="00A93D24" w14:paraId="05E8345F" w14:textId="77777777" w:rsidTr="002E7584">
        <w:trPr>
          <w:jc w:val="center"/>
        </w:trPr>
        <w:tc>
          <w:tcPr>
            <w:tcW w:w="895" w:type="dxa"/>
            <w:vAlign w:val="center"/>
          </w:tcPr>
          <w:p w14:paraId="73FFB862" w14:textId="77777777" w:rsidR="00A93D24" w:rsidRDefault="00924E48" w:rsidP="002E7584">
            <w:pPr>
              <w:spacing w:line="276" w:lineRule="auto"/>
              <w:ind w:firstLine="0"/>
              <w:jc w:val="center"/>
              <w:rPr>
                <w:rFonts w:ascii="Aptos" w:eastAsia="Aptos" w:hAnsi="Aptos" w:cs="Times New Roman"/>
              </w:rPr>
            </w:pPr>
            <m:oMathPara>
              <m:oMath>
                <m:sSub>
                  <m:sSubPr>
                    <m:ctrlPr>
                      <w:rPr>
                        <w:rFonts w:ascii="Cambria Math" w:eastAsia="Aptos" w:hAnsi="Cambria Math" w:cs="Times New Roman"/>
                        <w:i/>
                      </w:rPr>
                    </m:ctrlPr>
                  </m:sSubPr>
                  <m:e>
                    <m:r>
                      <w:rPr>
                        <w:rFonts w:ascii="Cambria Math" w:eastAsia="Aptos" w:hAnsi="Cambria Math" w:cs="Times New Roman"/>
                      </w:rPr>
                      <m:t>ϵ</m:t>
                    </m:r>
                  </m:e>
                  <m:sub>
                    <m:r>
                      <w:rPr>
                        <w:rFonts w:ascii="Cambria Math" w:eastAsia="Aptos" w:hAnsi="Cambria Math" w:cs="Times New Roman"/>
                      </w:rPr>
                      <m:t>PEN</m:t>
                    </m:r>
                  </m:sub>
                </m:sSub>
                <m:r>
                  <w:rPr>
                    <w:rFonts w:ascii="Cambria Math" w:eastAsia="Aptos" w:hAnsi="Cambria Math" w:cs="Times New Roman"/>
                  </w:rPr>
                  <m:t xml:space="preserve"> </m:t>
                </m:r>
              </m:oMath>
            </m:oMathPara>
          </w:p>
        </w:tc>
        <w:tc>
          <w:tcPr>
            <w:tcW w:w="1080" w:type="dxa"/>
            <w:vAlign w:val="center"/>
          </w:tcPr>
          <w:p w14:paraId="345178F8" w14:textId="77777777" w:rsidR="00A93D24" w:rsidRPr="007B316D" w:rsidRDefault="00A93D24" w:rsidP="002E7584">
            <w:pPr>
              <w:spacing w:line="276" w:lineRule="auto"/>
              <w:ind w:firstLine="0"/>
              <w:jc w:val="center"/>
              <w:rPr>
                <w:rFonts w:ascii="Aptos" w:eastAsia="Aptos" w:hAnsi="Aptos" w:cs="Times New Roman"/>
              </w:rPr>
            </w:pPr>
            <w:r>
              <w:rPr>
                <w:rFonts w:ascii="Aptos" w:eastAsia="Aptos" w:hAnsi="Aptos" w:cs="Times New Roman"/>
              </w:rPr>
              <w:t>-</w:t>
            </w:r>
          </w:p>
        </w:tc>
        <w:tc>
          <w:tcPr>
            <w:tcW w:w="810" w:type="dxa"/>
            <w:vAlign w:val="center"/>
          </w:tcPr>
          <w:p w14:paraId="349A9531" w14:textId="77777777" w:rsidR="00A93D24" w:rsidRDefault="00A93D24" w:rsidP="002E7584">
            <w:pPr>
              <w:spacing w:line="276" w:lineRule="auto"/>
              <w:ind w:firstLine="0"/>
              <w:jc w:val="center"/>
              <w:rPr>
                <w:rFonts w:ascii="Aptos" w:eastAsia="Aptos" w:hAnsi="Aptos" w:cs="Times New Roman"/>
              </w:rPr>
            </w:pPr>
            <w:r>
              <w:rPr>
                <w:rFonts w:ascii="Aptos" w:eastAsia="Aptos" w:hAnsi="Aptos" w:cs="Times New Roman"/>
              </w:rPr>
              <w:t>0.8</w:t>
            </w:r>
          </w:p>
        </w:tc>
        <w:tc>
          <w:tcPr>
            <w:tcW w:w="3330" w:type="dxa"/>
          </w:tcPr>
          <w:p w14:paraId="295A3D23" w14:textId="70B53742" w:rsidR="00A93D24" w:rsidRDefault="00A93D24" w:rsidP="002E7584">
            <w:pPr>
              <w:spacing w:line="276" w:lineRule="auto"/>
              <w:ind w:firstLine="0"/>
              <w:jc w:val="center"/>
            </w:pPr>
            <w:r w:rsidRPr="00D932D0">
              <w:fldChar w:fldCharType="begin"/>
            </w:r>
            <w:r w:rsidR="00CA7A9D">
              <w:instrText xml:space="preserve"> ADDIN ZOTERO_ITEM CSL_CITATION {"citationID":"zZp1xl9s","properties":{"formattedCitation":"[77]","plainCitation":"[77]","noteIndex":0},"citationItems":[{"id":809,"uris":["http://zotero.org/users/12063231/items/86VEYUNF"],"itemData":{"id":809,"type":"article-journal","container-title":"Fuel Cells","DOI":"10.1002/fuce.200900082","issue":"6","language":"English","page":"1074-1094","title":"Modelling and Performance Evaluation of Solid Oxide Fuel Cell for Building Integrated Co- and Polygeneration","volume":"10","author":[{"family":"Kazempoor","given":"Pejman"},{"family":"Dorer","given":"Viktor"},{"family":"Fathollah","given":"Ommi"}],"issued":{"date-parts":[["2010"]]}}}],"schema":"https://github.com/citation-style-language/schema/raw/master/csl-citation.json"} </w:instrText>
            </w:r>
            <w:r w:rsidRPr="00D932D0">
              <w:fldChar w:fldCharType="separate"/>
            </w:r>
            <w:r w:rsidR="00CA7A9D" w:rsidRPr="00CA7A9D">
              <w:rPr>
                <w:rFonts w:ascii="Aptos" w:hAnsi="Aptos"/>
              </w:rPr>
              <w:t>[77]</w:t>
            </w:r>
            <w:r w:rsidRPr="00D932D0">
              <w:fldChar w:fldCharType="end"/>
            </w:r>
            <w:r w:rsidRPr="00D932D0">
              <w:t xml:space="preserve"> </w:t>
            </w:r>
          </w:p>
        </w:tc>
      </w:tr>
      <w:tr w:rsidR="00A93D24" w14:paraId="3BBAEDEF" w14:textId="77777777" w:rsidTr="002E7584">
        <w:trPr>
          <w:jc w:val="center"/>
        </w:trPr>
        <w:tc>
          <w:tcPr>
            <w:tcW w:w="895" w:type="dxa"/>
            <w:vAlign w:val="center"/>
          </w:tcPr>
          <w:p w14:paraId="382DCD05" w14:textId="77777777" w:rsidR="00A93D24" w:rsidRDefault="00924E48" w:rsidP="002E7584">
            <w:pPr>
              <w:spacing w:line="276" w:lineRule="auto"/>
              <w:ind w:firstLine="0"/>
              <w:jc w:val="center"/>
              <w:rPr>
                <w:rFonts w:ascii="Aptos" w:eastAsia="Aptos" w:hAnsi="Aptos" w:cs="Times New Roman"/>
              </w:rPr>
            </w:pPr>
            <m:oMathPara>
              <m:oMath>
                <m:sSub>
                  <m:sSubPr>
                    <m:ctrlPr>
                      <w:rPr>
                        <w:rFonts w:ascii="Cambria Math" w:eastAsia="Aptos" w:hAnsi="Cambria Math" w:cs="Times New Roman"/>
                        <w:i/>
                      </w:rPr>
                    </m:ctrlPr>
                  </m:sSubPr>
                  <m:e>
                    <m:r>
                      <w:rPr>
                        <w:rFonts w:ascii="Cambria Math" w:eastAsia="Aptos" w:hAnsi="Cambria Math" w:cs="Times New Roman"/>
                      </w:rPr>
                      <m:t>ϵ</m:t>
                    </m:r>
                  </m:e>
                  <m:sub>
                    <m:r>
                      <w:rPr>
                        <w:rFonts w:ascii="Cambria Math" w:eastAsia="Aptos" w:hAnsi="Cambria Math" w:cs="Times New Roman"/>
                      </w:rPr>
                      <m:t>FDT</m:t>
                    </m:r>
                  </m:sub>
                </m:sSub>
              </m:oMath>
            </m:oMathPara>
          </w:p>
        </w:tc>
        <w:tc>
          <w:tcPr>
            <w:tcW w:w="1080" w:type="dxa"/>
            <w:vAlign w:val="center"/>
          </w:tcPr>
          <w:p w14:paraId="501F0E9C" w14:textId="77777777" w:rsidR="00A93D24" w:rsidRPr="007B316D" w:rsidRDefault="00A93D24" w:rsidP="002E7584">
            <w:pPr>
              <w:spacing w:line="276" w:lineRule="auto"/>
              <w:ind w:firstLine="0"/>
              <w:jc w:val="center"/>
              <w:rPr>
                <w:rFonts w:ascii="Aptos" w:eastAsia="Aptos" w:hAnsi="Aptos" w:cs="Times New Roman"/>
              </w:rPr>
            </w:pPr>
            <w:r>
              <w:rPr>
                <w:rFonts w:ascii="Aptos" w:eastAsia="Aptos" w:hAnsi="Aptos" w:cs="Times New Roman"/>
              </w:rPr>
              <w:t>-</w:t>
            </w:r>
          </w:p>
        </w:tc>
        <w:tc>
          <w:tcPr>
            <w:tcW w:w="810" w:type="dxa"/>
            <w:vAlign w:val="center"/>
          </w:tcPr>
          <w:p w14:paraId="52804FB0" w14:textId="77777777" w:rsidR="00A93D24" w:rsidRDefault="00A93D24" w:rsidP="002E7584">
            <w:pPr>
              <w:spacing w:line="276" w:lineRule="auto"/>
              <w:ind w:firstLine="0"/>
              <w:jc w:val="center"/>
              <w:rPr>
                <w:rFonts w:ascii="Aptos" w:eastAsia="Aptos" w:hAnsi="Aptos" w:cs="Times New Roman"/>
              </w:rPr>
            </w:pPr>
            <w:r>
              <w:rPr>
                <w:rFonts w:ascii="Aptos" w:eastAsia="Aptos" w:hAnsi="Aptos" w:cs="Times New Roman"/>
              </w:rPr>
              <w:t>0.1</w:t>
            </w:r>
          </w:p>
        </w:tc>
        <w:tc>
          <w:tcPr>
            <w:tcW w:w="3330" w:type="dxa"/>
          </w:tcPr>
          <w:p w14:paraId="1F7DE4B0" w14:textId="21BB1B0A" w:rsidR="00A93D24" w:rsidRDefault="00A93D24" w:rsidP="002E7584">
            <w:pPr>
              <w:spacing w:line="276" w:lineRule="auto"/>
              <w:ind w:firstLine="0"/>
              <w:jc w:val="center"/>
            </w:pPr>
            <w:r w:rsidRPr="00D932D0">
              <w:fldChar w:fldCharType="begin"/>
            </w:r>
            <w:r w:rsidR="00CA7A9D">
              <w:instrText xml:space="preserve"> ADDIN ZOTERO_ITEM CSL_CITATION {"citationID":"FEuvSpGk","properties":{"formattedCitation":"[77]","plainCitation":"[77]","noteIndex":0},"citationItems":[{"id":809,"uris":["http://zotero.org/users/12063231/items/86VEYUNF"],"itemData":{"id":809,"type":"article-journal","container-title":"Fuel Cells","DOI":"10.1002/fuce.200900082","issue":"6","language":"English","page":"1074-1094","title":"Modelling and Performance Evaluation of Solid Oxide Fuel Cell for Building Integrated Co- and Polygeneration","volume":"10","author":[{"family":"Kazempoor","given":"Pejman"},{"family":"Dorer","given":"Viktor"},{"family":"Fathollah","given":"Ommi"}],"issued":{"date-parts":[["2010"]]}}}],"schema":"https://github.com/citation-style-language/schema/raw/master/csl-citation.json"} </w:instrText>
            </w:r>
            <w:r w:rsidRPr="00D932D0">
              <w:fldChar w:fldCharType="separate"/>
            </w:r>
            <w:r w:rsidR="00CA7A9D" w:rsidRPr="00CA7A9D">
              <w:rPr>
                <w:rFonts w:ascii="Aptos" w:hAnsi="Aptos"/>
              </w:rPr>
              <w:t>[77]</w:t>
            </w:r>
            <w:r w:rsidRPr="00D932D0">
              <w:fldChar w:fldCharType="end"/>
            </w:r>
            <w:r w:rsidRPr="00D932D0">
              <w:t xml:space="preserve"> </w:t>
            </w:r>
          </w:p>
        </w:tc>
      </w:tr>
    </w:tbl>
    <w:p w14:paraId="0D46B3EF" w14:textId="77777777" w:rsidR="00A93D24" w:rsidRDefault="00A93D24" w:rsidP="00A93D24"/>
    <w:p w14:paraId="6C717D96" w14:textId="26077BD7" w:rsidR="00A93D24" w:rsidRPr="00EA45C7" w:rsidRDefault="00A93D24" w:rsidP="00A93D24">
      <w:r>
        <w:t xml:space="preserve">Convection and conduction are generally included in most fuel cell models, but radiation has been both considered and ignored in various modelling studies through the years </w:t>
      </w:r>
      <w:r>
        <w:fldChar w:fldCharType="begin"/>
      </w:r>
      <w:r w:rsidR="00CA7A9D">
        <w:instrText xml:space="preserve"> ADDIN ZOTERO_ITEM CSL_CITATION {"citationID":"a1h7i5g9p77","properties":{"formattedCitation":"[75]","plainCitation":"[75]","noteIndex":0},"citationItems":[{"id":3,"uris":["http://zotero.org/users/12063231/items/3CHVZB3E"],"itemData":{"id":3,"type":"thesis","event-place":"Trondheim, Norway","language":"English","publisher":"Norwegian University of Science and Technology","publisher-place":"Trondheim, Norway","title":"Design, Operation and Control Modelling of SOFC/GT Hybrid Systems","URL":"https://ntnuopen.ntnu.no/ntnu-xmlui/bitstream/handle/11250/231300/125922_FULLTEXT01.pdf?sequence=1","author":[{"family":"Stiller","given":"Christoph"}],"issued":{"date-parts":[["2006",3]]}}}],"schema":"https://github.com/citation-style-language/schema/raw/master/csl-citation.json"} </w:instrText>
      </w:r>
      <w:r>
        <w:fldChar w:fldCharType="separate"/>
      </w:r>
      <w:r w:rsidR="00CA7A9D" w:rsidRPr="00CA7A9D">
        <w:rPr>
          <w:rFonts w:ascii="Aptos" w:hAnsi="Aptos"/>
        </w:rPr>
        <w:t>[75]</w:t>
      </w:r>
      <w:r>
        <w:fldChar w:fldCharType="end"/>
      </w:r>
      <w:r>
        <w:t>. R</w:t>
      </w:r>
      <w:r w:rsidRPr="00E56B1E">
        <w:t xml:space="preserve">adiant heat transfer is governed by </w:t>
      </w:r>
      <w:r>
        <w:t>the area of the radiating surface, emissivity of the interacting surfaces, and the</w:t>
      </w:r>
      <w:r w:rsidRPr="00E56B1E">
        <w:t xml:space="preserve"> view factor between</w:t>
      </w:r>
      <w:r>
        <w:t xml:space="preserve"> the radiating and absorbing</w:t>
      </w:r>
      <w:r w:rsidRPr="00E56B1E">
        <w:t xml:space="preserve"> surfaces, which quantifies the direct line-of-sight interaction necessary for radiative energy exchange</w:t>
      </w:r>
      <w:r>
        <w:t xml:space="preserve">. In planar SOFC models, Stiller et al. </w:t>
      </w:r>
      <w:r>
        <w:fldChar w:fldCharType="begin"/>
      </w:r>
      <w:r w:rsidR="00CA7A9D">
        <w:instrText xml:space="preserve"> ADDIN ZOTERO_ITEM CSL_CITATION {"citationID":"a2nl6q061uc","properties":{"formattedCitation":"[96]","plainCitation":"[96]","noteIndex":0},"citationItems":[{"id":833,"uris":["http://zotero.org/users/12063231/items/4HEI2MEH"],"itemData":{"id":833,"type":"article-journal","abstract":"The paper describes two 2D steady-state models for solid oxide fuel cells (SOFC) with planar and tubular geometries fuelled by methane. Following a description of the basic geometries and general premises the approaches, assumptions and simplifications for the calculation of ohmic resistance, convective, conductive and radiative heat transfer are given. The modeling approach of the chemical reactions and molar and thermal balances are depicted in detail with the intention to allow for reproduction of the models. The required boundary conditions and input parameters of the models are also discussed. Relying on models, a bottoming GT cycle is introduced and specified and a base case for operation defined. The influence of pressure ratio, air inlet temperature, air flow rate and anode gas recycling are investigated in a parameter study. For both designs air flow rate and pressure ratio are the most important parameters considering the system performance, but for the tubular system these parameters have less impact than for the planar design. Based on the parameter study, a near-optimum case is defined specifically for both systems and the conditions in the fuel cells are investigated. The cycle balance is different in both systems, as the tubular fuel cell requires a lower air inlet temperature. Both fuel cell systems achieve above 65% electric efficiency.","container-title":"Journal of Power Sources","DOI":"10.1016/j.jpowsour.2004.09.019","ISSN":"0378-7753","issue":"2","journalAbbreviation":"Journal of Power Sources","page":"227-240","source":"ScienceDirect","title":"Finite-volume modeling and hybrid-cycle performance of planar and tubular solid oxide fuel cells","volume":"141","author":[{"family":"Stiller","given":"Christoph"},{"family":"Thorud","given":"Bjørn"},{"family":"Seljebø","given":"Steinar"},{"family":"Mathisen","given":"Øistein"},{"family":"Karoliussen","given":"Håvard"},{"family":"Bolland","given":"Olav"}],"issued":{"date-parts":[["2005",3,1]]}}}],"schema":"https://github.com/citation-style-language/schema/raw/master/csl-citation.json"} </w:instrText>
      </w:r>
      <w:r>
        <w:fldChar w:fldCharType="separate"/>
      </w:r>
      <w:r w:rsidR="00CA7A9D" w:rsidRPr="00CA7A9D">
        <w:rPr>
          <w:rFonts w:ascii="Aptos" w:hAnsi="Aptos"/>
        </w:rPr>
        <w:t>[96]</w:t>
      </w:r>
      <w:r>
        <w:fldChar w:fldCharType="end"/>
      </w:r>
      <w:r>
        <w:t xml:space="preserve"> and </w:t>
      </w:r>
      <w:proofErr w:type="spellStart"/>
      <w:r>
        <w:t>Recknagle</w:t>
      </w:r>
      <w:proofErr w:type="spellEnd"/>
      <w:r>
        <w:t xml:space="preserve"> </w:t>
      </w:r>
      <w:r>
        <w:fldChar w:fldCharType="begin"/>
      </w:r>
      <w:r w:rsidR="00CA7A9D">
        <w:instrText xml:space="preserve"> ADDIN ZOTERO_ITEM CSL_CITATION {"citationID":"af5v3gq89b","properties":{"formattedCitation":"[97]","plainCitation":"[97]","noteIndex":0},"citationItems":[{"id":841,"uris":["http://zotero.org/users/12063231/items/9RF4CCWH"],"itemData":{"id":841,"type":"article-journal","abstract":"A simulation tool for modeling planar solid oxide fuel cells is demonstrated. The tool combines the versatility of a commercial computational fluid dynamics simulation code with a validated electrochemistry calculation method. Its function is to predict the flow and distribution of anode and cathode gases, temperature and current distributions, and fuel utilization. A three-dimensional model geometry, including internal manifolds, was created to simulate a generic, cross-flow stack design. Similar three-dimensional geometries were created for simulation of co-flow, and counterflow stack designs. Cyclic boundary conditions were imposed at the top and bottom of the model domains, while the lateral walls were assumed adiabatic. The three cases show that, for a given average cell temperature, similar fuel utilizations can result irrespective of the flow configuration. Temperature distributions however, which largely determine thermal stresses during operation, are dependent on the chosen design geometry/flow configuration. The co-flow case had the most uniform temperature distribution and the smallest thermal gradients, thus offers thermo-structural advantages over the other flow cases.","container-title":"Journal of Power Sources","DOI":"10.1016/S0378-7753(02)00487-1","ISSN":"0378-7753","issue":"1","journalAbbreviation":"Journal of Power Sources","page":"109-114","source":"ScienceDirect","title":"Three-dimensional thermo-fluid electrochemical modeling of planar SOFC stacks","volume":"113","author":[{"family":"Recknagle","given":"K. P"},{"family":"Williford","given":"R. E"},{"family":"Chick","given":"L. A"},{"family":"Rector","given":"D. R"},{"family":"Khaleel","given":"M. A"}],"issued":{"date-parts":[["2003",1,1]]}}}],"schema":"https://github.com/citation-style-language/schema/raw/master/csl-citation.json"} </w:instrText>
      </w:r>
      <w:r>
        <w:fldChar w:fldCharType="separate"/>
      </w:r>
      <w:r w:rsidR="00CA7A9D" w:rsidRPr="00CA7A9D">
        <w:rPr>
          <w:rFonts w:ascii="Aptos" w:hAnsi="Aptos"/>
        </w:rPr>
        <w:t>[97]</w:t>
      </w:r>
      <w:r>
        <w:fldChar w:fldCharType="end"/>
      </w:r>
      <w:r>
        <w:t xml:space="preserve"> ignored radiant heat along channels due to a high length to width ratio in the cell minimizing its effect. High length to width ratios have been proven to largely mitigate radiative heat in cell channels </w:t>
      </w:r>
      <w:r>
        <w:fldChar w:fldCharType="begin"/>
      </w:r>
      <w:r w:rsidR="00CA7A9D">
        <w:instrText xml:space="preserve"> ADDIN ZOTERO_ITEM CSL_CITATION {"citationID":"a2rlqcnqlp","properties":{"formattedCitation":"[98]","plainCitation":"[98]","noteIndex":0},"citationItems":[{"id":838,"uris":["http://zotero.org/users/12063231/items/MY7X3RMR"],"itemData":{"id":838,"type":"article-journal","abstract":"A three-dimensional mathematical model for a planar SOFC was constructed. The concentrations of the chemical species, the temperature distribution, the potential distribution, and the current density were calculated using a single-unit model with double channels of co-flow or counter-flow pattern. The finite volume method was employed for the calculation, which is based on the fundamental conservation laws of mass, energy, and electrical charge. The internal or external steam-reforming, the water-shift reaction, and the diffusion of gases in the porous electrodes were taken into the model. The effects of the cell size, the operating voltage and the thermal conductivity of the cell components on the calculated results were investigated. From the simulated temperature distributions in the electrolyte and the inter-connector, the stress distributions were calculated using the finite element method. The results demonstrated that the steam reforming would generate internal stresses of several tens MPa in an electrolyte.","container-title":"Journal of Power Sources","DOI":"10.1016/S0378-7753(01)00792-3","ISSN":"0378-7753","issue":"1","journalAbbreviation":"Journal of Power Sources","page":"144-154","source":"ScienceDirect","title":"3-D model calculation for planar SOFC","volume":"102","author":[{"family":"Yakabe","given":"H."},{"family":"Ogiwara","given":"T."},{"family":"Hishinuma","given":"M."},{"family":"Yasuda","given":"I."}],"issued":{"date-parts":[["2001",12,1]]}}}],"schema":"https://github.com/citation-style-language/schema/raw/master/csl-citation.json"} </w:instrText>
      </w:r>
      <w:r>
        <w:fldChar w:fldCharType="separate"/>
      </w:r>
      <w:r w:rsidR="00CA7A9D" w:rsidRPr="00CA7A9D">
        <w:rPr>
          <w:rFonts w:ascii="Aptos" w:hAnsi="Aptos"/>
        </w:rPr>
        <w:t>[98]</w:t>
      </w:r>
      <w:r>
        <w:fldChar w:fldCharType="end"/>
      </w:r>
      <w:r>
        <w:t xml:space="preserve">. Other planar SOFC studies like </w:t>
      </w:r>
      <w:proofErr w:type="spellStart"/>
      <w:r>
        <w:t>Yakabe</w:t>
      </w:r>
      <w:proofErr w:type="spellEnd"/>
      <w:r>
        <w:t xml:space="preserve"> </w:t>
      </w:r>
      <w:r>
        <w:fldChar w:fldCharType="begin"/>
      </w:r>
      <w:r w:rsidR="00CA7A9D">
        <w:instrText xml:space="preserve"> ADDIN ZOTERO_ITEM CSL_CITATION {"citationID":"a17r04g8hg7","properties":{"formattedCitation":"[98]","plainCitation":"[98]","noteIndex":0},"citationItems":[{"id":838,"uris":["http://zotero.org/users/12063231/items/MY7X3RMR"],"itemData":{"id":838,"type":"article-journal","abstract":"A three-dimensional mathematical model for a planar SOFC was constructed. The concentrations of the chemical species, the temperature distribution, the potential distribution, and the current density were calculated using a single-unit model with double channels of co-flow or counter-flow pattern. The finite volume method was employed for the calculation, which is based on the fundamental conservation laws of mass, energy, and electrical charge. The internal or external steam-reforming, the water-shift reaction, and the diffusion of gases in the porous electrodes were taken into the model. The effects of the cell size, the operating voltage and the thermal conductivity of the cell components on the calculated results were investigated. From the simulated temperature distributions in the electrolyte and the inter-connector, the stress distributions were calculated using the finite element method. The results demonstrated that the steam reforming would generate internal stresses of several tens MPa in an electrolyte.","container-title":"Journal of Power Sources","DOI":"10.1016/S0378-7753(01)00792-3","ISSN":"0378-7753","issue":"1","journalAbbreviation":"Journal of Power Sources","page":"144-154","source":"ScienceDirect","title":"3-D model calculation for planar SOFC","volume":"102","author":[{"family":"Yakabe","given":"H."},{"family":"Ogiwara","given":"T."},{"family":"Hishinuma","given":"M."},{"family":"Yasuda","given":"I."}],"issued":{"date-parts":[["2001",12,1]]}}}],"schema":"https://github.com/citation-style-language/schema/raw/master/csl-citation.json"} </w:instrText>
      </w:r>
      <w:r>
        <w:fldChar w:fldCharType="separate"/>
      </w:r>
      <w:r w:rsidR="00CA7A9D" w:rsidRPr="00CA7A9D">
        <w:rPr>
          <w:rFonts w:ascii="Aptos" w:hAnsi="Aptos"/>
        </w:rPr>
        <w:t>[98]</w:t>
      </w:r>
      <w:r>
        <w:fldChar w:fldCharType="end"/>
      </w:r>
      <w:r>
        <w:t xml:space="preserve"> and Xi </w:t>
      </w:r>
      <w:r>
        <w:fldChar w:fldCharType="begin"/>
      </w:r>
      <w:r w:rsidR="00CA7A9D">
        <w:instrText xml:space="preserve"> ADDIN ZOTERO_ITEM CSL_CITATION {"citationID":"a1vou1doshf","properties":{"formattedCitation":"[76]","plainCitation":"[76]","noteIndex":0},"citationItems":[{"id":805,"uris":["http://zotero.org/users/12063231/items/IV7WWVFD"],"itemData":{"id":805,"type":"thesis","event-place":"Ann Arbor, MI","language":"English","number-of-pages":"183","publisher":"University of Michigan","publisher-place":"Ann Arbor, MI","title":"Dynamic Modeling and Control of Planar SOFC Power Systems","author":[{"family":"Xi","given":"Handa"}],"issued":{"date-parts":[["2007"]]}}}],"schema":"https://github.com/citation-style-language/schema/raw/master/csl-citation.json"} </w:instrText>
      </w:r>
      <w:r>
        <w:fldChar w:fldCharType="separate"/>
      </w:r>
      <w:r w:rsidR="00CA7A9D" w:rsidRPr="00CA7A9D">
        <w:rPr>
          <w:rFonts w:ascii="Aptos" w:hAnsi="Aptos"/>
        </w:rPr>
        <w:t>[76]</w:t>
      </w:r>
      <w:r>
        <w:fldChar w:fldCharType="end"/>
      </w:r>
      <w:r>
        <w:t xml:space="preserve"> included heat radiation and their models returned a lower temperature variation through the cell as a result </w:t>
      </w:r>
      <w:r>
        <w:fldChar w:fldCharType="begin"/>
      </w:r>
      <w:r w:rsidR="00CA7A9D">
        <w:instrText xml:space="preserve"> ADDIN ZOTERO_ITEM CSL_CITATION {"citationID":"a1vlp5mjik2","properties":{"formattedCitation":"[75]","plainCitation":"[75]","noteIndex":0},"citationItems":[{"id":3,"uris":["http://zotero.org/users/12063231/items/3CHVZB3E"],"itemData":{"id":3,"type":"thesis","event-place":"Trondheim, Norway","language":"English","publisher":"Norwegian University of Science and Technology","publisher-place":"Trondheim, Norway","title":"Design, Operation and Control Modelling of SOFC/GT Hybrid Systems","URL":"https://ntnuopen.ntnu.no/ntnu-xmlui/bitstream/handle/11250/231300/125922_FULLTEXT01.pdf?sequence=1","author":[{"family":"Stiller","given":"Christoph"}],"issued":{"date-parts":[["2006",3]]}}}],"schema":"https://github.com/citation-style-language/schema/raw/master/csl-citation.json"} </w:instrText>
      </w:r>
      <w:r>
        <w:fldChar w:fldCharType="separate"/>
      </w:r>
      <w:r w:rsidR="00CA7A9D" w:rsidRPr="00CA7A9D">
        <w:rPr>
          <w:rFonts w:ascii="Aptos" w:hAnsi="Aptos"/>
        </w:rPr>
        <w:t>[75]</w:t>
      </w:r>
      <w:r>
        <w:fldChar w:fldCharType="end"/>
      </w:r>
      <w:r>
        <w:t xml:space="preserve">. In all planar studies where radiant heat is considered, it always defined the relationship between the interconnect and the PEN assembly. This changes in tubular models, since the interconnect is often in direct contact with the PEN structure itself </w:t>
      </w:r>
      <w:r>
        <w:fldChar w:fldCharType="begin"/>
      </w:r>
      <w:r w:rsidR="00CA7A9D">
        <w:instrText xml:space="preserve"> ADDIN ZOTERO_ITEM CSL_CITATION {"citationID":"ap23prp203","properties":{"formattedCitation":"[84]","plainCitation":"[84]","noteIndex":0},"citationItems":[{"id":132,"uris":["http://zotero.org/users/12063231/items/IMGWQA7S"],"itemData":{"id":132,"type":"article-journal","abstract":"Proton-conducting ceramics (protonic ceramics) form the basis for applications that include intermediate-temperature (e.g., 500 °C–700 °C) fuel cells, electrolyzers, and membrane reactors. The electrolyte membranes are typically perovskites such as heterovalently doped barium cerates and zirconates (e.g., BaCe1−x−y Zr x Y y O3−δ , BCZY; and BaCe1−x−y−z Zr x Y y Yb z O3−δ , BCZYYb). Although the materials are dominantly proton conductors, they are mixed ionic-electronic conductors (MIEC) with oxygen-ion and small-polaron mobility. The present paper is concerned primarily with steam-electrolysis applications with the reactors using tubular cell configurations. An important advantage of the protonic-ceramic cells is that they can produce nearly dry hydrogen. Each tubular cell is comprised of a negatrode (electrolysis cathode), proton-conducting electrolyte membrane, and a positrode (electrolysis anode). The tubular cells are typically supported on the relatively thick (order of one millimeter) composite negatrode, with thin (order tens of microns) external membrane and positrode layers. The paper explores considerations for scaling from laboratory-based demonstrations to deployable technology.","container-title":"Journal of The Electrochemical Society","DOI":"10.1149/1945-7111/ac6c4e","ISSN":"1945-7111","issue":"5","journalAbbreviation":"J. Electrochem. Soc.","language":"en","note":"publisher: IOP Publishing","page":"054525","source":"Institute of Physics","title":"Perspectives on Technical Challenges and Scaling Considerations for Tubular Protonic-Ceramic Electrolysis Cells and Stacks","volume":"169","author":[{"family":"Kee","given":"Robert J."},{"family":"Ricote","given":"Sandrine"},{"family":"Zhu","given":"Huayang"},{"family":"Braun","given":"Robert J."},{"family":"Carins","given":"George"},{"family":"Persky","given":"Joshua E."}],"issued":{"date-parts":[["2022",5]]}}}],"schema":"https://github.com/citation-style-language/schema/raw/master/csl-citation.json"} </w:instrText>
      </w:r>
      <w:r>
        <w:fldChar w:fldCharType="separate"/>
      </w:r>
      <w:r w:rsidR="00CA7A9D" w:rsidRPr="00CA7A9D">
        <w:rPr>
          <w:rFonts w:ascii="Aptos" w:hAnsi="Aptos"/>
        </w:rPr>
        <w:t>[84]</w:t>
      </w:r>
      <w:r>
        <w:fldChar w:fldCharType="end"/>
      </w:r>
      <w:r>
        <w:t xml:space="preserve">. Ota et al. </w:t>
      </w:r>
      <w:r>
        <w:fldChar w:fldCharType="begin"/>
      </w:r>
      <w:r w:rsidR="00CA7A9D">
        <w:instrText xml:space="preserve"> ADDIN ZOTERO_ITEM CSL_CITATION {"citationID":"a1auigm24sb","properties":{"formattedCitation":"[99]","plainCitation":"[99]","noteIndex":0},"citationItems":[{"id":829,"uris":["http://zotero.org/users/12063231/items/2KC9EXRI"],"itemData":{"id":829,"type":"article-journal","abstract":"A simulation model for a tubular solid oxide fuel cell (SOFC) was developed by the object-based approach to calculate the current distribution, gas concentration distribution, and temperature distribution at the steady states and transient operation states. The transient electrical and temperature response to a load change was simulated for the both cells with the diameter of 22mm (standard cell) and the diameter of 2.4mm (micro-tube cell). The time required to reach the new steady state as the operating voltage was changed from 0.7 to 0.5V for the micro-tube cell was found to be 15s, which is much shorter than that of the standard cell.","collection-title":"Scientific Advances in Fuel Cell Systems","container-title":"Journal of Power Sources","DOI":"10.1016/S0378-7753(03)00109-5","ISSN":"0378-7753","issue":"1","journalAbbreviation":"Journal of Power Sources","page":"430-439","source":"ScienceDirect","title":"Object-based modeling of SOFC system: dynamic behavior of micro-tube SOFC","title-short":"Object-based modeling of SOFC system","volume":"118","author":[{"family":"Ota","given":"Tomoyuki"},{"family":"Koyama","given":"Michihisa"},{"family":"Wen","given":"Ching-ju"},{"family":"Yamada","given":"Koichi"},{"family":"Takahashi","given":"Hiroshi"}],"issued":{"date-parts":[["2003",5,25]]}}}],"schema":"https://github.com/citation-style-language/schema/raw/master/csl-citation.json"} </w:instrText>
      </w:r>
      <w:r>
        <w:fldChar w:fldCharType="separate"/>
      </w:r>
      <w:r w:rsidR="00CA7A9D" w:rsidRPr="00CA7A9D">
        <w:rPr>
          <w:rFonts w:ascii="Aptos" w:hAnsi="Aptos"/>
        </w:rPr>
        <w:t>[99]</w:t>
      </w:r>
      <w:r>
        <w:fldChar w:fldCharType="end"/>
      </w:r>
      <w:r>
        <w:t xml:space="preserve"> provided a good example for radiant heat in tubular models, where the inner feed tube experienced radiant heat from the cathode in his model. A similar approach has been taken in this model, where the FDT and PEN assembly experiences radiation between each other. </w:t>
      </w:r>
    </w:p>
    <w:p w14:paraId="58EBD24F" w14:textId="77777777" w:rsidR="00A93D24" w:rsidRDefault="00A93D24" w:rsidP="00A93D24">
      <w:pPr>
        <w:pStyle w:val="Heading3"/>
      </w:pPr>
      <w:bookmarkStart w:id="89" w:name="_Toc165641083"/>
      <w:r>
        <w:t>3.5.4 Energy Balance in</w:t>
      </w:r>
      <w:r w:rsidRPr="00286FCA">
        <w:t xml:space="preserve"> </w:t>
      </w:r>
      <w:r>
        <w:t>Solid Structures</w:t>
      </w:r>
      <w:bookmarkEnd w:id="89"/>
    </w:p>
    <w:p w14:paraId="69F0136A" w14:textId="77777777" w:rsidR="00A93D24" w:rsidRDefault="00A93D24" w:rsidP="00A93D24">
      <w:pPr>
        <w:rPr>
          <w:rFonts w:eastAsiaTheme="minorEastAsia"/>
        </w:rPr>
      </w:pPr>
      <w:r>
        <w:rPr>
          <w:rFonts w:eastAsiaTheme="minorEastAsia"/>
        </w:rPr>
        <w:t>The FDT, PEN assembly, and the interconnect are the three solid structures considered in this model. The FDT energy balance considers the convective heat transfer with respect to the pre-fuel and the reacting fuel, as well as the conductive heat transfer along its discretized units and radiation form the PEN assembly. The energy balance for the FDT is given by:</w:t>
      </w:r>
    </w:p>
    <w:p w14:paraId="3A25A6DF" w14:textId="77777777" w:rsidR="00A93D24" w:rsidRPr="00733037" w:rsidRDefault="00A93D24" w:rsidP="00A93D24">
      <w:pPr>
        <w:jc w:val="right"/>
        <w:rPr>
          <w:rFonts w:eastAsiaTheme="minorEastAsia"/>
        </w:rPr>
      </w:pPr>
      <m:oMathPara>
        <m:oMath>
          <m:r>
            <w:rPr>
              <w:rFonts w:ascii="Cambria Math" w:eastAsiaTheme="minorEastAsia" w:hAnsi="Cambria Math"/>
            </w:rPr>
            <m:t>0=</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F,i</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2π</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m:t>
                          </m:r>
                        </m:sub>
                      </m:sSub>
                      <m:r>
                        <m:rPr>
                          <m:sty m:val="p"/>
                        </m:rPr>
                        <w:rPr>
                          <w:rFonts w:ascii="Cambria Math" w:eastAsiaTheme="minorEastAsia" w:hAnsi="Cambria Math"/>
                        </w:rPr>
                        <m:t>Δ</m:t>
                      </m:r>
                      <m:r>
                        <w:rPr>
                          <w:rFonts w:ascii="Cambria Math" w:eastAsiaTheme="minorEastAsia" w:hAnsi="Cambria Math"/>
                        </w:rPr>
                        <m:t>z</m:t>
                      </m:r>
                    </m:e>
                  </m:d>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FDT,i</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PF</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2π</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m:t>
                          </m:r>
                        </m:sub>
                      </m:sSub>
                      <m:r>
                        <m:rPr>
                          <m:sty m:val="p"/>
                        </m:rPr>
                        <w:rPr>
                          <w:rFonts w:ascii="Cambria Math" w:eastAsiaTheme="minorEastAsia" w:hAnsi="Cambria Math"/>
                        </w:rPr>
                        <m:t>Δ</m:t>
                      </m:r>
                      <m:r>
                        <w:rPr>
                          <w:rFonts w:ascii="Cambria Math" w:eastAsiaTheme="minorEastAsia" w:hAnsi="Cambria Math"/>
                        </w:rPr>
                        <m:t>z</m:t>
                      </m:r>
                    </m:e>
                  </m:d>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PF,i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FDT</m:t>
                          </m:r>
                        </m:sub>
                      </m:sSub>
                    </m:e>
                  </m:d>
                </m:e>
              </m:d>
            </m:e>
            <m:sub>
              <m:r>
                <w:rPr>
                  <w:rFonts w:ascii="Cambria Math" w:eastAsiaTheme="minorEastAsia" w:hAnsi="Cambria Math"/>
                </w:rPr>
                <m:t>conv</m:t>
              </m:r>
            </m:sub>
          </m:sSub>
          <m:r>
            <w:rPr>
              <w:rFonts w:ascii="Cambria Math" w:eastAsiaTheme="minorEastAsia" w:hAnsi="Cambria Math"/>
            </w:rPr>
            <m:t>+</m:t>
          </m:r>
        </m:oMath>
      </m:oMathPara>
    </w:p>
    <w:p w14:paraId="517F78ED" w14:textId="77777777" w:rsidR="00A93D24" w:rsidRPr="00F33E85" w:rsidRDefault="00924E48" w:rsidP="00A93D24">
      <w:pPr>
        <w:jc w:val="right"/>
      </w:pPr>
      <m:oMath>
        <m:sSub>
          <m:sSubPr>
            <m:ctrlPr>
              <w:rPr>
                <w:rFonts w:ascii="Cambria Math" w:eastAsiaTheme="minorEastAsia" w:hAnsi="Cambria Math"/>
                <w:i/>
              </w:rPr>
            </m:ctrlPr>
          </m:sSub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FDT</m:t>
                    </m:r>
                  </m:sub>
                </m:sSub>
                <m:r>
                  <w:rPr>
                    <w:rFonts w:ascii="Cambria Math" w:eastAsiaTheme="minorEastAsia" w:hAnsi="Cambria Math"/>
                  </w:rPr>
                  <m:t>π</m:t>
                </m:r>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2</m:t>
                        </m:r>
                      </m:sub>
                      <m:sup>
                        <m:r>
                          <w:rPr>
                            <w:rFonts w:ascii="Cambria Math" w:eastAsiaTheme="minorEastAsia" w:hAnsi="Cambria Math"/>
                          </w:rPr>
                          <m:t>2</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1</m:t>
                        </m:r>
                      </m:sub>
                      <m:sup>
                        <m:r>
                          <w:rPr>
                            <w:rFonts w:ascii="Cambria Math" w:eastAsiaTheme="minorEastAsia" w:hAnsi="Cambria Math"/>
                          </w:rPr>
                          <m:t>2</m:t>
                        </m:r>
                      </m:sup>
                    </m:sSubSup>
                  </m:e>
                </m:d>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FDT</m:t>
                            </m:r>
                            <m:r>
                              <w:rPr>
                                <w:rFonts w:ascii="Cambria Math" w:eastAsiaTheme="minorEastAsia" w:hAnsi="Cambria Math"/>
                              </w:rPr>
                              <m:t>,</m:t>
                            </m:r>
                            <m:r>
                              <w:rPr>
                                <w:rFonts w:ascii="Cambria Math" w:eastAsiaTheme="minorEastAsia" w:hAnsi="Cambria Math"/>
                              </w:rPr>
                              <m:t>i</m:t>
                            </m:r>
                            <m:r>
                              <w:rPr>
                                <w:rFonts w:ascii="Cambria Math" w:eastAsiaTheme="minorEastAsia" w:hAnsi="Cambria Math"/>
                              </w:rPr>
                              <m:t>-</m:t>
                            </m:r>
                            <m:r>
                              <w:rPr>
                                <w:rFonts w:ascii="Cambria Math" w:eastAsiaTheme="minorEastAsia" w:hAnsi="Cambria Math"/>
                              </w:rPr>
                              <m:t>1</m:t>
                            </m:r>
                          </m:sub>
                        </m:sSub>
                        <m:r>
                          <w:rPr>
                            <w:rFonts w:ascii="Cambria Math" w:eastAsiaTheme="minorEastAsia" w:hAnsi="Cambria Math"/>
                          </w:rPr>
                          <m:t>-</m:t>
                        </m:r>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FDT</m:t>
                            </m:r>
                            <m:r>
                              <w:rPr>
                                <w:rFonts w:ascii="Cambria Math" w:eastAsiaTheme="minorEastAsia" w:hAnsi="Cambria Math"/>
                              </w:rPr>
                              <m:t>,</m:t>
                            </m:r>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FDTi</m:t>
                            </m:r>
                            <m:r>
                              <w:rPr>
                                <w:rFonts w:ascii="Cambria Math" w:eastAsiaTheme="minorEastAsia" w:hAnsi="Cambria Math"/>
                              </w:rPr>
                              <m:t xml:space="preserve">+1 </m:t>
                            </m:r>
                          </m:sub>
                        </m:sSub>
                      </m:e>
                    </m:d>
                  </m:num>
                  <m:den>
                    <m:r>
                      <m:rPr>
                        <m:sty m:val="p"/>
                      </m:rPr>
                      <w:rPr>
                        <w:rFonts w:ascii="Cambria Math" w:eastAsiaTheme="minorEastAsia" w:hAnsi="Cambria Math"/>
                      </w:rPr>
                      <m:t>Δ</m:t>
                    </m:r>
                    <m:r>
                      <w:rPr>
                        <w:rFonts w:ascii="Cambria Math" w:eastAsiaTheme="minorEastAsia" w:hAnsi="Cambria Math"/>
                      </w:rPr>
                      <m:t>z</m:t>
                    </m:r>
                  </m:den>
                </m:f>
              </m:e>
            </m:d>
          </m:e>
          <m:sub>
            <m:r>
              <w:rPr>
                <w:rFonts w:ascii="Cambria Math" w:eastAsiaTheme="minorEastAsia" w:hAnsi="Cambria Math"/>
              </w:rPr>
              <m:t>cond</m:t>
            </m:r>
          </m:sub>
        </m:sSub>
        <m:r>
          <w:rPr>
            <w:rFonts w:ascii="Cambria Math" w:eastAsiaTheme="majorEastAsia" w:hAnsi="Cambria Math" w:cstheme="majorBidi"/>
          </w:rPr>
          <m:t>+</m:t>
        </m:r>
        <m:sSub>
          <m:sSubPr>
            <m:ctrlPr>
              <w:rPr>
                <w:rFonts w:ascii="Cambria Math" w:eastAsiaTheme="majorEastAsia" w:hAnsi="Cambria Math" w:cstheme="majorBidi"/>
                <w:i/>
              </w:rPr>
            </m:ctrlPr>
          </m:sSubPr>
          <m:e>
            <m:d>
              <m:dPr>
                <m:begChr m:val="["/>
                <m:endChr m:val="]"/>
                <m:ctrlPr>
                  <w:rPr>
                    <w:rFonts w:ascii="Cambria Math" w:eastAsiaTheme="majorEastAsia" w:hAnsi="Cambria Math" w:cstheme="majorBidi"/>
                    <w:i/>
                  </w:rPr>
                </m:ctrlPr>
              </m:dPr>
              <m:e>
                <m:f>
                  <m:fPr>
                    <m:ctrlPr>
                      <w:rPr>
                        <w:rFonts w:ascii="Cambria Math" w:eastAsiaTheme="majorEastAsia" w:hAnsi="Cambria Math" w:cstheme="majorBidi"/>
                        <w:i/>
                      </w:rPr>
                    </m:ctrlPr>
                  </m:fPr>
                  <m:num>
                    <m:r>
                      <w:rPr>
                        <w:rFonts w:ascii="Cambria Math" w:eastAsiaTheme="majorEastAsia" w:hAnsi="Cambria Math" w:cstheme="majorBidi"/>
                      </w:rPr>
                      <m:t>2</m:t>
                    </m:r>
                    <m:r>
                      <w:rPr>
                        <w:rFonts w:ascii="Cambria Math" w:eastAsiaTheme="majorEastAsia" w:hAnsi="Cambria Math" w:cstheme="majorBidi"/>
                      </w:rPr>
                      <m:t>π</m:t>
                    </m:r>
                    <m:sSub>
                      <m:sSubPr>
                        <m:ctrlPr>
                          <w:rPr>
                            <w:rFonts w:ascii="Cambria Math" w:eastAsiaTheme="majorEastAsia" w:hAnsi="Cambria Math" w:cstheme="majorBidi"/>
                            <w:i/>
                          </w:rPr>
                        </m:ctrlPr>
                      </m:sSubPr>
                      <m:e>
                        <m:r>
                          <w:rPr>
                            <w:rFonts w:ascii="Cambria Math" w:eastAsiaTheme="majorEastAsia" w:hAnsi="Cambria Math" w:cstheme="majorBidi"/>
                          </w:rPr>
                          <m:t>r</m:t>
                        </m:r>
                      </m:e>
                      <m:sub>
                        <m:r>
                          <w:rPr>
                            <w:rFonts w:ascii="Cambria Math" w:eastAsiaTheme="majorEastAsia" w:hAnsi="Cambria Math" w:cstheme="majorBidi"/>
                          </w:rPr>
                          <m:t>3</m:t>
                        </m:r>
                      </m:sub>
                    </m:sSub>
                    <m:r>
                      <m:rPr>
                        <m:sty m:val="p"/>
                      </m:rPr>
                      <w:rPr>
                        <w:rFonts w:ascii="Cambria Math" w:eastAsiaTheme="majorEastAsia" w:hAnsi="Cambria Math" w:cstheme="majorBidi"/>
                      </w:rPr>
                      <m:t>Δ</m:t>
                    </m:r>
                    <m:r>
                      <w:rPr>
                        <w:rFonts w:ascii="Cambria Math" w:eastAsiaTheme="majorEastAsia" w:hAnsi="Cambria Math" w:cstheme="majorBidi"/>
                      </w:rPr>
                      <m:t>zσ</m:t>
                    </m:r>
                    <m:d>
                      <m:dPr>
                        <m:ctrlPr>
                          <w:rPr>
                            <w:rFonts w:ascii="Cambria Math" w:eastAsiaTheme="majorEastAsia" w:hAnsi="Cambria Math" w:cstheme="majorBidi"/>
                            <w:i/>
                          </w:rPr>
                        </m:ctrlPr>
                      </m:dPr>
                      <m:e>
                        <m:sSubSup>
                          <m:sSubSupPr>
                            <m:ctrlPr>
                              <w:rPr>
                                <w:rFonts w:ascii="Cambria Math" w:eastAsiaTheme="majorEastAsia" w:hAnsi="Cambria Math" w:cstheme="majorBidi"/>
                                <w:i/>
                              </w:rPr>
                            </m:ctrlPr>
                          </m:sSubSupPr>
                          <m:e>
                            <m:r>
                              <w:rPr>
                                <w:rFonts w:ascii="Cambria Math" w:eastAsiaTheme="majorEastAsia" w:hAnsi="Cambria Math" w:cstheme="majorBidi"/>
                              </w:rPr>
                              <m:t>T</m:t>
                            </m:r>
                          </m:e>
                          <m:sub>
                            <m:r>
                              <w:rPr>
                                <w:rFonts w:ascii="Cambria Math" w:eastAsiaTheme="majorEastAsia" w:hAnsi="Cambria Math" w:cstheme="majorBidi"/>
                              </w:rPr>
                              <m:t>PEN</m:t>
                            </m:r>
                            <m:r>
                              <w:rPr>
                                <w:rFonts w:ascii="Cambria Math" w:eastAsiaTheme="majorEastAsia" w:hAnsi="Cambria Math" w:cstheme="majorBidi"/>
                              </w:rPr>
                              <m:t>,</m:t>
                            </m:r>
                            <m:r>
                              <w:rPr>
                                <w:rFonts w:ascii="Cambria Math" w:eastAsiaTheme="majorEastAsia" w:hAnsi="Cambria Math" w:cstheme="majorBidi"/>
                              </w:rPr>
                              <m:t>i</m:t>
                            </m:r>
                          </m:sub>
                          <m:sup>
                            <m:r>
                              <w:rPr>
                                <w:rFonts w:ascii="Cambria Math" w:eastAsiaTheme="majorEastAsia" w:hAnsi="Cambria Math" w:cstheme="majorBidi"/>
                              </w:rPr>
                              <m:t>4</m:t>
                            </m:r>
                          </m:sup>
                        </m:sSubSup>
                        <m:r>
                          <w:rPr>
                            <w:rFonts w:ascii="Cambria Math" w:eastAsiaTheme="majorEastAsia" w:hAnsi="Cambria Math" w:cstheme="majorBidi"/>
                          </w:rPr>
                          <m:t>-</m:t>
                        </m:r>
                        <m:sSubSup>
                          <m:sSubSupPr>
                            <m:ctrlPr>
                              <w:rPr>
                                <w:rFonts w:ascii="Cambria Math" w:eastAsiaTheme="majorEastAsia" w:hAnsi="Cambria Math" w:cstheme="majorBidi"/>
                                <w:i/>
                              </w:rPr>
                            </m:ctrlPr>
                          </m:sSubSupPr>
                          <m:e>
                            <m:r>
                              <w:rPr>
                                <w:rFonts w:ascii="Cambria Math" w:eastAsiaTheme="majorEastAsia" w:hAnsi="Cambria Math" w:cstheme="majorBidi"/>
                              </w:rPr>
                              <m:t>T</m:t>
                            </m:r>
                          </m:e>
                          <m:sub>
                            <m:r>
                              <w:rPr>
                                <w:rFonts w:ascii="Cambria Math" w:eastAsiaTheme="majorEastAsia" w:hAnsi="Cambria Math" w:cstheme="majorBidi"/>
                              </w:rPr>
                              <m:t>FDT</m:t>
                            </m:r>
                            <m:r>
                              <w:rPr>
                                <w:rFonts w:ascii="Cambria Math" w:eastAsiaTheme="majorEastAsia" w:hAnsi="Cambria Math" w:cstheme="majorBidi"/>
                              </w:rPr>
                              <m:t>,</m:t>
                            </m:r>
                            <m:r>
                              <w:rPr>
                                <w:rFonts w:ascii="Cambria Math" w:eastAsiaTheme="majorEastAsia" w:hAnsi="Cambria Math" w:cstheme="majorBidi"/>
                              </w:rPr>
                              <m:t>i</m:t>
                            </m:r>
                          </m:sub>
                          <m:sup>
                            <m:r>
                              <w:rPr>
                                <w:rFonts w:ascii="Cambria Math" w:eastAsiaTheme="majorEastAsia" w:hAnsi="Cambria Math" w:cstheme="majorBidi"/>
                              </w:rPr>
                              <m:t>4</m:t>
                            </m:r>
                          </m:sup>
                        </m:sSubSup>
                      </m:e>
                    </m:d>
                  </m:num>
                  <m:den>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I</m:t>
                        </m:r>
                      </m:sub>
                    </m:sSub>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PEN</m:t>
                        </m:r>
                      </m:sub>
                    </m:sSub>
                    <m:r>
                      <w:rPr>
                        <w:rFonts w:ascii="Cambria Math" w:eastAsiaTheme="minorEastAsia" w:hAnsi="Cambria Math"/>
                      </w:rPr>
                      <m:t>-</m:t>
                    </m:r>
                    <m:r>
                      <w:rPr>
                        <w:rFonts w:ascii="Cambria Math" w:eastAsiaTheme="minorEastAsia" w:hAnsi="Cambria Math"/>
                      </w:rPr>
                      <m:t>1</m:t>
                    </m:r>
                  </m:den>
                </m:f>
              </m:e>
            </m:d>
          </m:e>
          <m:sub>
            <m:r>
              <w:rPr>
                <w:rFonts w:ascii="Cambria Math" w:eastAsiaTheme="majorEastAsia" w:hAnsi="Cambria Math" w:cstheme="majorBidi"/>
              </w:rPr>
              <m:t>rad</m:t>
            </m:r>
          </m:sub>
        </m:sSub>
      </m:oMath>
      <w:r w:rsidR="00A93D24">
        <w:rPr>
          <w:rFonts w:eastAsiaTheme="minorEastAsia"/>
        </w:rPr>
        <w:tab/>
        <w:t>(3.50)</w:t>
      </w:r>
    </w:p>
    <w:p w14:paraId="224EF39E" w14:textId="77777777" w:rsidR="00A93D24" w:rsidRDefault="00A93D24" w:rsidP="00A93D24">
      <w:r>
        <w:t xml:space="preserve">For the PEN assembly, the cathode, anode, and electrolyte are considered together as one unit rather than 3 separate blocks. Most of the material properties for the PEN assembly can come from the anode, as the anode makes up </w:t>
      </w:r>
      <w:proofErr w:type="gramStart"/>
      <w:r>
        <w:t>the vast majority of</w:t>
      </w:r>
      <w:proofErr w:type="gramEnd"/>
      <w:r>
        <w:t xml:space="preserve"> the total block. The energy balance for the PEN considered the convective heat transfer to the air and fuel bulk flows, the conductive heat transfer in and out of its discretized units, the reaction enthalpies, the electrical work required to generate power, the radiation from the FDT, and the conduction from the interconnects. The equation for energy and heat balance is shown below:</w:t>
      </w:r>
    </w:p>
    <w:p w14:paraId="49E4ADDE" w14:textId="77777777" w:rsidR="00A93D24" w:rsidRDefault="00A93D24" w:rsidP="00A93D24">
      <w:pPr>
        <w:jc w:val="right"/>
      </w:pPr>
      <m:oMath>
        <m:r>
          <w:rPr>
            <w:rFonts w:ascii="Cambria Math" w:hAnsi="Cambria Math"/>
          </w:rPr>
          <m:t>0=</m:t>
        </m:r>
        <m:sSub>
          <m:sSubPr>
            <m:ctrlPr>
              <w:rPr>
                <w:rFonts w:ascii="Cambria Math" w:eastAsiaTheme="minorEastAsia" w:hAnsi="Cambria Math"/>
                <w:i/>
              </w:rPr>
            </m:ctrlPr>
          </m:sSubPr>
          <m:e>
            <m:d>
              <m:dPr>
                <m:begChr m:val="["/>
                <m:endChr m:val="]"/>
                <m:ctrlPr>
                  <w:rPr>
                    <w:rFonts w:ascii="Cambria Math" w:hAnsi="Cambria Math"/>
                    <w:i/>
                  </w:rPr>
                </m:ctrlPr>
              </m:dPr>
              <m:e>
                <m:f>
                  <m:fPr>
                    <m:ctrlPr>
                      <w:rPr>
                        <w:rFonts w:ascii="Cambria Math" w:hAnsi="Cambria Math"/>
                        <w:i/>
                      </w:rPr>
                    </m:ctrlPr>
                  </m:fPr>
                  <m:num>
                    <m:r>
                      <w:rPr>
                        <w:rFonts w:ascii="Cambria Math" w:hAnsi="Cambria Math"/>
                      </w:rPr>
                      <m:t>3</m:t>
                    </m:r>
                  </m:num>
                  <m:den>
                    <m:r>
                      <w:rPr>
                        <w:rFonts w:ascii="Cambria Math" w:hAnsi="Cambria Math"/>
                      </w:rPr>
                      <m:t>4</m:t>
                    </m:r>
                  </m:den>
                </m:f>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F,i</m:t>
                        </m:r>
                      </m:sub>
                    </m:sSub>
                    <m:r>
                      <w:rPr>
                        <w:rFonts w:ascii="Cambria Math" w:eastAsiaTheme="minorEastAsia" w:hAnsi="Cambria Math"/>
                      </w:rPr>
                      <m:t>2π</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3</m:t>
                        </m:r>
                      </m:sub>
                    </m:sSub>
                    <m:r>
                      <m:rPr>
                        <m:sty m:val="p"/>
                      </m:rPr>
                      <w:rPr>
                        <w:rFonts w:ascii="Cambria Math" w:eastAsiaTheme="minorEastAsia" w:hAnsi="Cambria Math"/>
                      </w:rPr>
                      <m:t>Δ</m:t>
                    </m:r>
                    <m:r>
                      <w:rPr>
                        <w:rFonts w:ascii="Cambria Math" w:eastAsiaTheme="minorEastAsia" w:hAnsi="Cambria Math"/>
                      </w:rPr>
                      <m:t>z</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F,i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PEN,i</m:t>
                            </m:r>
                          </m:sub>
                        </m:sSub>
                        <m:ctrlPr>
                          <w:rPr>
                            <w:rFonts w:ascii="Cambria Math" w:eastAsiaTheme="minorEastAsia" w:hAnsi="Cambria Math"/>
                            <w:i/>
                          </w:rPr>
                        </m:ctrlP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A,i</m:t>
                        </m:r>
                      </m:sub>
                    </m:sSub>
                    <m:r>
                      <w:rPr>
                        <w:rFonts w:ascii="Cambria Math" w:eastAsiaTheme="minorEastAsia" w:hAnsi="Cambria Math"/>
                      </w:rPr>
                      <m:t>2π</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6</m:t>
                        </m:r>
                      </m:sub>
                    </m:sSub>
                    <m:r>
                      <m:rPr>
                        <m:sty m:val="p"/>
                      </m:rPr>
                      <w:rPr>
                        <w:rFonts w:ascii="Cambria Math" w:eastAsiaTheme="minorEastAsia" w:hAnsi="Cambria Math"/>
                      </w:rPr>
                      <m:t>Δ</m:t>
                    </m:r>
                    <m:r>
                      <w:rPr>
                        <w:rFonts w:ascii="Cambria Math" w:eastAsiaTheme="minorEastAsia" w:hAnsi="Cambria Math"/>
                      </w:rPr>
                      <m:t>z</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A,i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PEN,i</m:t>
                            </m:r>
                          </m:sub>
                        </m:sSub>
                      </m:e>
                    </m:d>
                    <m:ctrlPr>
                      <w:rPr>
                        <w:rFonts w:ascii="Cambria Math" w:eastAsiaTheme="minorEastAsia" w:hAnsi="Cambria Math"/>
                        <w:i/>
                      </w:rPr>
                    </m:ctrlPr>
                  </m:e>
                </m:d>
                <m:ctrlPr>
                  <w:rPr>
                    <w:rFonts w:ascii="Cambria Math" w:eastAsiaTheme="minorEastAsia" w:hAnsi="Cambria Math"/>
                    <w:i/>
                  </w:rPr>
                </m:ctrlPr>
              </m:e>
            </m:d>
            <m:ctrlPr>
              <w:rPr>
                <w:rFonts w:ascii="Cambria Math" w:hAnsi="Cambria Math"/>
                <w:i/>
              </w:rPr>
            </m:ctrlPr>
          </m:e>
          <m:sub>
            <m:r>
              <w:rPr>
                <w:rFonts w:ascii="Cambria Math" w:eastAsiaTheme="minorEastAsia" w:hAnsi="Cambria Math"/>
              </w:rPr>
              <m:t>fuel\air conv.</m:t>
            </m:r>
          </m:sub>
        </m:sSub>
        <m:r>
          <w:rPr>
            <w:rFonts w:ascii="Cambria Math" w:eastAsiaTheme="minorEastAsia"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PEN</m:t>
                </m:r>
              </m:sub>
            </m:sSub>
            <m:r>
              <w:rPr>
                <w:rFonts w:ascii="Cambria Math" w:hAnsi="Cambria Math"/>
              </w:rPr>
              <m:t>*π</m:t>
            </m:r>
            <m:d>
              <m:dPr>
                <m:ctrlPr>
                  <w:rPr>
                    <w:rFonts w:ascii="Cambria Math" w:hAnsi="Cambria Math"/>
                    <w:i/>
                  </w:rPr>
                </m:ctrlPr>
              </m:dPr>
              <m:e>
                <m:sSubSup>
                  <m:sSubSupPr>
                    <m:ctrlPr>
                      <w:rPr>
                        <w:rFonts w:ascii="Cambria Math" w:hAnsi="Cambria Math"/>
                        <w:i/>
                      </w:rPr>
                    </m:ctrlPr>
                  </m:sSubSupPr>
                  <m:e>
                    <m:r>
                      <w:rPr>
                        <w:rFonts w:ascii="Cambria Math" w:hAnsi="Cambria Math"/>
                      </w:rPr>
                      <m:t>r</m:t>
                    </m:r>
                  </m:e>
                  <m:sub>
                    <m:r>
                      <w:rPr>
                        <w:rFonts w:ascii="Cambria Math" w:hAnsi="Cambria Math"/>
                      </w:rPr>
                      <m:t>6</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r</m:t>
                    </m:r>
                  </m:e>
                  <m:sub>
                    <m:r>
                      <w:rPr>
                        <w:rFonts w:ascii="Cambria Math" w:hAnsi="Cambria Math"/>
                      </w:rPr>
                      <m:t>3</m:t>
                    </m:r>
                  </m:sub>
                  <m:sup>
                    <m:r>
                      <w:rPr>
                        <w:rFonts w:ascii="Cambria Math" w:hAnsi="Cambria Math"/>
                      </w:rPr>
                      <m:t>2</m:t>
                    </m:r>
                  </m:sup>
                </m:sSubSup>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PEN,  i-1</m:t>
                    </m:r>
                  </m:sub>
                </m:sSub>
                <m:r>
                  <w:rPr>
                    <w:rFonts w:ascii="Cambria Math" w:hAnsi="Cambria Math"/>
                  </w:rPr>
                  <m:t>-2</m:t>
                </m:r>
                <m:sSub>
                  <m:sSubPr>
                    <m:ctrlPr>
                      <w:rPr>
                        <w:rFonts w:ascii="Cambria Math" w:hAnsi="Cambria Math"/>
                        <w:i/>
                      </w:rPr>
                    </m:ctrlPr>
                  </m:sSubPr>
                  <m:e>
                    <m:r>
                      <w:rPr>
                        <w:rFonts w:ascii="Cambria Math" w:hAnsi="Cambria Math"/>
                      </w:rPr>
                      <m:t>T</m:t>
                    </m:r>
                  </m:e>
                  <m:sub>
                    <m:r>
                      <w:rPr>
                        <w:rFonts w:ascii="Cambria Math" w:hAnsi="Cambria Math"/>
                      </w:rPr>
                      <m:t>PEN,i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PEN,i+1</m:t>
                    </m:r>
                  </m:sub>
                </m:sSub>
              </m:num>
              <m:den>
                <m:r>
                  <m:rPr>
                    <m:sty m:val="p"/>
                  </m:rPr>
                  <w:rPr>
                    <w:rFonts w:ascii="Cambria Math" w:hAnsi="Cambria Math"/>
                  </w:rPr>
                  <m:t>Δ</m:t>
                </m:r>
                <m:r>
                  <w:rPr>
                    <w:rFonts w:ascii="Cambria Math" w:hAnsi="Cambria Math"/>
                  </w:rPr>
                  <m:t>z</m:t>
                </m:r>
              </m:den>
            </m:f>
          </m:e>
        </m:d>
        <m:r>
          <w:rPr>
            <w:rFonts w:ascii="Cambria Math" w:eastAsiaTheme="minorEastAsia" w:hAnsi="Cambria Math"/>
          </w:rPr>
          <m:t>+</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me</m:t>
                    </m:r>
                  </m:sub>
                </m:sSub>
                <m:d>
                  <m:dPr>
                    <m:ctrlPr>
                      <w:rPr>
                        <w:rFonts w:ascii="Cambria Math" w:eastAsiaTheme="minorEastAsia" w:hAnsi="Cambria Math"/>
                        <w:i/>
                      </w:rPr>
                    </m:ctrlPr>
                  </m:dPr>
                  <m:e>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4</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F,i</m:t>
                            </m:r>
                          </m:sub>
                        </m:sSub>
                      </m:e>
                    </m:d>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PEN,i</m:t>
                            </m:r>
                          </m:sub>
                        </m:sSub>
                      </m:e>
                    </m:d>
                    <m:r>
                      <w:rPr>
                        <w:rFonts w:ascii="Cambria Math" w:eastAsiaTheme="minorEastAsia" w:hAnsi="Cambria Math"/>
                      </w:rPr>
                      <m:t>-</m:t>
                    </m:r>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PEN,i</m:t>
                            </m:r>
                          </m:sub>
                        </m:sSub>
                      </m:e>
                    </m:d>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eb</m:t>
                    </m:r>
                  </m:sub>
                </m:sSub>
                <m:d>
                  <m:dPr>
                    <m:ctrlPr>
                      <w:rPr>
                        <w:rFonts w:ascii="Cambria Math" w:eastAsiaTheme="minorEastAsia" w:hAnsi="Cambria Math"/>
                        <w:i/>
                      </w:rPr>
                    </m:ctrlPr>
                  </m:dPr>
                  <m:e>
                    <m:r>
                      <w:rPr>
                        <w:rFonts w:ascii="Cambria Math" w:eastAsiaTheme="minorEastAsia" w:hAnsi="Cambria Math"/>
                      </w:rPr>
                      <m:t>3</m:t>
                    </m:r>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4</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F,i</m:t>
                            </m:r>
                          </m:sub>
                        </m:sSub>
                      </m:e>
                    </m:d>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6</m:t>
                            </m:r>
                          </m:sub>
                        </m:s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6</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PEN,i</m:t>
                            </m:r>
                          </m:sub>
                        </m:sSub>
                      </m:e>
                    </m:d>
                    <m:r>
                      <w:rPr>
                        <w:rFonts w:ascii="Cambria Math" w:eastAsiaTheme="minorEastAsia" w:hAnsi="Cambria Math"/>
                      </w:rPr>
                      <m:t>-3</m:t>
                    </m:r>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PEN,i</m:t>
                            </m:r>
                          </m:sub>
                        </m:sSub>
                      </m:e>
                    </m:d>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bt</m:t>
                    </m:r>
                  </m:sub>
                </m:sSub>
                <m:d>
                  <m:dPr>
                    <m:ctrlPr>
                      <w:rPr>
                        <w:rFonts w:ascii="Cambria Math" w:eastAsiaTheme="minorEastAsia" w:hAnsi="Cambria Math"/>
                        <w:i/>
                      </w:rPr>
                    </m:ctrlPr>
                  </m:dPr>
                  <m:e>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4</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F,i</m:t>
                            </m:r>
                          </m:sub>
                        </m:sSub>
                      </m:e>
                    </m:d>
                    <m:r>
                      <w:rPr>
                        <w:rFonts w:ascii="Cambria Math" w:eastAsiaTheme="minorEastAsia" w:hAnsi="Cambria Math"/>
                      </w:rPr>
                      <m:t>+</m:t>
                    </m:r>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6</m:t>
                            </m:r>
                          </m:sub>
                        </m:s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6</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F,i</m:t>
                            </m:r>
                          </m:sub>
                        </m:sSub>
                      </m:e>
                    </m:d>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7</m:t>
                            </m:r>
                          </m:sub>
                        </m:s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8</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PEN,i</m:t>
                            </m:r>
                          </m:sub>
                        </m:sSub>
                      </m:e>
                    </m:d>
                    <m:r>
                      <w:rPr>
                        <w:rFonts w:ascii="Cambria Math" w:eastAsiaTheme="minorEastAsia" w:hAnsi="Cambria Math"/>
                      </w:rPr>
                      <m:t>-</m:t>
                    </m:r>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PEN,i</m:t>
                            </m:r>
                          </m:sub>
                        </m:sSub>
                      </m:e>
                    </m:d>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co</m:t>
                    </m:r>
                  </m:sub>
                </m:sSub>
                <m:d>
                  <m:dPr>
                    <m:ctrlPr>
                      <w:rPr>
                        <w:rFonts w:ascii="Cambria Math" w:eastAsiaTheme="minorEastAsia" w:hAnsi="Cambria Math"/>
                        <w:i/>
                      </w:rPr>
                    </m:ctrlPr>
                  </m:dPr>
                  <m:e>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4</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F,i</m:t>
                            </m:r>
                          </m:sub>
                        </m:sSub>
                      </m:e>
                    </m:d>
                    <m:r>
                      <m:rPr>
                        <m:sty m:val="p"/>
                      </m:rPr>
                      <w:rPr>
                        <w:rFonts w:ascii="Cambria Math" w:eastAsiaTheme="minorEastAsia" w:hAnsi="Cambria Math"/>
                      </w:rPr>
                      <m:t>+0.5Δ</m:t>
                    </m:r>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2</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A,i</m:t>
                            </m:r>
                          </m:sub>
                        </m:sSub>
                      </m:e>
                    </m:d>
                    <m:r>
                      <w:rPr>
                        <w:rFonts w:ascii="Cambria Math" w:eastAsiaTheme="minorEastAsia" w:hAnsi="Cambria Math"/>
                      </w:rPr>
                      <m:t>-</m:t>
                    </m:r>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CO</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PEN,i</m:t>
                            </m:r>
                          </m:sub>
                        </m:sSub>
                      </m:e>
                    </m:d>
                    <m:r>
                      <w:rPr>
                        <w:rFonts w:ascii="Cambria Math" w:eastAsiaTheme="minorEastAsia" w:hAnsi="Cambria Math"/>
                      </w:rPr>
                      <m:t>-2</m:t>
                    </m:r>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PEN,i</m:t>
                            </m:r>
                          </m:sub>
                        </m:sSub>
                      </m:e>
                    </m:d>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sr</m:t>
                    </m:r>
                  </m:sub>
                </m:sSub>
                <m:d>
                  <m:dPr>
                    <m:ctrlPr>
                      <w:rPr>
                        <w:rFonts w:ascii="Cambria Math" w:eastAsiaTheme="minorEastAsia" w:hAnsi="Cambria Math"/>
                        <w:i/>
                      </w:rPr>
                    </m:ctrlPr>
                  </m:dPr>
                  <m:e>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4</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F,i</m:t>
                            </m:r>
                          </m:sub>
                        </m:sSub>
                      </m:e>
                    </m:d>
                    <m:r>
                      <w:rPr>
                        <w:rFonts w:ascii="Cambria Math" w:eastAsiaTheme="minorEastAsia" w:hAnsi="Cambria Math"/>
                      </w:rPr>
                      <m:t>+</m:t>
                    </m:r>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O</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F,i</m:t>
                            </m:r>
                          </m:sub>
                        </m:sSub>
                      </m:e>
                    </m:d>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CO</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PEN,i</m:t>
                            </m:r>
                          </m:sub>
                        </m:sSub>
                      </m:e>
                    </m:d>
                    <m:r>
                      <w:rPr>
                        <w:rFonts w:ascii="Cambria Math" w:eastAsiaTheme="minorEastAsia" w:hAnsi="Cambria Math"/>
                      </w:rPr>
                      <m:t>-3</m:t>
                    </m:r>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PEN,i</m:t>
                            </m:r>
                          </m:sub>
                        </m:sSub>
                      </m:e>
                    </m:d>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wgs</m:t>
                    </m:r>
                  </m:sub>
                </m:sSub>
                <m:d>
                  <m:dPr>
                    <m:ctrlPr>
                      <w:rPr>
                        <w:rFonts w:ascii="Cambria Math" w:eastAsiaTheme="minorEastAsia" w:hAnsi="Cambria Math"/>
                        <w:i/>
                      </w:rPr>
                    </m:ctrlPr>
                  </m:dPr>
                  <m:e>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O</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F,i</m:t>
                            </m:r>
                          </m:sub>
                        </m:sSub>
                      </m:e>
                    </m:d>
                    <m:r>
                      <w:rPr>
                        <w:rFonts w:ascii="Cambria Math" w:eastAsiaTheme="minorEastAsia" w:hAnsi="Cambria Math"/>
                      </w:rPr>
                      <m:t>+</m:t>
                    </m:r>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CO</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F,i</m:t>
                            </m:r>
                          </m:sub>
                        </m:sSub>
                      </m:e>
                    </m:d>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2</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PEN,i</m:t>
                            </m:r>
                          </m:sub>
                        </m:sSub>
                      </m:e>
                    </m:d>
                    <m:r>
                      <w:rPr>
                        <w:rFonts w:ascii="Cambria Math" w:eastAsiaTheme="minorEastAsia" w:hAnsi="Cambria Math"/>
                      </w:rPr>
                      <m:t>-</m:t>
                    </m:r>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PEN,i</m:t>
                            </m:r>
                          </m:sub>
                        </m:sSub>
                      </m:e>
                    </m:d>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orr</m:t>
                    </m:r>
                  </m:sub>
                </m:sSub>
                <m:d>
                  <m:dPr>
                    <m:ctrlPr>
                      <w:rPr>
                        <w:rFonts w:ascii="Cambria Math" w:eastAsiaTheme="minorEastAsia" w:hAnsi="Cambria Math"/>
                        <w:i/>
                      </w:rPr>
                    </m:ctrlPr>
                  </m:dPr>
                  <m:e>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m:t>
                            </m:r>
                          </m:sub>
                        </m:sSub>
                      </m:e>
                    </m:d>
                    <m:r>
                      <w:rPr>
                        <w:rFonts w:ascii="Cambria Math" w:eastAsiaTheme="minorEastAsia" w:hAnsi="Cambria Math"/>
                      </w:rPr>
                      <m:t>+0.5</m:t>
                    </m:r>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2</m:t>
                            </m:r>
                          </m:sub>
                        </m:sSub>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A,i</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h</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O</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PEN,i</m:t>
                            </m:r>
                          </m:sub>
                        </m:sSub>
                      </m:e>
                    </m:d>
                  </m:e>
                </m:d>
              </m:e>
            </m:d>
          </m:e>
          <m:sub>
            <m:r>
              <w:rPr>
                <w:rFonts w:ascii="Cambria Math" w:eastAsiaTheme="minorEastAsia" w:hAnsi="Cambria Math"/>
              </w:rPr>
              <m:t>rxn enthalpy</m:t>
            </m:r>
          </m:sub>
        </m:sSub>
        <m:r>
          <w:rPr>
            <w:rFonts w:ascii="Cambria Math" w:eastAsiaTheme="minorEastAsia" w:hAnsi="Cambria Math"/>
          </w:rPr>
          <m:t>+</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cell,i</m:t>
                    </m:r>
                  </m:sub>
                </m:sSub>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cell</m:t>
                    </m:r>
                  </m:sub>
                </m:sSub>
              </m:e>
            </m:d>
          </m:e>
          <m:sub>
            <m:r>
              <w:rPr>
                <w:rFonts w:ascii="Cambria Math" w:eastAsiaTheme="minorEastAsia" w:hAnsi="Cambria Math"/>
              </w:rPr>
              <m:t>elec.  work</m:t>
            </m:r>
          </m:sub>
        </m:sSub>
        <m:r>
          <w:rPr>
            <w:rFonts w:ascii="Cambria Math" w:eastAsiaTheme="minorEastAsia" w:hAnsi="Cambria Math"/>
          </w:rPr>
          <m:t>+</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2π</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3</m:t>
                        </m:r>
                      </m:sub>
                    </m:sSub>
                    <m:r>
                      <m:rPr>
                        <m:sty m:val="p"/>
                      </m:rPr>
                      <w:rPr>
                        <w:rFonts w:ascii="Cambria Math" w:eastAsiaTheme="minorEastAsia" w:hAnsi="Cambria Math"/>
                      </w:rPr>
                      <m:t>Δzσ</m:t>
                    </m:r>
                    <m:d>
                      <m:dPr>
                        <m:ctrlPr>
                          <w:rPr>
                            <w:rFonts w:ascii="Cambria Math" w:eastAsiaTheme="minorEastAsia" w:hAnsi="Cambria Math"/>
                          </w:rPr>
                        </m:ctrlPr>
                      </m:dPr>
                      <m:e>
                        <m:sSubSup>
                          <m:sSubSupPr>
                            <m:ctrlPr>
                              <w:rPr>
                                <w:rFonts w:ascii="Cambria Math" w:eastAsiaTheme="minorEastAsia" w:hAnsi="Cambria Math"/>
                                <w:i/>
                              </w:rPr>
                            </m:ctrlPr>
                          </m:sSubSupPr>
                          <m:e>
                            <m:r>
                              <m:rPr>
                                <m:sty m:val="p"/>
                              </m:rPr>
                              <w:rPr>
                                <w:rFonts w:ascii="Cambria Math" w:eastAsiaTheme="minorEastAsia" w:hAnsi="Cambria Math"/>
                              </w:rPr>
                              <m:t>T</m:t>
                            </m:r>
                            <m:ctrlPr>
                              <w:rPr>
                                <w:rFonts w:ascii="Cambria Math" w:eastAsiaTheme="minorEastAsia" w:hAnsi="Cambria Math"/>
                              </w:rPr>
                            </m:ctrlPr>
                          </m:e>
                          <m:sub>
                            <m:r>
                              <m:rPr>
                                <m:sty m:val="p"/>
                              </m:rPr>
                              <w:rPr>
                                <w:rFonts w:ascii="Cambria Math" w:eastAsiaTheme="minorEastAsia" w:hAnsi="Cambria Math"/>
                              </w:rPr>
                              <m:t>FDT,i</m:t>
                            </m:r>
                            <m:ctrlPr>
                              <w:rPr>
                                <w:rFonts w:ascii="Cambria Math" w:eastAsiaTheme="minorEastAsia" w:hAnsi="Cambria Math"/>
                              </w:rPr>
                            </m:ctrlPr>
                          </m:sub>
                          <m:sup>
                            <m:r>
                              <w:rPr>
                                <w:rFonts w:ascii="Cambria Math" w:eastAsiaTheme="minorEastAsia" w:hAnsi="Cambria Math"/>
                              </w:rPr>
                              <m:t>4</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PEN,i</m:t>
                            </m:r>
                          </m:sub>
                          <m:sup>
                            <m:r>
                              <w:rPr>
                                <w:rFonts w:ascii="Cambria Math" w:eastAsiaTheme="minorEastAsia" w:hAnsi="Cambria Math"/>
                              </w:rPr>
                              <m:t>4</m:t>
                            </m:r>
                          </m:sup>
                        </m:sSubSup>
                        <m:ctrlPr>
                          <w:rPr>
                            <w:rFonts w:ascii="Cambria Math" w:eastAsiaTheme="minorEastAsia" w:hAnsi="Cambria Math"/>
                            <w:i/>
                          </w:rPr>
                        </m:ctrlPr>
                      </m:e>
                    </m:d>
                  </m:num>
                  <m:den>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FDT</m:t>
                        </m:r>
                      </m:sub>
                    </m:sSub>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PEN</m:t>
                        </m:r>
                      </m:sub>
                    </m:sSub>
                    <m:r>
                      <w:rPr>
                        <w:rFonts w:ascii="Cambria Math" w:eastAsiaTheme="minorEastAsia" w:hAnsi="Cambria Math"/>
                      </w:rPr>
                      <m:t>-1</m:t>
                    </m:r>
                  </m:den>
                </m:f>
              </m:e>
            </m:d>
          </m:e>
          <m:sub>
            <m:r>
              <w:rPr>
                <w:rFonts w:ascii="Cambria Math" w:eastAsiaTheme="minorEastAsia" w:hAnsi="Cambria Math"/>
              </w:rPr>
              <m:t>FDT rad.</m:t>
            </m:r>
          </m:sub>
        </m:sSub>
        <m:r>
          <w:rPr>
            <w:rFonts w:ascii="Cambria Math" w:eastAsiaTheme="minorEastAsia" w:hAnsi="Cambria Math"/>
          </w:rPr>
          <m:t>+</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PEN</m:t>
                    </m:r>
                  </m:sub>
                </m:sSub>
                <m:f>
                  <m:fPr>
                    <m:ctrlPr>
                      <w:rPr>
                        <w:rFonts w:ascii="Cambria Math" w:eastAsiaTheme="minorEastAsia" w:hAnsi="Cambria Math"/>
                        <w:i/>
                      </w:rPr>
                    </m:ctrlPr>
                  </m:fPr>
                  <m:num>
                    <m:r>
                      <w:rPr>
                        <w:rFonts w:ascii="Cambria Math" w:eastAsiaTheme="minorEastAsia" w:hAnsi="Cambria Math"/>
                      </w:rPr>
                      <m:t>2π</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3</m:t>
                        </m:r>
                      </m:sub>
                    </m:sSub>
                    <m:r>
                      <m:rPr>
                        <m:sty m:val="p"/>
                      </m:rPr>
                      <w:rPr>
                        <w:rFonts w:ascii="Cambria Math" w:eastAsiaTheme="minorEastAsia" w:hAnsi="Cambria Math"/>
                      </w:rPr>
                      <m:t>Δ</m:t>
                    </m:r>
                    <m:r>
                      <w:rPr>
                        <w:rFonts w:ascii="Cambria Math" w:eastAsiaTheme="minorEastAsia" w:hAnsi="Cambria Math"/>
                      </w:rPr>
                      <m:t>z</m:t>
                    </m:r>
                  </m:num>
                  <m:den>
                    <m:r>
                      <w:rPr>
                        <w:rFonts w:ascii="Cambria Math" w:eastAsiaTheme="minorEastAsia" w:hAnsi="Cambria Math"/>
                      </w:rPr>
                      <m:t>4</m:t>
                    </m:r>
                  </m:den>
                </m:f>
                <m:f>
                  <m:fPr>
                    <m:ctrlPr>
                      <w:rPr>
                        <w:rFonts w:ascii="Cambria Math" w:eastAsiaTheme="minorEastAsia" w:hAnsi="Cambria Math"/>
                        <w:i/>
                      </w:rPr>
                    </m:ctrlPr>
                  </m:fPr>
                  <m:num>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ICF,i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PEN,i</m:t>
                            </m:r>
                          </m:sub>
                        </m:sSub>
                      </m:e>
                    </m:d>
                  </m:num>
                  <m:den>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6</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3</m:t>
                        </m:r>
                      </m:sub>
                    </m:sSub>
                  </m:den>
                </m:f>
              </m:e>
            </m:d>
          </m:e>
          <m:sub>
            <m:r>
              <w:rPr>
                <w:rFonts w:ascii="Cambria Math" w:eastAsiaTheme="minorEastAsia" w:hAnsi="Cambria Math"/>
              </w:rPr>
              <m:t>ICF cond</m:t>
            </m:r>
          </m:sub>
        </m:sSub>
        <m:r>
          <w:rPr>
            <w:rFonts w:ascii="Cambria Math" w:eastAsiaTheme="minorEastAsia" w:hAnsi="Cambria Math"/>
          </w:rPr>
          <m:t>+</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PEN</m:t>
                    </m:r>
                  </m:sub>
                </m:sSub>
                <m:f>
                  <m:fPr>
                    <m:ctrlPr>
                      <w:rPr>
                        <w:rFonts w:ascii="Cambria Math" w:eastAsiaTheme="minorEastAsia" w:hAnsi="Cambria Math"/>
                        <w:i/>
                      </w:rPr>
                    </m:ctrlPr>
                  </m:fPr>
                  <m:num>
                    <m:r>
                      <w:rPr>
                        <w:rFonts w:ascii="Cambria Math" w:eastAsiaTheme="minorEastAsia" w:hAnsi="Cambria Math"/>
                      </w:rPr>
                      <m:t>2π</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6</m:t>
                        </m:r>
                      </m:sub>
                    </m:sSub>
                    <m:r>
                      <m:rPr>
                        <m:sty m:val="p"/>
                      </m:rPr>
                      <w:rPr>
                        <w:rFonts w:ascii="Cambria Math" w:eastAsiaTheme="minorEastAsia" w:hAnsi="Cambria Math"/>
                      </w:rPr>
                      <m:t>Δ</m:t>
                    </m:r>
                    <m:r>
                      <w:rPr>
                        <w:rFonts w:ascii="Cambria Math" w:eastAsiaTheme="minorEastAsia" w:hAnsi="Cambria Math"/>
                      </w:rPr>
                      <m:t>z</m:t>
                    </m:r>
                  </m:num>
                  <m:den>
                    <m:r>
                      <w:rPr>
                        <w:rFonts w:ascii="Cambria Math" w:eastAsiaTheme="minorEastAsia" w:hAnsi="Cambria Math"/>
                      </w:rPr>
                      <m:t>4</m:t>
                    </m:r>
                  </m:den>
                </m:f>
                <m:f>
                  <m:fPr>
                    <m:ctrlPr>
                      <w:rPr>
                        <w:rFonts w:ascii="Cambria Math" w:eastAsiaTheme="minorEastAsia" w:hAnsi="Cambria Math"/>
                        <w:i/>
                      </w:rPr>
                    </m:ctrlPr>
                  </m:fPr>
                  <m:num>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ICA,i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PEN,i</m:t>
                            </m:r>
                          </m:sub>
                        </m:sSub>
                      </m:e>
                    </m:d>
                  </m:num>
                  <m:den>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6</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3</m:t>
                        </m:r>
                      </m:sub>
                    </m:sSub>
                  </m:den>
                </m:f>
              </m:e>
            </m:d>
          </m:e>
          <m:sub>
            <m:r>
              <w:rPr>
                <w:rFonts w:ascii="Cambria Math" w:eastAsiaTheme="minorEastAsia" w:hAnsi="Cambria Math"/>
              </w:rPr>
              <m:t>ICA cond</m:t>
            </m:r>
          </m:sub>
        </m:sSub>
      </m:oMath>
      <w:r>
        <w:rPr>
          <w:rFonts w:eastAsiaTheme="minorEastAsia"/>
        </w:rPr>
        <w:tab/>
      </w:r>
      <w:r>
        <w:rPr>
          <w:rFonts w:eastAsiaTheme="minorEastAsia"/>
        </w:rPr>
        <w:tab/>
        <w:t>(3.51)</w:t>
      </w:r>
    </w:p>
    <w:p w14:paraId="64EF03B3" w14:textId="77777777" w:rsidR="00A93D24" w:rsidRDefault="00A93D24" w:rsidP="00A93D24">
      <w:pPr>
        <w:rPr>
          <w:rFonts w:eastAsiaTheme="majorEastAsia" w:cstheme="majorBidi"/>
        </w:rPr>
      </w:pPr>
    </w:p>
    <w:p w14:paraId="406DD301" w14:textId="77777777" w:rsidR="00A93D24" w:rsidRDefault="00A93D24" w:rsidP="00A93D24">
      <w:pPr>
        <w:rPr>
          <w:rFonts w:eastAsiaTheme="majorEastAsia" w:cstheme="majorBidi"/>
        </w:rPr>
      </w:pPr>
      <w:r>
        <w:rPr>
          <w:rFonts w:eastAsiaTheme="majorEastAsia" w:cstheme="majorBidi"/>
        </w:rPr>
        <w:t xml:space="preserve">The interconnectors do not have a location in the discretized model, but they are still modeled and included in this analysis. The interconnect temperature may vary differently than the PEN assembly, particularly </w:t>
      </w:r>
      <w:proofErr w:type="gramStart"/>
      <w:r>
        <w:rPr>
          <w:rFonts w:eastAsiaTheme="majorEastAsia" w:cstheme="majorBidi"/>
        </w:rPr>
        <w:t>due to the effect</w:t>
      </w:r>
      <w:proofErr w:type="gramEnd"/>
      <w:r>
        <w:rPr>
          <w:rFonts w:eastAsiaTheme="majorEastAsia" w:cstheme="majorBidi"/>
        </w:rPr>
        <w:t xml:space="preserve"> of Joule heating, which is a form of heat generation due to the ohmic resistance in an electrical circuit. As such, the energy released by this conduction is split between the air and fuel side interconnects and added to the traditional terms of conductive and convective heat transfer. Additionally, the interconnects are assumed to cover approximately one fourth of the total surface of the electrodes. For the purposes of convection, the surface area available for heat transfer is estimated to be equal with what is available for conduction from the PEN assembly. The fuel-side interconnector energy balance is therefore represented by:</w:t>
      </w:r>
    </w:p>
    <w:p w14:paraId="50449332" w14:textId="77777777" w:rsidR="00A93D24" w:rsidRPr="000B3B03" w:rsidRDefault="00A93D24" w:rsidP="00A93D24">
      <w:pPr>
        <w:jc w:val="right"/>
        <w:rPr>
          <w:rFonts w:eastAsiaTheme="majorEastAsia" w:cstheme="majorBidi"/>
        </w:rPr>
      </w:pPr>
      <m:oMath>
        <m:r>
          <w:rPr>
            <w:rFonts w:ascii="Cambria Math" w:eastAsiaTheme="majorEastAsia" w:hAnsi="Cambria Math" w:cstheme="majorBidi"/>
          </w:rPr>
          <m:t>0=</m:t>
        </m:r>
        <m:sSub>
          <m:sSubPr>
            <m:ctrlPr>
              <w:rPr>
                <w:rFonts w:ascii="Cambria Math" w:eastAsiaTheme="majorEastAsia" w:hAnsi="Cambria Math" w:cstheme="majorBidi"/>
                <w:i/>
              </w:rPr>
            </m:ctrlPr>
          </m:sSubPr>
          <m:e>
            <m:d>
              <m:dPr>
                <m:begChr m:val="["/>
                <m:endChr m:val="]"/>
                <m:ctrlPr>
                  <w:rPr>
                    <w:rFonts w:ascii="Cambria Math" w:eastAsiaTheme="majorEastAsia" w:hAnsi="Cambria Math" w:cstheme="majorBidi"/>
                    <w:i/>
                  </w:rPr>
                </m:ctrlPr>
              </m:dPr>
              <m:e>
                <m:f>
                  <m:fPr>
                    <m:ctrlPr>
                      <w:rPr>
                        <w:rFonts w:ascii="Cambria Math" w:eastAsiaTheme="majorEastAsia" w:hAnsi="Cambria Math" w:cstheme="majorBidi"/>
                        <w:i/>
                      </w:rPr>
                    </m:ctrlPr>
                  </m:fPr>
                  <m:num>
                    <m:sSub>
                      <m:sSubPr>
                        <m:ctrlPr>
                          <w:rPr>
                            <w:rFonts w:ascii="Cambria Math" w:eastAsiaTheme="majorEastAsia" w:hAnsi="Cambria Math" w:cstheme="majorBidi"/>
                            <w:i/>
                          </w:rPr>
                        </m:ctrlPr>
                      </m:sSubPr>
                      <m:e>
                        <m:r>
                          <w:rPr>
                            <w:rFonts w:ascii="Cambria Math" w:eastAsiaTheme="majorEastAsia" w:hAnsi="Cambria Math" w:cstheme="majorBidi"/>
                          </w:rPr>
                          <m:t>k</m:t>
                        </m:r>
                      </m:e>
                      <m:sub>
                        <m:r>
                          <w:rPr>
                            <w:rFonts w:ascii="Cambria Math" w:eastAsiaTheme="majorEastAsia" w:hAnsi="Cambria Math" w:cstheme="majorBidi"/>
                          </w:rPr>
                          <m:t>IC</m:t>
                        </m:r>
                      </m:sub>
                    </m:sSub>
                    <m:sSub>
                      <m:sSubPr>
                        <m:ctrlPr>
                          <w:rPr>
                            <w:rFonts w:ascii="Cambria Math" w:eastAsiaTheme="majorEastAsia" w:hAnsi="Cambria Math" w:cstheme="majorBidi"/>
                            <w:i/>
                          </w:rPr>
                        </m:ctrlPr>
                      </m:sSubPr>
                      <m:e>
                        <m:r>
                          <w:rPr>
                            <w:rFonts w:ascii="Cambria Math" w:eastAsiaTheme="majorEastAsia" w:hAnsi="Cambria Math" w:cstheme="majorBidi"/>
                          </w:rPr>
                          <m:t>A</m:t>
                        </m:r>
                      </m:e>
                      <m:sub>
                        <m:r>
                          <w:rPr>
                            <w:rFonts w:ascii="Cambria Math" w:eastAsiaTheme="majorEastAsia" w:hAnsi="Cambria Math" w:cstheme="majorBidi"/>
                          </w:rPr>
                          <m:t>IC</m:t>
                        </m:r>
                      </m:sub>
                    </m:sSub>
                  </m:num>
                  <m:den>
                    <m:r>
                      <m:rPr>
                        <m:sty m:val="p"/>
                      </m:rPr>
                      <w:rPr>
                        <w:rFonts w:ascii="Cambria Math" w:eastAsiaTheme="majorEastAsia" w:hAnsi="Cambria Math" w:cstheme="majorBidi"/>
                      </w:rPr>
                      <m:t>Δ</m:t>
                    </m:r>
                    <m:r>
                      <w:rPr>
                        <w:rFonts w:ascii="Cambria Math" w:eastAsiaTheme="majorEastAsia" w:hAnsi="Cambria Math" w:cstheme="majorBidi"/>
                      </w:rPr>
                      <m:t>z</m:t>
                    </m:r>
                  </m:den>
                </m:f>
                <m:d>
                  <m:dPr>
                    <m:ctrlPr>
                      <w:rPr>
                        <w:rFonts w:ascii="Cambria Math" w:eastAsiaTheme="majorEastAsia" w:hAnsi="Cambria Math" w:cstheme="majorBidi"/>
                        <w:i/>
                      </w:rPr>
                    </m:ctrlPr>
                  </m:dPr>
                  <m:e>
                    <m:sSub>
                      <m:sSubPr>
                        <m:ctrlPr>
                          <w:rPr>
                            <w:rFonts w:ascii="Cambria Math" w:eastAsiaTheme="majorEastAsia" w:hAnsi="Cambria Math" w:cstheme="majorBidi"/>
                            <w:i/>
                          </w:rPr>
                        </m:ctrlPr>
                      </m:sSubPr>
                      <m:e>
                        <m:r>
                          <w:rPr>
                            <w:rFonts w:ascii="Cambria Math" w:eastAsiaTheme="majorEastAsia" w:hAnsi="Cambria Math" w:cstheme="majorBidi"/>
                          </w:rPr>
                          <m:t>T</m:t>
                        </m:r>
                      </m:e>
                      <m:sub>
                        <m:r>
                          <w:rPr>
                            <w:rFonts w:ascii="Cambria Math" w:eastAsiaTheme="majorEastAsia" w:hAnsi="Cambria Math" w:cstheme="majorBidi"/>
                          </w:rPr>
                          <m:t>ICF,i-1</m:t>
                        </m:r>
                      </m:sub>
                    </m:sSub>
                    <m:r>
                      <w:rPr>
                        <w:rFonts w:ascii="Cambria Math" w:eastAsiaTheme="majorEastAsia" w:hAnsi="Cambria Math" w:cstheme="majorBidi"/>
                      </w:rPr>
                      <m:t>-2</m:t>
                    </m:r>
                    <m:sSub>
                      <m:sSubPr>
                        <m:ctrlPr>
                          <w:rPr>
                            <w:rFonts w:ascii="Cambria Math" w:eastAsiaTheme="majorEastAsia" w:hAnsi="Cambria Math" w:cstheme="majorBidi"/>
                            <w:i/>
                          </w:rPr>
                        </m:ctrlPr>
                      </m:sSubPr>
                      <m:e>
                        <m:r>
                          <w:rPr>
                            <w:rFonts w:ascii="Cambria Math" w:eastAsiaTheme="majorEastAsia" w:hAnsi="Cambria Math" w:cstheme="majorBidi"/>
                          </w:rPr>
                          <m:t>T</m:t>
                        </m:r>
                      </m:e>
                      <m:sub>
                        <m:r>
                          <w:rPr>
                            <w:rFonts w:ascii="Cambria Math" w:eastAsiaTheme="majorEastAsia" w:hAnsi="Cambria Math" w:cstheme="majorBidi"/>
                          </w:rPr>
                          <m:t>ICF,i</m:t>
                        </m:r>
                      </m:sub>
                    </m:sSub>
                    <m:r>
                      <w:rPr>
                        <w:rFonts w:ascii="Cambria Math" w:eastAsiaTheme="majorEastAsia" w:hAnsi="Cambria Math" w:cstheme="majorBidi"/>
                      </w:rPr>
                      <m:t>+</m:t>
                    </m:r>
                    <m:sSub>
                      <m:sSubPr>
                        <m:ctrlPr>
                          <w:rPr>
                            <w:rFonts w:ascii="Cambria Math" w:eastAsiaTheme="majorEastAsia" w:hAnsi="Cambria Math" w:cstheme="majorBidi"/>
                            <w:i/>
                          </w:rPr>
                        </m:ctrlPr>
                      </m:sSubPr>
                      <m:e>
                        <m:r>
                          <w:rPr>
                            <w:rFonts w:ascii="Cambria Math" w:eastAsiaTheme="majorEastAsia" w:hAnsi="Cambria Math" w:cstheme="majorBidi"/>
                          </w:rPr>
                          <m:t>T</m:t>
                        </m:r>
                      </m:e>
                      <m:sub>
                        <m:r>
                          <w:rPr>
                            <w:rFonts w:ascii="Cambria Math" w:eastAsiaTheme="majorEastAsia" w:hAnsi="Cambria Math" w:cstheme="majorBidi"/>
                          </w:rPr>
                          <m:t>ICF,i+1</m:t>
                        </m:r>
                      </m:sub>
                    </m:sSub>
                  </m:e>
                </m:d>
              </m:e>
            </m:d>
          </m:e>
          <m:sub>
            <m:r>
              <w:rPr>
                <w:rFonts w:ascii="Cambria Math" w:eastAsiaTheme="majorEastAsia" w:hAnsi="Cambria Math" w:cstheme="majorBidi"/>
              </w:rPr>
              <m:t>QinQout</m:t>
            </m:r>
          </m:sub>
        </m:sSub>
        <m:r>
          <w:rPr>
            <w:rFonts w:ascii="Cambria Math" w:eastAsiaTheme="majorEastAsia" w:hAnsi="Cambria Math" w:cstheme="majorBidi"/>
          </w:rPr>
          <m:t>+</m:t>
        </m:r>
        <m:sSub>
          <m:sSubPr>
            <m:ctrlPr>
              <w:rPr>
                <w:rFonts w:ascii="Cambria Math" w:eastAsiaTheme="majorEastAsia" w:hAnsi="Cambria Math" w:cstheme="majorBidi"/>
                <w:i/>
              </w:rPr>
            </m:ctrlPr>
          </m:sSubPr>
          <m:e>
            <m:d>
              <m:dPr>
                <m:begChr m:val="["/>
                <m:endChr m:val="]"/>
                <m:ctrlPr>
                  <w:rPr>
                    <w:rFonts w:ascii="Cambria Math" w:eastAsiaTheme="majorEastAsia" w:hAnsi="Cambria Math" w:cstheme="majorBidi"/>
                    <w:i/>
                  </w:rPr>
                </m:ctrlPr>
              </m:dPr>
              <m:e>
                <m:sSub>
                  <m:sSubPr>
                    <m:ctrlPr>
                      <w:rPr>
                        <w:rFonts w:ascii="Cambria Math" w:eastAsiaTheme="majorEastAsia" w:hAnsi="Cambria Math" w:cstheme="majorBidi"/>
                        <w:i/>
                      </w:rPr>
                    </m:ctrlPr>
                  </m:sSubPr>
                  <m:e>
                    <m:r>
                      <w:rPr>
                        <w:rFonts w:ascii="Cambria Math" w:eastAsiaTheme="majorEastAsia" w:hAnsi="Cambria Math" w:cstheme="majorBidi"/>
                      </w:rPr>
                      <m:t>k</m:t>
                    </m:r>
                  </m:e>
                  <m:sub>
                    <m:r>
                      <w:rPr>
                        <w:rFonts w:ascii="Cambria Math" w:eastAsiaTheme="majorEastAsia" w:hAnsi="Cambria Math" w:cstheme="majorBidi"/>
                      </w:rPr>
                      <m:t>PEN</m:t>
                    </m:r>
                  </m:sub>
                </m:sSub>
                <m:d>
                  <m:dPr>
                    <m:ctrlPr>
                      <w:rPr>
                        <w:rFonts w:ascii="Cambria Math" w:eastAsiaTheme="majorEastAsia" w:hAnsi="Cambria Math" w:cstheme="majorBidi"/>
                        <w:i/>
                      </w:rPr>
                    </m:ctrlPr>
                  </m:dPr>
                  <m:e>
                    <m:f>
                      <m:fPr>
                        <m:ctrlPr>
                          <w:rPr>
                            <w:rFonts w:ascii="Cambria Math" w:eastAsiaTheme="majorEastAsia" w:hAnsi="Cambria Math" w:cstheme="majorBidi"/>
                            <w:i/>
                          </w:rPr>
                        </m:ctrlPr>
                      </m:fPr>
                      <m:num>
                        <m:r>
                          <w:rPr>
                            <w:rFonts w:ascii="Cambria Math" w:eastAsiaTheme="majorEastAsia" w:hAnsi="Cambria Math" w:cstheme="majorBidi"/>
                          </w:rPr>
                          <m:t>2π</m:t>
                        </m:r>
                        <m:sSub>
                          <m:sSubPr>
                            <m:ctrlPr>
                              <w:rPr>
                                <w:rFonts w:ascii="Cambria Math" w:eastAsiaTheme="majorEastAsia" w:hAnsi="Cambria Math" w:cstheme="majorBidi"/>
                                <w:i/>
                              </w:rPr>
                            </m:ctrlPr>
                          </m:sSubPr>
                          <m:e>
                            <m:r>
                              <w:rPr>
                                <w:rFonts w:ascii="Cambria Math" w:eastAsiaTheme="majorEastAsia" w:hAnsi="Cambria Math" w:cstheme="majorBidi"/>
                              </w:rPr>
                              <m:t>r</m:t>
                            </m:r>
                          </m:e>
                          <m:sub>
                            <m:r>
                              <w:rPr>
                                <w:rFonts w:ascii="Cambria Math" w:eastAsiaTheme="majorEastAsia" w:hAnsi="Cambria Math" w:cstheme="majorBidi"/>
                              </w:rPr>
                              <m:t>3</m:t>
                            </m:r>
                          </m:sub>
                        </m:sSub>
                        <m:r>
                          <m:rPr>
                            <m:sty m:val="p"/>
                          </m:rPr>
                          <w:rPr>
                            <w:rFonts w:ascii="Cambria Math" w:eastAsiaTheme="majorEastAsia" w:hAnsi="Cambria Math" w:cstheme="majorBidi"/>
                          </w:rPr>
                          <m:t>Δ</m:t>
                        </m:r>
                        <m:r>
                          <w:rPr>
                            <w:rFonts w:ascii="Cambria Math" w:eastAsiaTheme="majorEastAsia" w:hAnsi="Cambria Math" w:cstheme="majorBidi"/>
                          </w:rPr>
                          <m:t>z</m:t>
                        </m:r>
                      </m:num>
                      <m:den>
                        <m:r>
                          <w:rPr>
                            <w:rFonts w:ascii="Cambria Math" w:eastAsiaTheme="majorEastAsia" w:hAnsi="Cambria Math" w:cstheme="majorBidi"/>
                          </w:rPr>
                          <m:t>4</m:t>
                        </m:r>
                      </m:den>
                    </m:f>
                  </m:e>
                </m:d>
                <m:d>
                  <m:dPr>
                    <m:ctrlPr>
                      <w:rPr>
                        <w:rFonts w:ascii="Cambria Math" w:eastAsiaTheme="majorEastAsia" w:hAnsi="Cambria Math" w:cstheme="majorBidi"/>
                        <w:i/>
                      </w:rPr>
                    </m:ctrlPr>
                  </m:dPr>
                  <m:e>
                    <m:sSub>
                      <m:sSubPr>
                        <m:ctrlPr>
                          <w:rPr>
                            <w:rFonts w:ascii="Cambria Math" w:eastAsiaTheme="majorEastAsia" w:hAnsi="Cambria Math" w:cstheme="majorBidi"/>
                            <w:i/>
                          </w:rPr>
                        </m:ctrlPr>
                      </m:sSubPr>
                      <m:e>
                        <m:r>
                          <w:rPr>
                            <w:rFonts w:ascii="Cambria Math" w:eastAsiaTheme="majorEastAsia" w:hAnsi="Cambria Math" w:cstheme="majorBidi"/>
                          </w:rPr>
                          <m:t>T</m:t>
                        </m:r>
                      </m:e>
                      <m:sub>
                        <m:r>
                          <w:rPr>
                            <w:rFonts w:ascii="Cambria Math" w:eastAsiaTheme="majorEastAsia" w:hAnsi="Cambria Math" w:cstheme="majorBidi"/>
                          </w:rPr>
                          <m:t>PEN,i</m:t>
                        </m:r>
                      </m:sub>
                    </m:sSub>
                    <m:r>
                      <w:rPr>
                        <w:rFonts w:ascii="Cambria Math" w:eastAsiaTheme="majorEastAsia" w:hAnsi="Cambria Math" w:cstheme="majorBidi"/>
                      </w:rPr>
                      <m:t>-</m:t>
                    </m:r>
                    <m:sSub>
                      <m:sSubPr>
                        <m:ctrlPr>
                          <w:rPr>
                            <w:rFonts w:ascii="Cambria Math" w:eastAsiaTheme="majorEastAsia" w:hAnsi="Cambria Math" w:cstheme="majorBidi"/>
                            <w:i/>
                          </w:rPr>
                        </m:ctrlPr>
                      </m:sSubPr>
                      <m:e>
                        <m:r>
                          <w:rPr>
                            <w:rFonts w:ascii="Cambria Math" w:eastAsiaTheme="majorEastAsia" w:hAnsi="Cambria Math" w:cstheme="majorBidi"/>
                          </w:rPr>
                          <m:t>T</m:t>
                        </m:r>
                      </m:e>
                      <m:sub>
                        <m:r>
                          <w:rPr>
                            <w:rFonts w:ascii="Cambria Math" w:eastAsiaTheme="majorEastAsia" w:hAnsi="Cambria Math" w:cstheme="majorBidi"/>
                          </w:rPr>
                          <m:t>ICF,i</m:t>
                        </m:r>
                      </m:sub>
                    </m:sSub>
                  </m:e>
                </m:d>
              </m:e>
            </m:d>
          </m:e>
          <m:sub>
            <m:r>
              <w:rPr>
                <w:rFonts w:ascii="Cambria Math" w:eastAsiaTheme="majorEastAsia" w:hAnsi="Cambria Math" w:cstheme="majorBidi"/>
              </w:rPr>
              <m:t>cond</m:t>
            </m:r>
          </m:sub>
        </m:sSub>
        <m:r>
          <w:rPr>
            <w:rFonts w:ascii="Cambria Math" w:eastAsiaTheme="majorEastAsia" w:hAnsi="Cambria Math" w:cstheme="majorBidi"/>
          </w:rPr>
          <m:t>+</m:t>
        </m:r>
        <m:sSub>
          <m:sSubPr>
            <m:ctrlPr>
              <w:rPr>
                <w:rFonts w:ascii="Cambria Math" w:eastAsiaTheme="majorEastAsia" w:hAnsi="Cambria Math" w:cstheme="majorBidi"/>
                <w:i/>
              </w:rPr>
            </m:ctrlPr>
          </m:sSubPr>
          <m:e>
            <m:d>
              <m:dPr>
                <m:begChr m:val="["/>
                <m:endChr m:val="]"/>
                <m:ctrlPr>
                  <w:rPr>
                    <w:rFonts w:ascii="Cambria Math" w:eastAsiaTheme="majorEastAsia" w:hAnsi="Cambria Math" w:cstheme="majorBidi"/>
                    <w:i/>
                  </w:rPr>
                </m:ctrlPr>
              </m:dPr>
              <m:e>
                <m:sSub>
                  <m:sSubPr>
                    <m:ctrlPr>
                      <w:rPr>
                        <w:rFonts w:ascii="Cambria Math" w:eastAsiaTheme="majorEastAsia" w:hAnsi="Cambria Math" w:cstheme="majorBidi"/>
                        <w:i/>
                      </w:rPr>
                    </m:ctrlPr>
                  </m:sSubPr>
                  <m:e>
                    <m:r>
                      <w:rPr>
                        <w:rFonts w:ascii="Cambria Math" w:eastAsiaTheme="majorEastAsia" w:hAnsi="Cambria Math" w:cstheme="majorBidi"/>
                      </w:rPr>
                      <m:t>h</m:t>
                    </m:r>
                  </m:e>
                  <m:sub>
                    <m:r>
                      <w:rPr>
                        <w:rFonts w:ascii="Cambria Math" w:eastAsiaTheme="majorEastAsia" w:hAnsi="Cambria Math" w:cstheme="majorBidi"/>
                      </w:rPr>
                      <m:t>F,i</m:t>
                    </m:r>
                  </m:sub>
                </m:sSub>
                <m:d>
                  <m:dPr>
                    <m:ctrlPr>
                      <w:rPr>
                        <w:rFonts w:ascii="Cambria Math" w:eastAsiaTheme="majorEastAsia" w:hAnsi="Cambria Math" w:cstheme="majorBidi"/>
                        <w:i/>
                      </w:rPr>
                    </m:ctrlPr>
                  </m:dPr>
                  <m:e>
                    <m:f>
                      <m:fPr>
                        <m:ctrlPr>
                          <w:rPr>
                            <w:rFonts w:ascii="Cambria Math" w:eastAsiaTheme="majorEastAsia" w:hAnsi="Cambria Math" w:cstheme="majorBidi"/>
                            <w:i/>
                          </w:rPr>
                        </m:ctrlPr>
                      </m:fPr>
                      <m:num>
                        <m:r>
                          <w:rPr>
                            <w:rFonts w:ascii="Cambria Math" w:eastAsiaTheme="majorEastAsia" w:hAnsi="Cambria Math" w:cstheme="majorBidi"/>
                          </w:rPr>
                          <m:t>2π</m:t>
                        </m:r>
                        <m:sSub>
                          <m:sSubPr>
                            <m:ctrlPr>
                              <w:rPr>
                                <w:rFonts w:ascii="Cambria Math" w:eastAsiaTheme="majorEastAsia" w:hAnsi="Cambria Math" w:cstheme="majorBidi"/>
                                <w:i/>
                              </w:rPr>
                            </m:ctrlPr>
                          </m:sSubPr>
                          <m:e>
                            <m:r>
                              <w:rPr>
                                <w:rFonts w:ascii="Cambria Math" w:eastAsiaTheme="majorEastAsia" w:hAnsi="Cambria Math" w:cstheme="majorBidi"/>
                              </w:rPr>
                              <m:t>r</m:t>
                            </m:r>
                          </m:e>
                          <m:sub>
                            <m:r>
                              <w:rPr>
                                <w:rFonts w:ascii="Cambria Math" w:eastAsiaTheme="majorEastAsia" w:hAnsi="Cambria Math" w:cstheme="majorBidi"/>
                              </w:rPr>
                              <m:t>3</m:t>
                            </m:r>
                          </m:sub>
                        </m:sSub>
                        <m:r>
                          <m:rPr>
                            <m:sty m:val="p"/>
                          </m:rPr>
                          <w:rPr>
                            <w:rFonts w:ascii="Cambria Math" w:eastAsiaTheme="majorEastAsia" w:hAnsi="Cambria Math" w:cstheme="majorBidi"/>
                          </w:rPr>
                          <m:t>Δ</m:t>
                        </m:r>
                        <m:r>
                          <w:rPr>
                            <w:rFonts w:ascii="Cambria Math" w:eastAsiaTheme="majorEastAsia" w:hAnsi="Cambria Math" w:cstheme="majorBidi"/>
                          </w:rPr>
                          <m:t>z</m:t>
                        </m:r>
                      </m:num>
                      <m:den>
                        <m:r>
                          <w:rPr>
                            <w:rFonts w:ascii="Cambria Math" w:eastAsiaTheme="majorEastAsia" w:hAnsi="Cambria Math" w:cstheme="majorBidi"/>
                          </w:rPr>
                          <m:t>4</m:t>
                        </m:r>
                      </m:den>
                    </m:f>
                  </m:e>
                </m:d>
                <m:d>
                  <m:dPr>
                    <m:ctrlPr>
                      <w:rPr>
                        <w:rFonts w:ascii="Cambria Math" w:eastAsiaTheme="majorEastAsia" w:hAnsi="Cambria Math" w:cstheme="majorBidi"/>
                        <w:i/>
                      </w:rPr>
                    </m:ctrlPr>
                  </m:dPr>
                  <m:e>
                    <m:sSub>
                      <m:sSubPr>
                        <m:ctrlPr>
                          <w:rPr>
                            <w:rFonts w:ascii="Cambria Math" w:eastAsiaTheme="majorEastAsia" w:hAnsi="Cambria Math" w:cstheme="majorBidi"/>
                            <w:i/>
                          </w:rPr>
                        </m:ctrlPr>
                      </m:sSubPr>
                      <m:e>
                        <m:r>
                          <w:rPr>
                            <w:rFonts w:ascii="Cambria Math" w:eastAsiaTheme="majorEastAsia" w:hAnsi="Cambria Math" w:cstheme="majorBidi"/>
                          </w:rPr>
                          <m:t>T</m:t>
                        </m:r>
                      </m:e>
                      <m:sub>
                        <m:r>
                          <w:rPr>
                            <w:rFonts w:ascii="Cambria Math" w:eastAsiaTheme="majorEastAsia" w:hAnsi="Cambria Math" w:cstheme="majorBidi"/>
                          </w:rPr>
                          <m:t>F,i</m:t>
                        </m:r>
                      </m:sub>
                    </m:sSub>
                    <m:r>
                      <w:rPr>
                        <w:rFonts w:ascii="Cambria Math" w:eastAsiaTheme="majorEastAsia" w:hAnsi="Cambria Math" w:cstheme="majorBidi"/>
                      </w:rPr>
                      <m:t>-</m:t>
                    </m:r>
                    <m:sSub>
                      <m:sSubPr>
                        <m:ctrlPr>
                          <w:rPr>
                            <w:rFonts w:ascii="Cambria Math" w:eastAsiaTheme="majorEastAsia" w:hAnsi="Cambria Math" w:cstheme="majorBidi"/>
                            <w:i/>
                          </w:rPr>
                        </m:ctrlPr>
                      </m:sSubPr>
                      <m:e>
                        <m:r>
                          <w:rPr>
                            <w:rFonts w:ascii="Cambria Math" w:eastAsiaTheme="majorEastAsia" w:hAnsi="Cambria Math" w:cstheme="majorBidi"/>
                          </w:rPr>
                          <m:t>T</m:t>
                        </m:r>
                      </m:e>
                      <m:sub>
                        <m:r>
                          <w:rPr>
                            <w:rFonts w:ascii="Cambria Math" w:eastAsiaTheme="majorEastAsia" w:hAnsi="Cambria Math" w:cstheme="majorBidi"/>
                          </w:rPr>
                          <m:t>ICF,i</m:t>
                        </m:r>
                      </m:sub>
                    </m:sSub>
                  </m:e>
                </m:d>
              </m:e>
            </m:d>
          </m:e>
          <m:sub>
            <m:r>
              <w:rPr>
                <w:rFonts w:ascii="Cambria Math" w:eastAsiaTheme="majorEastAsia" w:hAnsi="Cambria Math" w:cstheme="majorBidi"/>
              </w:rPr>
              <m:t>conv</m:t>
            </m:r>
          </m:sub>
        </m:sSub>
        <m:r>
          <w:rPr>
            <w:rFonts w:ascii="Cambria Math" w:eastAsiaTheme="majorEastAsia" w:hAnsi="Cambria Math" w:cstheme="majorBidi"/>
          </w:rPr>
          <m:t>+</m:t>
        </m:r>
        <m:sSub>
          <m:sSubPr>
            <m:ctrlPr>
              <w:rPr>
                <w:rFonts w:ascii="Cambria Math" w:eastAsiaTheme="majorEastAsia" w:hAnsi="Cambria Math" w:cstheme="majorBidi"/>
                <w:i/>
              </w:rPr>
            </m:ctrlPr>
          </m:sSubPr>
          <m:e>
            <m:d>
              <m:dPr>
                <m:begChr m:val="["/>
                <m:endChr m:val="]"/>
                <m:ctrlPr>
                  <w:rPr>
                    <w:rFonts w:ascii="Cambria Math" w:eastAsiaTheme="majorEastAsia" w:hAnsi="Cambria Math" w:cstheme="majorBidi"/>
                    <w:i/>
                  </w:rPr>
                </m:ctrlPr>
              </m:dPr>
              <m:e>
                <m:f>
                  <m:fPr>
                    <m:ctrlPr>
                      <w:rPr>
                        <w:rFonts w:ascii="Cambria Math" w:eastAsiaTheme="majorEastAsia" w:hAnsi="Cambria Math" w:cstheme="majorBidi"/>
                        <w:i/>
                      </w:rPr>
                    </m:ctrlPr>
                  </m:fPr>
                  <m:num>
                    <m:sSubSup>
                      <m:sSubSupPr>
                        <m:ctrlPr>
                          <w:rPr>
                            <w:rFonts w:ascii="Cambria Math" w:eastAsiaTheme="majorEastAsia" w:hAnsi="Cambria Math" w:cstheme="majorBidi"/>
                            <w:i/>
                          </w:rPr>
                        </m:ctrlPr>
                      </m:sSubSupPr>
                      <m:e>
                        <m:r>
                          <w:rPr>
                            <w:rFonts w:ascii="Cambria Math" w:eastAsiaTheme="majorEastAsia" w:hAnsi="Cambria Math" w:cstheme="majorBidi"/>
                          </w:rPr>
                          <m:t>i</m:t>
                        </m:r>
                      </m:e>
                      <m:sub>
                        <m:r>
                          <w:rPr>
                            <w:rFonts w:ascii="Cambria Math" w:eastAsiaTheme="majorEastAsia" w:hAnsi="Cambria Math" w:cstheme="majorBidi"/>
                          </w:rPr>
                          <m:t>cell</m:t>
                        </m:r>
                      </m:sub>
                      <m:sup>
                        <m:r>
                          <w:rPr>
                            <w:rFonts w:ascii="Cambria Math" w:eastAsiaTheme="majorEastAsia" w:hAnsi="Cambria Math" w:cstheme="majorBidi"/>
                          </w:rPr>
                          <m:t>2</m:t>
                        </m:r>
                      </m:sup>
                    </m:sSubSup>
                    <m:sSub>
                      <m:sSubPr>
                        <m:ctrlPr>
                          <w:rPr>
                            <w:rFonts w:ascii="Cambria Math" w:eastAsiaTheme="majorEastAsia" w:hAnsi="Cambria Math" w:cstheme="majorBidi"/>
                            <w:i/>
                          </w:rPr>
                        </m:ctrlPr>
                      </m:sSubPr>
                      <m:e>
                        <m:r>
                          <w:rPr>
                            <w:rFonts w:ascii="Cambria Math" w:eastAsiaTheme="majorEastAsia" w:hAnsi="Cambria Math" w:cstheme="majorBidi"/>
                          </w:rPr>
                          <m:t>R</m:t>
                        </m:r>
                      </m:e>
                      <m:sub>
                        <m:r>
                          <w:rPr>
                            <w:rFonts w:ascii="Cambria Math" w:eastAsiaTheme="majorEastAsia" w:hAnsi="Cambria Math" w:cstheme="majorBidi"/>
                          </w:rPr>
                          <m:t>ohm,IC</m:t>
                        </m:r>
                      </m:sub>
                    </m:sSub>
                  </m:num>
                  <m:den>
                    <m:r>
                      <w:rPr>
                        <w:rFonts w:ascii="Cambria Math" w:eastAsiaTheme="majorEastAsia" w:hAnsi="Cambria Math" w:cstheme="majorBidi"/>
                      </w:rPr>
                      <m:t>2</m:t>
                    </m:r>
                    <m:r>
                      <m:rPr>
                        <m:sty m:val="p"/>
                      </m:rPr>
                      <w:rPr>
                        <w:rFonts w:ascii="Cambria Math" w:eastAsiaTheme="majorEastAsia" w:hAnsi="Cambria Math" w:cstheme="majorBidi"/>
                      </w:rPr>
                      <m:t>Δ</m:t>
                    </m:r>
                    <m:r>
                      <w:rPr>
                        <w:rFonts w:ascii="Cambria Math" w:eastAsiaTheme="majorEastAsia" w:hAnsi="Cambria Math" w:cstheme="majorBidi"/>
                      </w:rPr>
                      <m:t>z</m:t>
                    </m:r>
                  </m:den>
                </m:f>
              </m:e>
            </m:d>
          </m:e>
          <m:sub>
            <m:r>
              <w:rPr>
                <w:rFonts w:ascii="Cambria Math" w:eastAsiaTheme="majorEastAsia" w:hAnsi="Cambria Math" w:cstheme="majorBidi"/>
              </w:rPr>
              <m:t>Joule heating</m:t>
            </m:r>
          </m:sub>
        </m:sSub>
      </m:oMath>
      <w:r>
        <w:rPr>
          <w:rFonts w:eastAsiaTheme="majorEastAsia" w:cstheme="majorBidi"/>
        </w:rPr>
        <w:tab/>
        <w:t>(3.52)</w:t>
      </w:r>
    </w:p>
    <w:p w14:paraId="71CFCA17" w14:textId="77777777" w:rsidR="00A93D24" w:rsidRDefault="00A93D24" w:rsidP="00A93D24">
      <w:pPr>
        <w:rPr>
          <w:rFonts w:eastAsiaTheme="majorEastAsia" w:cstheme="majorBidi"/>
        </w:rPr>
      </w:pPr>
      <w:r>
        <w:rPr>
          <w:rFonts w:eastAsiaTheme="majorEastAsia" w:cstheme="majorBidi"/>
        </w:rPr>
        <w:t xml:space="preserve">Where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ohm,IC</m:t>
            </m:r>
          </m:sub>
        </m:sSub>
      </m:oMath>
      <w:r>
        <w:rPr>
          <w:rFonts w:eastAsiaTheme="minorEastAsia"/>
        </w:rPr>
        <w:t xml:space="preserve"> is the ohmic resistance due to the interconnect. </w:t>
      </w:r>
      <w:r>
        <w:rPr>
          <w:rFonts w:eastAsiaTheme="majorEastAsia" w:cstheme="majorBidi"/>
        </w:rPr>
        <w:t>Similarly, the air-side interconnect is represented by:</w:t>
      </w:r>
    </w:p>
    <w:p w14:paraId="4AF1FBE8" w14:textId="2320E550" w:rsidR="00A93D24" w:rsidRPr="00A93D24" w:rsidRDefault="00A93D24" w:rsidP="00A93D24">
      <w:pPr>
        <w:jc w:val="right"/>
        <w:rPr>
          <w:rFonts w:eastAsiaTheme="majorEastAsia" w:cstheme="majorBidi"/>
        </w:rPr>
      </w:pPr>
      <m:oMath>
        <m:r>
          <w:rPr>
            <w:rFonts w:ascii="Cambria Math" w:eastAsiaTheme="majorEastAsia" w:hAnsi="Cambria Math" w:cstheme="majorBidi"/>
          </w:rPr>
          <m:t>0=</m:t>
        </m:r>
        <m:sSub>
          <m:sSubPr>
            <m:ctrlPr>
              <w:rPr>
                <w:rFonts w:ascii="Cambria Math" w:eastAsiaTheme="majorEastAsia" w:hAnsi="Cambria Math" w:cstheme="majorBidi"/>
                <w:i/>
              </w:rPr>
            </m:ctrlPr>
          </m:sSubPr>
          <m:e>
            <m:d>
              <m:dPr>
                <m:begChr m:val="["/>
                <m:endChr m:val="]"/>
                <m:ctrlPr>
                  <w:rPr>
                    <w:rFonts w:ascii="Cambria Math" w:eastAsiaTheme="majorEastAsia" w:hAnsi="Cambria Math" w:cstheme="majorBidi"/>
                    <w:i/>
                  </w:rPr>
                </m:ctrlPr>
              </m:dPr>
              <m:e>
                <m:f>
                  <m:fPr>
                    <m:ctrlPr>
                      <w:rPr>
                        <w:rFonts w:ascii="Cambria Math" w:eastAsiaTheme="majorEastAsia" w:hAnsi="Cambria Math" w:cstheme="majorBidi"/>
                        <w:i/>
                      </w:rPr>
                    </m:ctrlPr>
                  </m:fPr>
                  <m:num>
                    <m:sSub>
                      <m:sSubPr>
                        <m:ctrlPr>
                          <w:rPr>
                            <w:rFonts w:ascii="Cambria Math" w:eastAsiaTheme="majorEastAsia" w:hAnsi="Cambria Math" w:cstheme="majorBidi"/>
                            <w:i/>
                          </w:rPr>
                        </m:ctrlPr>
                      </m:sSubPr>
                      <m:e>
                        <m:r>
                          <w:rPr>
                            <w:rFonts w:ascii="Cambria Math" w:eastAsiaTheme="majorEastAsia" w:hAnsi="Cambria Math" w:cstheme="majorBidi"/>
                          </w:rPr>
                          <m:t>k</m:t>
                        </m:r>
                      </m:e>
                      <m:sub>
                        <m:r>
                          <w:rPr>
                            <w:rFonts w:ascii="Cambria Math" w:eastAsiaTheme="majorEastAsia" w:hAnsi="Cambria Math" w:cstheme="majorBidi"/>
                          </w:rPr>
                          <m:t>IC</m:t>
                        </m:r>
                      </m:sub>
                    </m:sSub>
                    <m:sSub>
                      <m:sSubPr>
                        <m:ctrlPr>
                          <w:rPr>
                            <w:rFonts w:ascii="Cambria Math" w:eastAsiaTheme="majorEastAsia" w:hAnsi="Cambria Math" w:cstheme="majorBidi"/>
                            <w:i/>
                          </w:rPr>
                        </m:ctrlPr>
                      </m:sSubPr>
                      <m:e>
                        <m:r>
                          <w:rPr>
                            <w:rFonts w:ascii="Cambria Math" w:eastAsiaTheme="majorEastAsia" w:hAnsi="Cambria Math" w:cstheme="majorBidi"/>
                          </w:rPr>
                          <m:t>A</m:t>
                        </m:r>
                      </m:e>
                      <m:sub>
                        <m:r>
                          <w:rPr>
                            <w:rFonts w:ascii="Cambria Math" w:eastAsiaTheme="majorEastAsia" w:hAnsi="Cambria Math" w:cstheme="majorBidi"/>
                          </w:rPr>
                          <m:t>IC</m:t>
                        </m:r>
                      </m:sub>
                    </m:sSub>
                  </m:num>
                  <m:den>
                    <m:r>
                      <m:rPr>
                        <m:sty m:val="p"/>
                      </m:rPr>
                      <w:rPr>
                        <w:rFonts w:ascii="Cambria Math" w:eastAsiaTheme="majorEastAsia" w:hAnsi="Cambria Math" w:cstheme="majorBidi"/>
                      </w:rPr>
                      <m:t>Δ</m:t>
                    </m:r>
                    <m:r>
                      <w:rPr>
                        <w:rFonts w:ascii="Cambria Math" w:eastAsiaTheme="majorEastAsia" w:hAnsi="Cambria Math" w:cstheme="majorBidi"/>
                      </w:rPr>
                      <m:t>z</m:t>
                    </m:r>
                  </m:den>
                </m:f>
                <m:d>
                  <m:dPr>
                    <m:ctrlPr>
                      <w:rPr>
                        <w:rFonts w:ascii="Cambria Math" w:eastAsiaTheme="majorEastAsia" w:hAnsi="Cambria Math" w:cstheme="majorBidi"/>
                        <w:i/>
                      </w:rPr>
                    </m:ctrlPr>
                  </m:dPr>
                  <m:e>
                    <m:sSub>
                      <m:sSubPr>
                        <m:ctrlPr>
                          <w:rPr>
                            <w:rFonts w:ascii="Cambria Math" w:eastAsiaTheme="majorEastAsia" w:hAnsi="Cambria Math" w:cstheme="majorBidi"/>
                            <w:i/>
                          </w:rPr>
                        </m:ctrlPr>
                      </m:sSubPr>
                      <m:e>
                        <m:r>
                          <w:rPr>
                            <w:rFonts w:ascii="Cambria Math" w:eastAsiaTheme="majorEastAsia" w:hAnsi="Cambria Math" w:cstheme="majorBidi"/>
                          </w:rPr>
                          <m:t>T</m:t>
                        </m:r>
                      </m:e>
                      <m:sub>
                        <m:r>
                          <w:rPr>
                            <w:rFonts w:ascii="Cambria Math" w:eastAsiaTheme="majorEastAsia" w:hAnsi="Cambria Math" w:cstheme="majorBidi"/>
                          </w:rPr>
                          <m:t>ICA,i-1</m:t>
                        </m:r>
                      </m:sub>
                    </m:sSub>
                    <m:r>
                      <w:rPr>
                        <w:rFonts w:ascii="Cambria Math" w:eastAsiaTheme="majorEastAsia" w:hAnsi="Cambria Math" w:cstheme="majorBidi"/>
                      </w:rPr>
                      <m:t>-2</m:t>
                    </m:r>
                    <m:sSub>
                      <m:sSubPr>
                        <m:ctrlPr>
                          <w:rPr>
                            <w:rFonts w:ascii="Cambria Math" w:eastAsiaTheme="majorEastAsia" w:hAnsi="Cambria Math" w:cstheme="majorBidi"/>
                            <w:i/>
                          </w:rPr>
                        </m:ctrlPr>
                      </m:sSubPr>
                      <m:e>
                        <m:r>
                          <w:rPr>
                            <w:rFonts w:ascii="Cambria Math" w:eastAsiaTheme="majorEastAsia" w:hAnsi="Cambria Math" w:cstheme="majorBidi"/>
                          </w:rPr>
                          <m:t>T</m:t>
                        </m:r>
                      </m:e>
                      <m:sub>
                        <m:r>
                          <w:rPr>
                            <w:rFonts w:ascii="Cambria Math" w:eastAsiaTheme="majorEastAsia" w:hAnsi="Cambria Math" w:cstheme="majorBidi"/>
                          </w:rPr>
                          <m:t>ICA,i</m:t>
                        </m:r>
                      </m:sub>
                    </m:sSub>
                    <m:r>
                      <w:rPr>
                        <w:rFonts w:ascii="Cambria Math" w:eastAsiaTheme="majorEastAsia" w:hAnsi="Cambria Math" w:cstheme="majorBidi"/>
                      </w:rPr>
                      <m:t>+</m:t>
                    </m:r>
                    <m:sSub>
                      <m:sSubPr>
                        <m:ctrlPr>
                          <w:rPr>
                            <w:rFonts w:ascii="Cambria Math" w:eastAsiaTheme="majorEastAsia" w:hAnsi="Cambria Math" w:cstheme="majorBidi"/>
                            <w:i/>
                          </w:rPr>
                        </m:ctrlPr>
                      </m:sSubPr>
                      <m:e>
                        <m:r>
                          <w:rPr>
                            <w:rFonts w:ascii="Cambria Math" w:eastAsiaTheme="majorEastAsia" w:hAnsi="Cambria Math" w:cstheme="majorBidi"/>
                          </w:rPr>
                          <m:t>T</m:t>
                        </m:r>
                      </m:e>
                      <m:sub>
                        <m:r>
                          <w:rPr>
                            <w:rFonts w:ascii="Cambria Math" w:eastAsiaTheme="majorEastAsia" w:hAnsi="Cambria Math" w:cstheme="majorBidi"/>
                          </w:rPr>
                          <m:t>ICA,i+1</m:t>
                        </m:r>
                      </m:sub>
                    </m:sSub>
                  </m:e>
                </m:d>
              </m:e>
            </m:d>
          </m:e>
          <m:sub>
            <m:r>
              <w:rPr>
                <w:rFonts w:ascii="Cambria Math" w:eastAsiaTheme="majorEastAsia" w:hAnsi="Cambria Math" w:cstheme="majorBidi"/>
              </w:rPr>
              <m:t>QinQout</m:t>
            </m:r>
          </m:sub>
        </m:sSub>
        <m:r>
          <w:rPr>
            <w:rFonts w:ascii="Cambria Math" w:eastAsiaTheme="majorEastAsia" w:hAnsi="Cambria Math" w:cstheme="majorBidi"/>
          </w:rPr>
          <m:t>+</m:t>
        </m:r>
        <m:sSub>
          <m:sSubPr>
            <m:ctrlPr>
              <w:rPr>
                <w:rFonts w:ascii="Cambria Math" w:eastAsiaTheme="majorEastAsia" w:hAnsi="Cambria Math" w:cstheme="majorBidi"/>
                <w:i/>
              </w:rPr>
            </m:ctrlPr>
          </m:sSubPr>
          <m:e>
            <m:d>
              <m:dPr>
                <m:begChr m:val="["/>
                <m:endChr m:val="]"/>
                <m:ctrlPr>
                  <w:rPr>
                    <w:rFonts w:ascii="Cambria Math" w:eastAsiaTheme="majorEastAsia" w:hAnsi="Cambria Math" w:cstheme="majorBidi"/>
                    <w:i/>
                  </w:rPr>
                </m:ctrlPr>
              </m:dPr>
              <m:e>
                <m:sSub>
                  <m:sSubPr>
                    <m:ctrlPr>
                      <w:rPr>
                        <w:rFonts w:ascii="Cambria Math" w:eastAsiaTheme="majorEastAsia" w:hAnsi="Cambria Math" w:cstheme="majorBidi"/>
                        <w:i/>
                      </w:rPr>
                    </m:ctrlPr>
                  </m:sSubPr>
                  <m:e>
                    <m:r>
                      <w:rPr>
                        <w:rFonts w:ascii="Cambria Math" w:eastAsiaTheme="majorEastAsia" w:hAnsi="Cambria Math" w:cstheme="majorBidi"/>
                      </w:rPr>
                      <m:t>k</m:t>
                    </m:r>
                  </m:e>
                  <m:sub>
                    <m:r>
                      <w:rPr>
                        <w:rFonts w:ascii="Cambria Math" w:eastAsiaTheme="majorEastAsia" w:hAnsi="Cambria Math" w:cstheme="majorBidi"/>
                      </w:rPr>
                      <m:t>IC</m:t>
                    </m:r>
                  </m:sub>
                </m:sSub>
                <m:d>
                  <m:dPr>
                    <m:ctrlPr>
                      <w:rPr>
                        <w:rFonts w:ascii="Cambria Math" w:eastAsiaTheme="majorEastAsia" w:hAnsi="Cambria Math" w:cstheme="majorBidi"/>
                        <w:i/>
                      </w:rPr>
                    </m:ctrlPr>
                  </m:dPr>
                  <m:e>
                    <m:f>
                      <m:fPr>
                        <m:ctrlPr>
                          <w:rPr>
                            <w:rFonts w:ascii="Cambria Math" w:eastAsiaTheme="majorEastAsia" w:hAnsi="Cambria Math" w:cstheme="majorBidi"/>
                            <w:i/>
                          </w:rPr>
                        </m:ctrlPr>
                      </m:fPr>
                      <m:num>
                        <m:r>
                          <w:rPr>
                            <w:rFonts w:ascii="Cambria Math" w:eastAsiaTheme="majorEastAsia" w:hAnsi="Cambria Math" w:cstheme="majorBidi"/>
                          </w:rPr>
                          <m:t>2π</m:t>
                        </m:r>
                        <m:sSub>
                          <m:sSubPr>
                            <m:ctrlPr>
                              <w:rPr>
                                <w:rFonts w:ascii="Cambria Math" w:eastAsiaTheme="majorEastAsia" w:hAnsi="Cambria Math" w:cstheme="majorBidi"/>
                                <w:i/>
                              </w:rPr>
                            </m:ctrlPr>
                          </m:sSubPr>
                          <m:e>
                            <m:r>
                              <w:rPr>
                                <w:rFonts w:ascii="Cambria Math" w:eastAsiaTheme="majorEastAsia" w:hAnsi="Cambria Math" w:cstheme="majorBidi"/>
                              </w:rPr>
                              <m:t>r</m:t>
                            </m:r>
                          </m:e>
                          <m:sub>
                            <m:r>
                              <w:rPr>
                                <w:rFonts w:ascii="Cambria Math" w:eastAsiaTheme="majorEastAsia" w:hAnsi="Cambria Math" w:cstheme="majorBidi"/>
                              </w:rPr>
                              <m:t>6</m:t>
                            </m:r>
                          </m:sub>
                        </m:sSub>
                        <m:r>
                          <m:rPr>
                            <m:sty m:val="p"/>
                          </m:rPr>
                          <w:rPr>
                            <w:rFonts w:ascii="Cambria Math" w:eastAsiaTheme="majorEastAsia" w:hAnsi="Cambria Math" w:cstheme="majorBidi"/>
                          </w:rPr>
                          <m:t>Δ</m:t>
                        </m:r>
                        <m:r>
                          <w:rPr>
                            <w:rFonts w:ascii="Cambria Math" w:eastAsiaTheme="majorEastAsia" w:hAnsi="Cambria Math" w:cstheme="majorBidi"/>
                          </w:rPr>
                          <m:t>z</m:t>
                        </m:r>
                      </m:num>
                      <m:den>
                        <m:r>
                          <w:rPr>
                            <w:rFonts w:ascii="Cambria Math" w:eastAsiaTheme="majorEastAsia" w:hAnsi="Cambria Math" w:cstheme="majorBidi"/>
                          </w:rPr>
                          <m:t>4</m:t>
                        </m:r>
                      </m:den>
                    </m:f>
                  </m:e>
                </m:d>
                <m:d>
                  <m:dPr>
                    <m:ctrlPr>
                      <w:rPr>
                        <w:rFonts w:ascii="Cambria Math" w:eastAsiaTheme="majorEastAsia" w:hAnsi="Cambria Math" w:cstheme="majorBidi"/>
                        <w:i/>
                      </w:rPr>
                    </m:ctrlPr>
                  </m:dPr>
                  <m:e>
                    <m:sSub>
                      <m:sSubPr>
                        <m:ctrlPr>
                          <w:rPr>
                            <w:rFonts w:ascii="Cambria Math" w:eastAsiaTheme="majorEastAsia" w:hAnsi="Cambria Math" w:cstheme="majorBidi"/>
                            <w:i/>
                          </w:rPr>
                        </m:ctrlPr>
                      </m:sSubPr>
                      <m:e>
                        <m:r>
                          <w:rPr>
                            <w:rFonts w:ascii="Cambria Math" w:eastAsiaTheme="majorEastAsia" w:hAnsi="Cambria Math" w:cstheme="majorBidi"/>
                          </w:rPr>
                          <m:t>T</m:t>
                        </m:r>
                      </m:e>
                      <m:sub>
                        <m:r>
                          <w:rPr>
                            <w:rFonts w:ascii="Cambria Math" w:eastAsiaTheme="majorEastAsia" w:hAnsi="Cambria Math" w:cstheme="majorBidi"/>
                          </w:rPr>
                          <m:t>PEN,i</m:t>
                        </m:r>
                      </m:sub>
                    </m:sSub>
                    <m:r>
                      <w:rPr>
                        <w:rFonts w:ascii="Cambria Math" w:eastAsiaTheme="majorEastAsia" w:hAnsi="Cambria Math" w:cstheme="majorBidi"/>
                      </w:rPr>
                      <m:t>-</m:t>
                    </m:r>
                    <m:sSub>
                      <m:sSubPr>
                        <m:ctrlPr>
                          <w:rPr>
                            <w:rFonts w:ascii="Cambria Math" w:eastAsiaTheme="majorEastAsia" w:hAnsi="Cambria Math" w:cstheme="majorBidi"/>
                            <w:i/>
                          </w:rPr>
                        </m:ctrlPr>
                      </m:sSubPr>
                      <m:e>
                        <m:r>
                          <w:rPr>
                            <w:rFonts w:ascii="Cambria Math" w:eastAsiaTheme="majorEastAsia" w:hAnsi="Cambria Math" w:cstheme="majorBidi"/>
                          </w:rPr>
                          <m:t>T</m:t>
                        </m:r>
                      </m:e>
                      <m:sub>
                        <m:r>
                          <w:rPr>
                            <w:rFonts w:ascii="Cambria Math" w:eastAsiaTheme="majorEastAsia" w:hAnsi="Cambria Math" w:cstheme="majorBidi"/>
                          </w:rPr>
                          <m:t>ICA,i</m:t>
                        </m:r>
                      </m:sub>
                    </m:sSub>
                  </m:e>
                </m:d>
              </m:e>
            </m:d>
          </m:e>
          <m:sub>
            <m:r>
              <w:rPr>
                <w:rFonts w:ascii="Cambria Math" w:eastAsiaTheme="majorEastAsia" w:hAnsi="Cambria Math" w:cstheme="majorBidi"/>
              </w:rPr>
              <m:t>cond</m:t>
            </m:r>
          </m:sub>
        </m:sSub>
        <m:r>
          <w:rPr>
            <w:rFonts w:ascii="Cambria Math" w:eastAsiaTheme="majorEastAsia" w:hAnsi="Cambria Math" w:cstheme="majorBidi"/>
          </w:rPr>
          <m:t>+</m:t>
        </m:r>
        <m:sSub>
          <m:sSubPr>
            <m:ctrlPr>
              <w:rPr>
                <w:rFonts w:ascii="Cambria Math" w:eastAsiaTheme="majorEastAsia" w:hAnsi="Cambria Math" w:cstheme="majorBidi"/>
                <w:i/>
              </w:rPr>
            </m:ctrlPr>
          </m:sSubPr>
          <m:e>
            <m:d>
              <m:dPr>
                <m:begChr m:val="["/>
                <m:endChr m:val="]"/>
                <m:ctrlPr>
                  <w:rPr>
                    <w:rFonts w:ascii="Cambria Math" w:eastAsiaTheme="majorEastAsia" w:hAnsi="Cambria Math" w:cstheme="majorBidi"/>
                    <w:i/>
                  </w:rPr>
                </m:ctrlPr>
              </m:dPr>
              <m:e>
                <m:sSub>
                  <m:sSubPr>
                    <m:ctrlPr>
                      <w:rPr>
                        <w:rFonts w:ascii="Cambria Math" w:eastAsiaTheme="majorEastAsia" w:hAnsi="Cambria Math" w:cstheme="majorBidi"/>
                        <w:i/>
                      </w:rPr>
                    </m:ctrlPr>
                  </m:sSubPr>
                  <m:e>
                    <m:r>
                      <w:rPr>
                        <w:rFonts w:ascii="Cambria Math" w:eastAsiaTheme="majorEastAsia" w:hAnsi="Cambria Math" w:cstheme="majorBidi"/>
                      </w:rPr>
                      <m:t>h</m:t>
                    </m:r>
                  </m:e>
                  <m:sub>
                    <m:r>
                      <w:rPr>
                        <w:rFonts w:ascii="Cambria Math" w:eastAsiaTheme="majorEastAsia" w:hAnsi="Cambria Math" w:cstheme="majorBidi"/>
                      </w:rPr>
                      <m:t>A,i</m:t>
                    </m:r>
                  </m:sub>
                </m:sSub>
                <m:d>
                  <m:dPr>
                    <m:ctrlPr>
                      <w:rPr>
                        <w:rFonts w:ascii="Cambria Math" w:eastAsiaTheme="majorEastAsia" w:hAnsi="Cambria Math" w:cstheme="majorBidi"/>
                        <w:i/>
                      </w:rPr>
                    </m:ctrlPr>
                  </m:dPr>
                  <m:e>
                    <m:f>
                      <m:fPr>
                        <m:ctrlPr>
                          <w:rPr>
                            <w:rFonts w:ascii="Cambria Math" w:eastAsiaTheme="majorEastAsia" w:hAnsi="Cambria Math" w:cstheme="majorBidi"/>
                            <w:i/>
                          </w:rPr>
                        </m:ctrlPr>
                      </m:fPr>
                      <m:num>
                        <m:r>
                          <w:rPr>
                            <w:rFonts w:ascii="Cambria Math" w:eastAsiaTheme="majorEastAsia" w:hAnsi="Cambria Math" w:cstheme="majorBidi"/>
                          </w:rPr>
                          <m:t>2π</m:t>
                        </m:r>
                        <m:sSub>
                          <m:sSubPr>
                            <m:ctrlPr>
                              <w:rPr>
                                <w:rFonts w:ascii="Cambria Math" w:eastAsiaTheme="majorEastAsia" w:hAnsi="Cambria Math" w:cstheme="majorBidi"/>
                                <w:i/>
                              </w:rPr>
                            </m:ctrlPr>
                          </m:sSubPr>
                          <m:e>
                            <m:r>
                              <w:rPr>
                                <w:rFonts w:ascii="Cambria Math" w:eastAsiaTheme="majorEastAsia" w:hAnsi="Cambria Math" w:cstheme="majorBidi"/>
                              </w:rPr>
                              <m:t>r</m:t>
                            </m:r>
                          </m:e>
                          <m:sub>
                            <m:r>
                              <w:rPr>
                                <w:rFonts w:ascii="Cambria Math" w:eastAsiaTheme="majorEastAsia" w:hAnsi="Cambria Math" w:cstheme="majorBidi"/>
                              </w:rPr>
                              <m:t>6</m:t>
                            </m:r>
                          </m:sub>
                        </m:sSub>
                        <m:r>
                          <m:rPr>
                            <m:sty m:val="p"/>
                          </m:rPr>
                          <w:rPr>
                            <w:rFonts w:ascii="Cambria Math" w:eastAsiaTheme="majorEastAsia" w:hAnsi="Cambria Math" w:cstheme="majorBidi"/>
                          </w:rPr>
                          <m:t>Δ</m:t>
                        </m:r>
                        <m:r>
                          <w:rPr>
                            <w:rFonts w:ascii="Cambria Math" w:eastAsiaTheme="majorEastAsia" w:hAnsi="Cambria Math" w:cstheme="majorBidi"/>
                          </w:rPr>
                          <m:t>z</m:t>
                        </m:r>
                      </m:num>
                      <m:den>
                        <m:r>
                          <w:rPr>
                            <w:rFonts w:ascii="Cambria Math" w:eastAsiaTheme="majorEastAsia" w:hAnsi="Cambria Math" w:cstheme="majorBidi"/>
                          </w:rPr>
                          <m:t>4</m:t>
                        </m:r>
                      </m:den>
                    </m:f>
                  </m:e>
                </m:d>
                <m:d>
                  <m:dPr>
                    <m:ctrlPr>
                      <w:rPr>
                        <w:rFonts w:ascii="Cambria Math" w:eastAsiaTheme="majorEastAsia" w:hAnsi="Cambria Math" w:cstheme="majorBidi"/>
                        <w:i/>
                      </w:rPr>
                    </m:ctrlPr>
                  </m:dPr>
                  <m:e>
                    <m:sSub>
                      <m:sSubPr>
                        <m:ctrlPr>
                          <w:rPr>
                            <w:rFonts w:ascii="Cambria Math" w:eastAsiaTheme="majorEastAsia" w:hAnsi="Cambria Math" w:cstheme="majorBidi"/>
                            <w:i/>
                          </w:rPr>
                        </m:ctrlPr>
                      </m:sSubPr>
                      <m:e>
                        <m:r>
                          <w:rPr>
                            <w:rFonts w:ascii="Cambria Math" w:eastAsiaTheme="majorEastAsia" w:hAnsi="Cambria Math" w:cstheme="majorBidi"/>
                          </w:rPr>
                          <m:t>T</m:t>
                        </m:r>
                      </m:e>
                      <m:sub>
                        <m:r>
                          <w:rPr>
                            <w:rFonts w:ascii="Cambria Math" w:eastAsiaTheme="majorEastAsia" w:hAnsi="Cambria Math" w:cstheme="majorBidi"/>
                          </w:rPr>
                          <m:t>A,i</m:t>
                        </m:r>
                      </m:sub>
                    </m:sSub>
                    <m:r>
                      <w:rPr>
                        <w:rFonts w:ascii="Cambria Math" w:eastAsiaTheme="majorEastAsia" w:hAnsi="Cambria Math" w:cstheme="majorBidi"/>
                      </w:rPr>
                      <m:t>-</m:t>
                    </m:r>
                    <m:sSub>
                      <m:sSubPr>
                        <m:ctrlPr>
                          <w:rPr>
                            <w:rFonts w:ascii="Cambria Math" w:eastAsiaTheme="majorEastAsia" w:hAnsi="Cambria Math" w:cstheme="majorBidi"/>
                            <w:i/>
                          </w:rPr>
                        </m:ctrlPr>
                      </m:sSubPr>
                      <m:e>
                        <m:r>
                          <w:rPr>
                            <w:rFonts w:ascii="Cambria Math" w:eastAsiaTheme="majorEastAsia" w:hAnsi="Cambria Math" w:cstheme="majorBidi"/>
                          </w:rPr>
                          <m:t>T</m:t>
                        </m:r>
                      </m:e>
                      <m:sub>
                        <m:r>
                          <w:rPr>
                            <w:rFonts w:ascii="Cambria Math" w:eastAsiaTheme="majorEastAsia" w:hAnsi="Cambria Math" w:cstheme="majorBidi"/>
                          </w:rPr>
                          <m:t>ICA,i</m:t>
                        </m:r>
                      </m:sub>
                    </m:sSub>
                  </m:e>
                </m:d>
              </m:e>
            </m:d>
          </m:e>
          <m:sub>
            <m:r>
              <w:rPr>
                <w:rFonts w:ascii="Cambria Math" w:eastAsiaTheme="majorEastAsia" w:hAnsi="Cambria Math" w:cstheme="majorBidi"/>
              </w:rPr>
              <m:t>conv</m:t>
            </m:r>
          </m:sub>
        </m:sSub>
        <m:r>
          <w:rPr>
            <w:rFonts w:ascii="Cambria Math" w:eastAsiaTheme="majorEastAsia" w:hAnsi="Cambria Math" w:cstheme="majorBidi"/>
          </w:rPr>
          <m:t>+</m:t>
        </m:r>
        <m:sSub>
          <m:sSubPr>
            <m:ctrlPr>
              <w:rPr>
                <w:rFonts w:ascii="Cambria Math" w:eastAsiaTheme="majorEastAsia" w:hAnsi="Cambria Math" w:cstheme="majorBidi"/>
                <w:i/>
              </w:rPr>
            </m:ctrlPr>
          </m:sSubPr>
          <m:e>
            <m:d>
              <m:dPr>
                <m:begChr m:val="["/>
                <m:endChr m:val="]"/>
                <m:ctrlPr>
                  <w:rPr>
                    <w:rFonts w:ascii="Cambria Math" w:eastAsiaTheme="majorEastAsia" w:hAnsi="Cambria Math" w:cstheme="majorBidi"/>
                    <w:i/>
                  </w:rPr>
                </m:ctrlPr>
              </m:dPr>
              <m:e>
                <m:f>
                  <m:fPr>
                    <m:ctrlPr>
                      <w:rPr>
                        <w:rFonts w:ascii="Cambria Math" w:eastAsiaTheme="majorEastAsia" w:hAnsi="Cambria Math" w:cstheme="majorBidi"/>
                        <w:i/>
                      </w:rPr>
                    </m:ctrlPr>
                  </m:fPr>
                  <m:num>
                    <m:sSubSup>
                      <m:sSubSupPr>
                        <m:ctrlPr>
                          <w:rPr>
                            <w:rFonts w:ascii="Cambria Math" w:eastAsiaTheme="majorEastAsia" w:hAnsi="Cambria Math" w:cstheme="majorBidi"/>
                            <w:i/>
                          </w:rPr>
                        </m:ctrlPr>
                      </m:sSubSupPr>
                      <m:e>
                        <m:r>
                          <w:rPr>
                            <w:rFonts w:ascii="Cambria Math" w:eastAsiaTheme="majorEastAsia" w:hAnsi="Cambria Math" w:cstheme="majorBidi"/>
                          </w:rPr>
                          <m:t>i</m:t>
                        </m:r>
                      </m:e>
                      <m:sub>
                        <m:r>
                          <w:rPr>
                            <w:rFonts w:ascii="Cambria Math" w:eastAsiaTheme="majorEastAsia" w:hAnsi="Cambria Math" w:cstheme="majorBidi"/>
                          </w:rPr>
                          <m:t>cell</m:t>
                        </m:r>
                      </m:sub>
                      <m:sup>
                        <m:r>
                          <w:rPr>
                            <w:rFonts w:ascii="Cambria Math" w:eastAsiaTheme="majorEastAsia" w:hAnsi="Cambria Math" w:cstheme="majorBidi"/>
                          </w:rPr>
                          <m:t>2</m:t>
                        </m:r>
                      </m:sup>
                    </m:sSubSup>
                    <m:sSub>
                      <m:sSubPr>
                        <m:ctrlPr>
                          <w:rPr>
                            <w:rFonts w:ascii="Cambria Math" w:eastAsiaTheme="majorEastAsia" w:hAnsi="Cambria Math" w:cstheme="majorBidi"/>
                            <w:i/>
                          </w:rPr>
                        </m:ctrlPr>
                      </m:sSubPr>
                      <m:e>
                        <m:r>
                          <w:rPr>
                            <w:rFonts w:ascii="Cambria Math" w:eastAsiaTheme="majorEastAsia" w:hAnsi="Cambria Math" w:cstheme="majorBidi"/>
                          </w:rPr>
                          <m:t>R</m:t>
                        </m:r>
                      </m:e>
                      <m:sub>
                        <m:r>
                          <w:rPr>
                            <w:rFonts w:ascii="Cambria Math" w:eastAsiaTheme="majorEastAsia" w:hAnsi="Cambria Math" w:cstheme="majorBidi"/>
                          </w:rPr>
                          <m:t>ohm,IC</m:t>
                        </m:r>
                      </m:sub>
                    </m:sSub>
                  </m:num>
                  <m:den>
                    <m:r>
                      <w:rPr>
                        <w:rFonts w:ascii="Cambria Math" w:eastAsiaTheme="majorEastAsia" w:hAnsi="Cambria Math" w:cstheme="majorBidi"/>
                      </w:rPr>
                      <m:t>2</m:t>
                    </m:r>
                    <m:r>
                      <m:rPr>
                        <m:sty m:val="p"/>
                      </m:rPr>
                      <w:rPr>
                        <w:rFonts w:ascii="Cambria Math" w:eastAsiaTheme="majorEastAsia" w:hAnsi="Cambria Math" w:cstheme="majorBidi"/>
                      </w:rPr>
                      <m:t>Δ</m:t>
                    </m:r>
                    <m:r>
                      <w:rPr>
                        <w:rFonts w:ascii="Cambria Math" w:eastAsiaTheme="majorEastAsia" w:hAnsi="Cambria Math" w:cstheme="majorBidi"/>
                      </w:rPr>
                      <m:t>z</m:t>
                    </m:r>
                  </m:den>
                </m:f>
              </m:e>
            </m:d>
          </m:e>
          <m:sub>
            <m:r>
              <w:rPr>
                <w:rFonts w:ascii="Cambria Math" w:eastAsiaTheme="majorEastAsia" w:hAnsi="Cambria Math" w:cstheme="majorBidi"/>
              </w:rPr>
              <m:t>Joule heating</m:t>
            </m:r>
          </m:sub>
        </m:sSub>
      </m:oMath>
      <w:r>
        <w:rPr>
          <w:rFonts w:eastAsiaTheme="majorEastAsia" w:cstheme="majorBidi"/>
        </w:rPr>
        <w:tab/>
      </w:r>
      <w:r>
        <w:rPr>
          <w:rFonts w:eastAsiaTheme="majorEastAsia" w:cstheme="majorBidi"/>
        </w:rPr>
        <w:tab/>
        <w:t>(3.53)</w:t>
      </w:r>
    </w:p>
    <w:p w14:paraId="62232ED5" w14:textId="2C42C6AA" w:rsidR="00A93D24" w:rsidRDefault="00A93D24">
      <w:pPr>
        <w:spacing w:after="160" w:line="259" w:lineRule="auto"/>
        <w:ind w:firstLine="0"/>
      </w:pPr>
      <w:r>
        <w:br w:type="page"/>
      </w:r>
    </w:p>
    <w:p w14:paraId="592D51F8" w14:textId="77777777" w:rsidR="00361F24" w:rsidRDefault="00361F24" w:rsidP="002249C8">
      <w:pPr>
        <w:pStyle w:val="Heading1"/>
      </w:pPr>
    </w:p>
    <w:p w14:paraId="5469BBDE" w14:textId="60B6A037" w:rsidR="002249C8" w:rsidRDefault="002249C8" w:rsidP="002249C8">
      <w:pPr>
        <w:pStyle w:val="Heading1"/>
      </w:pPr>
      <w:bookmarkStart w:id="90" w:name="_Toc165641084"/>
      <w:r>
        <w:t>Chapter 4: Model Validation and Results</w:t>
      </w:r>
      <w:bookmarkEnd w:id="90"/>
    </w:p>
    <w:p w14:paraId="775911E8" w14:textId="77777777" w:rsidR="002249C8" w:rsidRDefault="002249C8" w:rsidP="002249C8">
      <w:pPr>
        <w:pStyle w:val="Heading2"/>
      </w:pPr>
      <w:bookmarkStart w:id="91" w:name="_Toc165641085"/>
      <w:r>
        <w:t>4.1 Model Validation</w:t>
      </w:r>
      <w:bookmarkEnd w:id="91"/>
    </w:p>
    <w:p w14:paraId="2F10DE74" w14:textId="77777777" w:rsidR="002249C8" w:rsidRDefault="002249C8" w:rsidP="002249C8">
      <w:r>
        <w:t xml:space="preserve">The proposed system in this study is a novel system with innovative characteristics. However, the novelty of the system and its intended purpose means that there are no direct experiments with which to validate the results discussed later in this chapter. Instead, hydrogen-fueled PCFC studies, known properties of fuel cells, mass balance, and experimental reaction data from a fixed bed reactor are combined to prove the validity of the model’s results. </w:t>
      </w:r>
    </w:p>
    <w:p w14:paraId="3532D4A5" w14:textId="77777777" w:rsidR="002249C8" w:rsidRDefault="002249C8" w:rsidP="002249C8">
      <w:pPr>
        <w:pStyle w:val="Heading3"/>
      </w:pPr>
      <w:bookmarkStart w:id="92" w:name="_Toc165641086"/>
      <w:r>
        <w:t>4.1.1 Mass Balance Validation</w:t>
      </w:r>
      <w:bookmarkEnd w:id="92"/>
    </w:p>
    <w:p w14:paraId="7A1482DF" w14:textId="77777777" w:rsidR="002249C8" w:rsidRDefault="002249C8" w:rsidP="002249C8">
      <w:r>
        <w:t xml:space="preserve">The principle of the mass balance in this model at a system level is that all mass input must equal the mass output.  This condition must be verified for all the discretized units as plug flow assumption is considered for the PCFC model. Each discretized unit for the mass balance considered a full cross section of the cell to account for the generation and consumption of hydrogen as it travels from the fuel to air sides. Verifying at each discretized point is essential to ensure that the reaction conversions are properly integrated in the model. This study takes a simplified approach and only considers nitrogen, carbon, hydrogen, and oxygen in the flow streams. Other components and impurities that are common in natural gas like sulfur are omitted for simplicity here, leaving the door open for their inclusion in future modeling studies. However, it should be noted that certain components should generally be used to reduce sulfur contents of the inlet gas as it can impact the catalyst’s durability. The adherence to the mass balance principle is verified by the following equation for each considered element – oxygen, </w:t>
      </w:r>
      <w:proofErr w:type="gramStart"/>
      <w:r>
        <w:t>hydrogen</w:t>
      </w:r>
      <w:proofErr w:type="gramEnd"/>
      <w:r>
        <w:t xml:space="preserve"> and carbon:</w:t>
      </w:r>
    </w:p>
    <w:p w14:paraId="7FEDA968" w14:textId="77777777" w:rsidR="002249C8" w:rsidRDefault="00924E48" w:rsidP="002249C8">
      <w:pPr>
        <w:jc w:val="right"/>
        <w:rPr>
          <w:rFonts w:eastAsiaTheme="minorEastAsia"/>
        </w:rPr>
      </w:pPr>
      <m:oMath>
        <m:nary>
          <m:naryPr>
            <m:chr m:val="∑"/>
            <m:limLoc m:val="undOvr"/>
            <m:ctrlPr>
              <w:rPr>
                <w:rFonts w:ascii="Cambria Math" w:hAnsi="Cambria Math"/>
                <w:i/>
              </w:rPr>
            </m:ctrlPr>
          </m:naryPr>
          <m:sub>
            <m:r>
              <w:rPr>
                <w:rFonts w:ascii="Cambria Math" w:hAnsi="Cambria Math"/>
              </w:rPr>
              <m:t>1</m:t>
            </m:r>
          </m:sub>
          <m:sup>
            <m:r>
              <w:rPr>
                <w:rFonts w:ascii="Cambria Math" w:hAnsi="Cambria Math"/>
              </w:rPr>
              <m:t>n</m:t>
            </m:r>
          </m:sup>
          <m:e>
            <m:sSub>
              <m:sSubPr>
                <m:ctrlPr>
                  <w:rPr>
                    <w:rFonts w:ascii="Cambria Math" w:hAnsi="Cambria Math"/>
                    <w:i/>
                  </w:rPr>
                </m:ctrlPr>
              </m:sSubPr>
              <m:e>
                <m:sSub>
                  <m:sSubPr>
                    <m:ctrlPr>
                      <w:rPr>
                        <w:rFonts w:ascii="Cambria Math" w:hAnsi="Cambria Math"/>
                        <w:i/>
                      </w:rPr>
                    </m:ctrlPr>
                  </m:sSubPr>
                  <m:e>
                    <m:r>
                      <w:rPr>
                        <w:rFonts w:ascii="Cambria Math" w:hAnsi="Cambria Math"/>
                      </w:rPr>
                      <m:t>ν</m:t>
                    </m:r>
                  </m:e>
                  <m:sub>
                    <m:r>
                      <w:rPr>
                        <w:rFonts w:ascii="Cambria Math" w:hAnsi="Cambria Math"/>
                      </w:rPr>
                      <m:t>φ</m:t>
                    </m:r>
                  </m:sub>
                </m:sSub>
                <m:r>
                  <w:rPr>
                    <w:rFonts w:ascii="Cambria Math" w:hAnsi="Cambria Math"/>
                  </w:rPr>
                  <m:t>N</m:t>
                </m:r>
              </m:e>
              <m:sub>
                <m:r>
                  <w:rPr>
                    <w:rFonts w:ascii="Cambria Math" w:hAnsi="Cambria Math"/>
                  </w:rPr>
                  <m:t>s</m:t>
                </m:r>
                <m:r>
                  <w:rPr>
                    <w:rFonts w:ascii="Cambria Math" w:hAnsi="Cambria Math"/>
                  </w:rPr>
                  <m:t>,</m:t>
                </m:r>
                <m:r>
                  <w:rPr>
                    <w:rFonts w:ascii="Cambria Math" w:hAnsi="Cambria Math"/>
                  </w:rPr>
                  <m:t>i</m:t>
                </m:r>
                <m:r>
                  <w:rPr>
                    <w:rFonts w:ascii="Cambria Math" w:hAnsi="Cambria Math"/>
                  </w:rPr>
                  <m:t>-</m:t>
                </m:r>
                <m:r>
                  <w:rPr>
                    <w:rFonts w:ascii="Cambria Math" w:hAnsi="Cambria Math"/>
                  </w:rPr>
                  <m:t>1</m:t>
                </m:r>
              </m:sub>
            </m:sSub>
          </m:e>
        </m:nary>
        <m:r>
          <w:rPr>
            <w:rFonts w:ascii="Cambria Math" w:hAnsi="Cambria Math"/>
          </w:rPr>
          <m:t>=</m:t>
        </m:r>
        <m:sSub>
          <m:sSubPr>
            <m:ctrlPr>
              <w:rPr>
                <w:rFonts w:ascii="Cambria Math" w:hAnsi="Cambria Math"/>
                <w:i/>
              </w:rPr>
            </m:ctrlPr>
          </m:sSubPr>
          <m:e>
            <m:r>
              <w:rPr>
                <w:rFonts w:ascii="Cambria Math" w:hAnsi="Cambria Math"/>
              </w:rPr>
              <m:t>ϵ</m:t>
            </m:r>
          </m:e>
          <m:sub>
            <m:r>
              <w:rPr>
                <w:rFonts w:ascii="Cambria Math" w:hAnsi="Cambria Math"/>
              </w:rPr>
              <m:t>φ</m:t>
            </m:r>
          </m:sub>
        </m:sSub>
        <m:r>
          <w:rPr>
            <w:rFonts w:ascii="Cambria Math" w:hAnsi="Cambria Math"/>
          </w:rPr>
          <m:t>+</m:t>
        </m:r>
        <m:nary>
          <m:naryPr>
            <m:chr m:val="∑"/>
            <m:limLoc m:val="undOvr"/>
            <m:ctrlPr>
              <w:rPr>
                <w:rFonts w:ascii="Cambria Math" w:hAnsi="Cambria Math"/>
                <w:i/>
              </w:rPr>
            </m:ctrlPr>
          </m:naryPr>
          <m:sub>
            <m:r>
              <w:rPr>
                <w:rFonts w:ascii="Cambria Math" w:hAnsi="Cambria Math"/>
              </w:rPr>
              <m:t>1</m:t>
            </m:r>
          </m:sub>
          <m:sup>
            <m:r>
              <w:rPr>
                <w:rFonts w:ascii="Cambria Math" w:hAnsi="Cambria Math"/>
              </w:rPr>
              <m:t>n</m:t>
            </m:r>
          </m:sup>
          <m:e>
            <m:sSub>
              <m:sSubPr>
                <m:ctrlPr>
                  <w:rPr>
                    <w:rFonts w:ascii="Cambria Math" w:hAnsi="Cambria Math"/>
                    <w:i/>
                  </w:rPr>
                </m:ctrlPr>
              </m:sSubPr>
              <m:e>
                <m:sSub>
                  <m:sSubPr>
                    <m:ctrlPr>
                      <w:rPr>
                        <w:rFonts w:ascii="Cambria Math" w:hAnsi="Cambria Math"/>
                        <w:i/>
                      </w:rPr>
                    </m:ctrlPr>
                  </m:sSubPr>
                  <m:e>
                    <m:r>
                      <w:rPr>
                        <w:rFonts w:ascii="Cambria Math" w:hAnsi="Cambria Math"/>
                      </w:rPr>
                      <m:t>ν</m:t>
                    </m:r>
                  </m:e>
                  <m:sub>
                    <m:r>
                      <w:rPr>
                        <w:rFonts w:ascii="Cambria Math" w:hAnsi="Cambria Math"/>
                      </w:rPr>
                      <m:t>φ</m:t>
                    </m:r>
                  </m:sub>
                </m:sSub>
                <m:r>
                  <w:rPr>
                    <w:rFonts w:ascii="Cambria Math" w:hAnsi="Cambria Math"/>
                  </w:rPr>
                  <m:t>N</m:t>
                </m:r>
              </m:e>
              <m:sub>
                <m:r>
                  <w:rPr>
                    <w:rFonts w:ascii="Cambria Math" w:hAnsi="Cambria Math"/>
                  </w:rPr>
                  <m:t>s</m:t>
                </m:r>
                <m:r>
                  <w:rPr>
                    <w:rFonts w:ascii="Cambria Math" w:hAnsi="Cambria Math"/>
                  </w:rPr>
                  <m:t>,</m:t>
                </m:r>
                <m:r>
                  <w:rPr>
                    <w:rFonts w:ascii="Cambria Math" w:hAnsi="Cambria Math"/>
                  </w:rPr>
                  <m:t>i</m:t>
                </m:r>
              </m:sub>
            </m:sSub>
          </m:e>
        </m:nary>
        <m:r>
          <w:rPr>
            <w:rFonts w:ascii="Cambria Math" w:hAnsi="Cambria Math"/>
          </w:rPr>
          <m:t xml:space="preserve">,  </m:t>
        </m:r>
        <m:r>
          <w:rPr>
            <w:rFonts w:ascii="Cambria Math" w:hAnsi="Cambria Math"/>
          </w:rPr>
          <m:t>φ</m:t>
        </m:r>
        <m:r>
          <w:rPr>
            <w:rFonts w:ascii="Cambria Math" w:hAnsi="Cambria Math"/>
          </w:rPr>
          <m:t>∈</m:t>
        </m:r>
        <m:d>
          <m:dPr>
            <m:begChr m:val="{"/>
            <m:endChr m:val="}"/>
            <m:ctrlPr>
              <w:rPr>
                <w:rFonts w:ascii="Cambria Math" w:hAnsi="Cambria Math"/>
                <w:i/>
              </w:rPr>
            </m:ctrlPr>
          </m:dPr>
          <m:e>
            <m:r>
              <w:rPr>
                <w:rFonts w:ascii="Cambria Math" w:hAnsi="Cambria Math"/>
              </w:rPr>
              <m:t>C</m:t>
            </m:r>
            <m:r>
              <w:rPr>
                <w:rFonts w:ascii="Cambria Math" w:hAnsi="Cambria Math"/>
              </w:rPr>
              <m:t xml:space="preserve">, </m:t>
            </m:r>
            <m:r>
              <w:rPr>
                <w:rFonts w:ascii="Cambria Math" w:hAnsi="Cambria Math"/>
              </w:rPr>
              <m:t>H</m:t>
            </m:r>
            <m:r>
              <w:rPr>
                <w:rFonts w:ascii="Cambria Math" w:hAnsi="Cambria Math"/>
              </w:rPr>
              <m:t xml:space="preserve">, </m:t>
            </m:r>
            <m:r>
              <w:rPr>
                <w:rFonts w:ascii="Cambria Math" w:hAnsi="Cambria Math"/>
              </w:rPr>
              <m:t>O</m:t>
            </m:r>
          </m:e>
        </m:d>
      </m:oMath>
      <w:r w:rsidR="002249C8">
        <w:rPr>
          <w:rFonts w:eastAsiaTheme="minorEastAsia"/>
        </w:rPr>
        <w:tab/>
      </w:r>
      <w:r w:rsidR="002249C8">
        <w:rPr>
          <w:rFonts w:eastAsiaTheme="minorEastAsia"/>
        </w:rPr>
        <w:tab/>
      </w:r>
      <w:r w:rsidR="002249C8">
        <w:rPr>
          <w:rFonts w:eastAsiaTheme="minorEastAsia"/>
        </w:rPr>
        <w:tab/>
      </w:r>
      <w:r w:rsidR="002249C8">
        <w:rPr>
          <w:rFonts w:eastAsiaTheme="minorEastAsia"/>
        </w:rPr>
        <w:tab/>
      </w:r>
    </w:p>
    <w:p w14:paraId="5B88F97C" w14:textId="77777777" w:rsidR="002249C8" w:rsidRPr="003E63FC" w:rsidRDefault="002249C8" w:rsidP="002249C8">
      <w:pPr>
        <w:jc w:val="right"/>
        <w:rPr>
          <w:rFonts w:eastAsiaTheme="minorEastAsia"/>
        </w:rPr>
      </w:pPr>
      <m:oMath>
        <m:r>
          <w:rPr>
            <w:rFonts w:ascii="Cambria Math" w:hAnsi="Cambria Math"/>
          </w:rPr>
          <m:t>s∈</m:t>
        </m:r>
        <m:d>
          <m:dPr>
            <m:begChr m:val="{"/>
            <m:endChr m:val="}"/>
            <m:ctrlPr>
              <w:rPr>
                <w:rFonts w:ascii="Cambria Math" w:hAnsi="Cambria Math"/>
                <w:i/>
              </w:rPr>
            </m:ctrlPr>
          </m:dPr>
          <m:e>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rPr>
                  <m:t>4</m:t>
                </m:r>
              </m:sub>
            </m:sSub>
            <m:r>
              <w:rPr>
                <w:rFonts w:ascii="Cambria Math" w:hAnsi="Cambria Math"/>
              </w:rPr>
              <m:t xml:space="preserve">, </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2</m:t>
                </m:r>
              </m:sub>
            </m:sSub>
            <m:sSub>
              <m:sSubPr>
                <m:ctrlPr>
                  <w:rPr>
                    <w:rFonts w:ascii="Cambria Math" w:hAnsi="Cambria Math"/>
                    <w:i/>
                  </w:rPr>
                </m:ctrlPr>
              </m:sSubPr>
              <m:e>
                <m:r>
                  <w:rPr>
                    <w:rFonts w:ascii="Cambria Math" w:hAnsi="Cambria Math"/>
                  </w:rPr>
                  <m:t>H</m:t>
                </m:r>
              </m:e>
              <m:sub>
                <m:r>
                  <w:rPr>
                    <w:rFonts w:ascii="Cambria Math" w:hAnsi="Cambria Math"/>
                  </w:rPr>
                  <m:t>4</m:t>
                </m:r>
              </m:sub>
            </m:sSub>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6</m:t>
                </m:r>
              </m:sub>
            </m:sSub>
            <m:sSub>
              <m:sSubPr>
                <m:ctrlPr>
                  <w:rPr>
                    <w:rFonts w:ascii="Cambria Math" w:hAnsi="Cambria Math"/>
                    <w:i/>
                  </w:rPr>
                </m:ctrlPr>
              </m:sSubPr>
              <m:e>
                <m:r>
                  <w:rPr>
                    <w:rFonts w:ascii="Cambria Math" w:hAnsi="Cambria Math"/>
                  </w:rPr>
                  <m:t>H</m:t>
                </m:r>
              </m:e>
              <m:sub>
                <m:r>
                  <w:rPr>
                    <w:rFonts w:ascii="Cambria Math" w:hAnsi="Cambria Math"/>
                  </w:rPr>
                  <m:t>6</m:t>
                </m:r>
              </m:sub>
            </m:sSub>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7</m:t>
                </m:r>
              </m:sub>
            </m:sSub>
            <m:sSub>
              <m:sSubPr>
                <m:ctrlPr>
                  <w:rPr>
                    <w:rFonts w:ascii="Cambria Math" w:hAnsi="Cambria Math"/>
                    <w:i/>
                  </w:rPr>
                </m:ctrlPr>
              </m:sSubPr>
              <m:e>
                <m:r>
                  <w:rPr>
                    <w:rFonts w:ascii="Cambria Math" w:hAnsi="Cambria Math"/>
                  </w:rPr>
                  <m:t>H</m:t>
                </m:r>
              </m:e>
              <m:sub>
                <m:r>
                  <w:rPr>
                    <w:rFonts w:ascii="Cambria Math" w:hAnsi="Cambria Math"/>
                  </w:rPr>
                  <m:t>8</m:t>
                </m:r>
              </m:sub>
            </m:sSub>
            <m:r>
              <w:rPr>
                <w:rFonts w:ascii="Cambria Math" w:hAnsi="Cambria Math"/>
              </w:rPr>
              <m:t xml:space="preserve">, </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 xml:space="preserve">O, </m:t>
            </m:r>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2</m:t>
                </m:r>
              </m:sub>
            </m:sSub>
          </m:e>
        </m:d>
      </m:oMath>
      <w:r>
        <w:rPr>
          <w:rFonts w:eastAsiaTheme="minorEastAsia"/>
        </w:rPr>
        <w:tab/>
      </w:r>
      <w:r>
        <w:rPr>
          <w:rFonts w:eastAsiaTheme="minorEastAsia"/>
        </w:rPr>
        <w:tab/>
      </w:r>
      <w:r>
        <w:rPr>
          <w:rFonts w:eastAsiaTheme="minorEastAsia"/>
        </w:rPr>
        <w:tab/>
        <w:t>(4.1)</w:t>
      </w:r>
    </w:p>
    <w:p w14:paraId="30D7E9E2" w14:textId="77777777" w:rsidR="002249C8" w:rsidRDefault="002249C8" w:rsidP="002249C8">
      <w:pPr>
        <w:ind w:firstLine="0"/>
        <w:rPr>
          <w:rFonts w:eastAsiaTheme="minorEastAsia"/>
        </w:rPr>
      </w:pPr>
      <w:r>
        <w:t xml:space="preserve">where </w:t>
      </w:r>
      <m:oMath>
        <m:r>
          <w:rPr>
            <w:rFonts w:ascii="Cambria Math" w:hAnsi="Cambria Math"/>
          </w:rPr>
          <m:t>n</m:t>
        </m:r>
      </m:oMath>
      <w:r>
        <w:rPr>
          <w:rFonts w:eastAsiaTheme="minorEastAsia"/>
        </w:rPr>
        <w:t xml:space="preserve"> is the number of species in the system bearing carbon, hydrogen, or oxygen; the subscript </w:t>
      </w:r>
      <m:oMath>
        <m:r>
          <w:rPr>
            <w:rFonts w:ascii="Cambria Math" w:eastAsiaTheme="minorEastAsia" w:hAnsi="Cambria Math"/>
          </w:rPr>
          <m:t>φ</m:t>
        </m:r>
      </m:oMath>
      <w:r>
        <w:rPr>
          <w:rFonts w:eastAsiaTheme="minorEastAsia"/>
        </w:rPr>
        <w:t xml:space="preserve"> signifies carbon, hydrogen or oxygen; </w:t>
      </w:r>
      <m:oMath>
        <m:r>
          <w:rPr>
            <w:rFonts w:ascii="Cambria Math" w:eastAsiaTheme="minorEastAsia" w:hAnsi="Cambria Math"/>
          </w:rPr>
          <m:t>s</m:t>
        </m:r>
      </m:oMath>
      <w:r>
        <w:rPr>
          <w:rFonts w:eastAsiaTheme="minorEastAsia"/>
        </w:rPr>
        <w:t xml:space="preserve"> identifies the species; </w:t>
      </w:r>
      <m:oMath>
        <m:r>
          <w:rPr>
            <w:rFonts w:ascii="Cambria Math" w:eastAsiaTheme="minorEastAsia" w:hAnsi="Cambria Math"/>
          </w:rPr>
          <m:t>ν</m:t>
        </m:r>
      </m:oMath>
      <w:r>
        <w:rPr>
          <w:rFonts w:eastAsiaTheme="minorEastAsia"/>
        </w:rPr>
        <w:t xml:space="preserve"> denotes the stoichiometric coefficient reflecting the number of carbon, hydrogen, or oxygen atoms in each species; and </w:t>
      </w:r>
      <m:oMath>
        <m:r>
          <w:rPr>
            <w:rFonts w:ascii="Cambria Math" w:eastAsiaTheme="minorEastAsia" w:hAnsi="Cambria Math"/>
          </w:rPr>
          <m:t>ϵ</m:t>
        </m:r>
      </m:oMath>
      <w:r>
        <w:rPr>
          <w:rFonts w:eastAsiaTheme="minorEastAsia"/>
        </w:rPr>
        <w:t xml:space="preserve"> is a discrepancy term that always equals zero when the mass balance is accurately maintained in each discretized unit </w:t>
      </w:r>
      <m:oMath>
        <m:r>
          <w:rPr>
            <w:rFonts w:ascii="Cambria Math" w:eastAsiaTheme="minorEastAsia" w:hAnsi="Cambria Math"/>
          </w:rPr>
          <m:t>i</m:t>
        </m:r>
      </m:oMath>
      <w:r>
        <w:rPr>
          <w:rFonts w:eastAsiaTheme="minorEastAsia"/>
        </w:rPr>
        <w:t>.</w:t>
      </w:r>
    </w:p>
    <w:p w14:paraId="663442CA" w14:textId="77777777" w:rsidR="002249C8" w:rsidRDefault="002249C8" w:rsidP="002249C8">
      <w:r>
        <w:t xml:space="preserve">In the iterative solutions provided by EES, the discrepancy term typically equaled something on the order of </w:t>
      </w:r>
      <m:oMath>
        <m:sSup>
          <m:sSupPr>
            <m:ctrlPr>
              <w:rPr>
                <w:rFonts w:ascii="Cambria Math" w:hAnsi="Cambria Math"/>
                <w:i/>
              </w:rPr>
            </m:ctrlPr>
          </m:sSupPr>
          <m:e>
            <m:r>
              <w:rPr>
                <w:rFonts w:ascii="Cambria Math" w:hAnsi="Cambria Math"/>
              </w:rPr>
              <m:t>10</m:t>
            </m:r>
          </m:e>
          <m:sup>
            <m:r>
              <w:rPr>
                <w:rFonts w:ascii="Cambria Math" w:hAnsi="Cambria Math"/>
              </w:rPr>
              <m:t>-25</m:t>
            </m:r>
          </m:sup>
        </m:sSup>
      </m:oMath>
      <w:r>
        <w:rPr>
          <w:rFonts w:eastAsiaTheme="minorEastAsia"/>
        </w:rPr>
        <w:t xml:space="preserve">. Since the lowest number of moles of any species in the system is closer to </w:t>
      </w:r>
      <m:oMath>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-10</m:t>
            </m:r>
          </m:sup>
        </m:sSup>
      </m:oMath>
      <w:r>
        <w:rPr>
          <w:rFonts w:eastAsiaTheme="minorEastAsia"/>
        </w:rPr>
        <w:t>, the mass balance is effectively confirmed across the length of the cell.</w:t>
      </w:r>
    </w:p>
    <w:p w14:paraId="7DF3285B" w14:textId="77777777" w:rsidR="002249C8" w:rsidRDefault="002249C8" w:rsidP="002249C8">
      <w:pPr>
        <w:pStyle w:val="Heading3"/>
      </w:pPr>
      <w:bookmarkStart w:id="93" w:name="_Toc165641087"/>
      <w:r>
        <w:t>4.1.2 Reaction Kinetics Validation</w:t>
      </w:r>
      <w:bookmarkEnd w:id="93"/>
    </w:p>
    <w:p w14:paraId="74601741" w14:textId="51B23381" w:rsidR="002249C8" w:rsidRDefault="002249C8" w:rsidP="002249C8">
      <w:r>
        <w:t>As has been discussed in sections 2.2 and 3.2, the kinetic model utilized by Jeong</w:t>
      </w:r>
      <w:r w:rsidR="00571E73">
        <w:t xml:space="preserve"> </w:t>
      </w:r>
      <w:r w:rsidR="00571E73">
        <w:fldChar w:fldCharType="begin"/>
      </w:r>
      <w:r w:rsidR="00CA7A9D">
        <w:instrText xml:space="preserve"> ADDIN ZOTERO_ITEM CSL_CITATION {"citationID":"a9ribr2s66","properties":{"formattedCitation":"[64]","plainCitation":"[64]","noteIndex":0},"citationItems":[{"id":744,"uris":["http://zotero.org/users/12063231/items/6QIVDYJ5"],"itemData":{"id":744,"type":"article-journal","abstract":"A kinetic model was developed for the methane dehydroaromatization over a Mo2C/H-ZSM5 catalyst. Because the experimental observations show that the reaction and deactivation simultaneously take place in the catalyst activation (carburization) stage, the initial simulation time was specified as the time at which the activation was completed and the initial activities under each operating condition were estimated. The estimated values show that the initial activity of the Mo2C site is low in the early stage of the catalyst bed, which is probably due to the carbonization, while that of the H-ZSM5 site is very low in the later stage of the bed due to the encapsulation of coupled aromatics caused by the low confinement of Mo2C in the zeolite. Kinetic models were developed for the reaction and deactivation and the kinetic parameters were estimated by fitting the experimental data that were obtained after the activation was completed. The simulated results are in good agreement with the experimental data. The deactivation model indicates a higher temperature dependency of the Mo2C site compared with the H-ZSM5 site. In addition, the benzene and toluene yields abruptly decrease at very high temperature, indicating that a too high temperature should be avoided, although high temperatures are favored because of the endothermic characteristics of the production rate.","collection-title":"Special Issue for the 17th Korea-Japan Symposium on Catalysis","container-title":"Catalysis Today","DOI":"10.1016/j.cattod.2019.09.002","ISSN":"0920-5861","journalAbbreviation":"Catalysis Today","page":"140-147","source":"ScienceDirect","title":"Kinetic modeling of methane dehydroaromatization over a Mo2C/H-ZSM5 catalyst: Different deactivation behaviors of the Mo2C and H-ZSM5 sites","title-short":"Kinetic modeling of methane dehydroaromatization over a Mo2C/H-ZSM5 catalyst","volume":"352","author":[{"family":"Jeong","given":"Jaehun"},{"family":"Hwang","given":"Ahron"},{"family":"Kim","given":"Yong Tae"},{"family":"Hong","given":"Do-Young"},{"family":"Park","given":"Myung-June"}],"issued":{"date-parts":[["2020",8,1]]}}}],"schema":"https://github.com/citation-style-language/schema/raw/master/csl-citation.json"} </w:instrText>
      </w:r>
      <w:r w:rsidR="00571E73">
        <w:fldChar w:fldCharType="separate"/>
      </w:r>
      <w:r w:rsidR="00CA7A9D" w:rsidRPr="00CA7A9D">
        <w:rPr>
          <w:rFonts w:ascii="Aptos" w:hAnsi="Aptos"/>
        </w:rPr>
        <w:t>[64]</w:t>
      </w:r>
      <w:r w:rsidR="00571E73">
        <w:fldChar w:fldCharType="end"/>
      </w:r>
      <w:r>
        <w:t xml:space="preserve"> has been adopted and modified here. However, the catalyst considered for the application at flaring sites, as suggested in Chapter 1, </w:t>
      </w:r>
      <w:r w:rsidR="00E9792B">
        <w:t>is</w:t>
      </w:r>
      <w:r>
        <w:t xml:space="preserve"> adapted from the work of Zhu et al.</w:t>
      </w:r>
      <w:r>
        <w:fldChar w:fldCharType="begin"/>
      </w:r>
      <w:r w:rsidR="00CA7A9D">
        <w:instrText xml:space="preserve"> ADDIN ZOTERO_ITEM CSL_CITATION {"citationID":"a4dl3nhrkv","properties":{"formattedCitation":"[65]","plainCitation":"[65]","noteIndex":0},"citationItems":[{"id":851,"uris":["http://zotero.org/users/12063231/items/HXBJX4RZ"],"itemData":{"id":851,"type":"article-journal","container-title":"Nature Communications","title":"Direct conversion of methane to aromatics and hydrogen via a heterogeneous trimetallic synergistic catalyst","volume":"Accepted","author":[{"family":"Zhu","given":"P"},{"family":"Bian","given":"W"},{"family":"Liu","given":"B"},{"family":"Deng","given":"H"},{"family":"Wang","given":"L"},{"family":"Huang","given":"X"},{"family":"Spence","given":"S"},{"family":"Lin","given":"F"},{"family":"Duan","given":"C"},{"family":"Ding","given":"P"},{"family":"Dong","given":"P"},{"family":"Ding H","given":""}],"issued":{"date-parts":[["2024"]]}}}],"schema":"https://github.com/citation-style-language/schema/raw/master/csl-citation.json"} </w:instrText>
      </w:r>
      <w:r>
        <w:fldChar w:fldCharType="separate"/>
      </w:r>
      <w:r w:rsidR="00CA7A9D" w:rsidRPr="00CA7A9D">
        <w:rPr>
          <w:rFonts w:ascii="Aptos" w:hAnsi="Aptos"/>
        </w:rPr>
        <w:t>[65]</w:t>
      </w:r>
      <w:r>
        <w:fldChar w:fldCharType="end"/>
      </w:r>
      <w:r>
        <w:t>. To get an accurate idea of the reaction rates for the PCFC, a fixed bed reactor (FBR) model is used. This FBR model has the same geometry as</w:t>
      </w:r>
      <w:r w:rsidR="00233667">
        <w:t xml:space="preserve"> Zhu et al.</w:t>
      </w:r>
      <w:r>
        <w:t xml:space="preserve"> </w:t>
      </w:r>
      <w:r>
        <w:fldChar w:fldCharType="begin"/>
      </w:r>
      <w:r w:rsidR="00CA7A9D">
        <w:instrText xml:space="preserve"> ADDIN ZOTERO_ITEM CSL_CITATION {"citationID":"au7a2m29u2","properties":{"formattedCitation":"[65]","plainCitation":"[65]","noteIndex":0},"citationItems":[{"id":851,"uris":["http://zotero.org/users/12063231/items/HXBJX4RZ"],"itemData":{"id":851,"type":"article-journal","container-title":"Nature Communications","title":"Direct conversion of methane to aromatics and hydrogen via a heterogeneous trimetallic synergistic catalyst","volume":"Accepted","author":[{"family":"Zhu","given":"P"},{"family":"Bian","given":"W"},{"family":"Liu","given":"B"},{"family":"Deng","given":"H"},{"family":"Wang","given":"L"},{"family":"Huang","given":"X"},{"family":"Spence","given":"S"},{"family":"Lin","given":"F"},{"family":"Duan","given":"C"},{"family":"Ding","given":"P"},{"family":"Dong","given":"P"},{"family":"Ding H","given":""}],"issued":{"date-parts":[["2024"]]}}}],"schema":"https://github.com/citation-style-language/schema/raw/master/csl-citation.json"} </w:instrText>
      </w:r>
      <w:r>
        <w:fldChar w:fldCharType="separate"/>
      </w:r>
      <w:r w:rsidR="00CA7A9D" w:rsidRPr="00CA7A9D">
        <w:rPr>
          <w:rFonts w:ascii="Aptos" w:hAnsi="Aptos"/>
        </w:rPr>
        <w:t>[65]</w:t>
      </w:r>
      <w:r>
        <w:fldChar w:fldCharType="end"/>
      </w:r>
      <w:r>
        <w:t xml:space="preserve">, which is a 7mm inner diameter and a length of 450 mm. For the reactions, the FBR model has an identical formulation to the PCFC model, but the electrochemical sub-model is removed to eliminate the removal of hydrogen that necessarily takes place in the PCFC. This allowed the kinetics from Jeong’s </w:t>
      </w:r>
      <w:r>
        <w:fldChar w:fldCharType="begin"/>
      </w:r>
      <w:r w:rsidR="00CA7A9D">
        <w:instrText xml:space="preserve"> ADDIN ZOTERO_ITEM CSL_CITATION {"citationID":"avgm1ire1f","properties":{"formattedCitation":"[64]","plainCitation":"[64]","noteIndex":0},"citationItems":[{"id":744,"uris":["http://zotero.org/users/12063231/items/6QIVDYJ5"],"itemData":{"id":744,"type":"article-journal","abstract":"A kinetic model was developed for the methane dehydroaromatization over a Mo2C/H-ZSM5 catalyst. Because the experimental observations show that the reaction and deactivation simultaneously take place in the catalyst activation (carburization) stage, the initial simulation time was specified as the time at which the activation was completed and the initial activities under each operating condition were estimated. The estimated values show that the initial activity of the Mo2C site is low in the early stage of the catalyst bed, which is probably due to the carbonization, while that of the H-ZSM5 site is very low in the later stage of the bed due to the encapsulation of coupled aromatics caused by the low confinement of Mo2C in the zeolite. Kinetic models were developed for the reaction and deactivation and the kinetic parameters were estimated by fitting the experimental data that were obtained after the activation was completed. The simulated results are in good agreement with the experimental data. The deactivation model indicates a higher temperature dependency of the Mo2C site compared with the H-ZSM5 site. In addition, the benzene and toluene yields abruptly decrease at very high temperature, indicating that a too high temperature should be avoided, although high temperatures are favored because of the endothermic characteristics of the production rate.","collection-title":"Special Issue for the 17th Korea-Japan Symposium on Catalysis","container-title":"Catalysis Today","DOI":"10.1016/j.cattod.2019.09.002","ISSN":"0920-5861","journalAbbreviation":"Catalysis Today","page":"140-147","source":"ScienceDirect","title":"Kinetic modeling of methane dehydroaromatization over a Mo2C/H-ZSM5 catalyst: Different deactivation behaviors of the Mo2C and H-ZSM5 sites","title-short":"Kinetic modeling of methane dehydroaromatization over a Mo2C/H-ZSM5 catalyst","volume":"352","author":[{"family":"Jeong","given":"Jaehun"},{"family":"Hwang","given":"Ahron"},{"family":"Kim","given":"Yong Tae"},{"family":"Hong","given":"Do-Young"},{"family":"Park","given":"Myung-June"}],"issued":{"date-parts":[["2020",8,1]]}}}],"schema":"https://github.com/citation-style-language/schema/raw/master/csl-citation.json"} </w:instrText>
      </w:r>
      <w:r>
        <w:fldChar w:fldCharType="separate"/>
      </w:r>
      <w:r w:rsidR="00CA7A9D" w:rsidRPr="00CA7A9D">
        <w:rPr>
          <w:rFonts w:ascii="Aptos" w:hAnsi="Aptos"/>
        </w:rPr>
        <w:t>[64]</w:t>
      </w:r>
      <w:r>
        <w:fldChar w:fldCharType="end"/>
      </w:r>
      <w:r>
        <w:t xml:space="preserve"> work, which is also an FBR with similar geometry, to be adjusted until the outputs matched the work of Zhu et al. </w:t>
      </w:r>
      <w:r>
        <w:fldChar w:fldCharType="begin"/>
      </w:r>
      <w:r w:rsidR="00CA7A9D">
        <w:instrText xml:space="preserve"> ADDIN ZOTERO_ITEM CSL_CITATION {"citationID":"a1qglg1omnk","properties":{"formattedCitation":"[65]","plainCitation":"[65]","noteIndex":0},"citationItems":[{"id":851,"uris":["http://zotero.org/users/12063231/items/HXBJX4RZ"],"itemData":{"id":851,"type":"article-journal","container-title":"Nature Communications","title":"Direct conversion of methane to aromatics and hydrogen via a heterogeneous trimetallic synergistic catalyst","volume":"Accepted","author":[{"family":"Zhu","given":"P"},{"family":"Bian","given":"W"},{"family":"Liu","given":"B"},{"family":"Deng","given":"H"},{"family":"Wang","given":"L"},{"family":"Huang","given":"X"},{"family":"Spence","given":"S"},{"family":"Lin","given":"F"},{"family":"Duan","given":"C"},{"family":"Ding","given":"P"},{"family":"Dong","given":"P"},{"family":"Ding H","given":""}],"issued":{"date-parts":[["2024"]]}}}],"schema":"https://github.com/citation-style-language/schema/raw/master/csl-citation.json"} </w:instrText>
      </w:r>
      <w:r>
        <w:fldChar w:fldCharType="separate"/>
      </w:r>
      <w:r w:rsidR="00CA7A9D" w:rsidRPr="00CA7A9D">
        <w:rPr>
          <w:rFonts w:ascii="Aptos" w:hAnsi="Aptos"/>
        </w:rPr>
        <w:t>[65]</w:t>
      </w:r>
      <w:r>
        <w:fldChar w:fldCharType="end"/>
      </w:r>
      <w:r>
        <w:t xml:space="preserve">. </w:t>
      </w:r>
    </w:p>
    <w:p w14:paraId="2568FD8B" w14:textId="3A655D32" w:rsidR="002249C8" w:rsidRDefault="002249C8" w:rsidP="002249C8">
      <w:r>
        <w:t xml:space="preserve">Zhu’s study used a novel heterogeneous trimetallic synergistic catalyst for MDA that incorporates the same foundational Mo/ZSM-5 catalyst of Jeong’s work, while adding platinum and bismuth for enhanced kinetics </w:t>
      </w:r>
      <w:r>
        <w:fldChar w:fldCharType="begin"/>
      </w:r>
      <w:r w:rsidR="00CA7A9D">
        <w:instrText xml:space="preserve"> ADDIN ZOTERO_ITEM CSL_CITATION {"citationID":"GQ7ZWvf0","properties":{"formattedCitation":"[65]","plainCitation":"[65]","noteIndex":0},"citationItems":[{"id":851,"uris":["http://zotero.org/users/12063231/items/HXBJX4RZ"],"itemData":{"id":851,"type":"article-journal","container-title":"Nature Communications","title":"Direct conversion of methane to aromatics and hydrogen via a heterogeneous trimetallic synergistic catalyst","volume":"Accepted","author":[{"family":"Zhu","given":"P"},{"family":"Bian","given":"W"},{"family":"Liu","given":"B"},{"family":"Deng","given":"H"},{"family":"Wang","given":"L"},{"family":"Huang","given":"X"},{"family":"Spence","given":"S"},{"family":"Lin","given":"F"},{"family":"Duan","given":"C"},{"family":"Ding","given":"P"},{"family":"Dong","given":"P"},{"family":"Ding H","given":""}],"issued":{"date-parts":[["2024"]]}}}],"schema":"https://github.com/citation-style-language/schema/raw/master/csl-citation.json"} </w:instrText>
      </w:r>
      <w:r>
        <w:fldChar w:fldCharType="separate"/>
      </w:r>
      <w:r w:rsidR="00CA7A9D" w:rsidRPr="00CA7A9D">
        <w:rPr>
          <w:rFonts w:ascii="Aptos" w:hAnsi="Aptos"/>
        </w:rPr>
        <w:t>[65]</w:t>
      </w:r>
      <w:r>
        <w:fldChar w:fldCharType="end"/>
      </w:r>
      <w:r>
        <w:t xml:space="preserve">. Due to the similarities of the catalysts in Jeong’s and Zhu et al.’s studies, the activation energies are kept identical to Jeong’s work and only the rate constants are adjusted so the outputs from the FBR model matched the experimental work of Zhu et al. </w:t>
      </w:r>
      <w:r>
        <w:fldChar w:fldCharType="begin"/>
      </w:r>
      <w:r w:rsidR="00CA7A9D">
        <w:instrText xml:space="preserve"> ADDIN ZOTERO_ITEM CSL_CITATION {"citationID":"a15r8i4onhn","properties":{"formattedCitation":"[65]","plainCitation":"[65]","noteIndex":0},"citationItems":[{"id":851,"uris":["http://zotero.org/users/12063231/items/HXBJX4RZ"],"itemData":{"id":851,"type":"article-journal","container-title":"Nature Communications","title":"Direct conversion of methane to aromatics and hydrogen via a heterogeneous trimetallic synergistic catalyst","volume":"Accepted","author":[{"family":"Zhu","given":"P"},{"family":"Bian","given":"W"},{"family":"Liu","given":"B"},{"family":"Deng","given":"H"},{"family":"Wang","given":"L"},{"family":"Huang","given":"X"},{"family":"Spence","given":"S"},{"family":"Lin","given":"F"},{"family":"Duan","given":"C"},{"family":"Ding","given":"P"},{"family":"Dong","given":"P"},{"family":"Ding H","given":""}],"issued":{"date-parts":[["2024"]]}}}],"schema":"https://github.com/citation-style-language/schema/raw/master/csl-citation.json"} </w:instrText>
      </w:r>
      <w:r>
        <w:fldChar w:fldCharType="separate"/>
      </w:r>
      <w:r w:rsidR="00CA7A9D" w:rsidRPr="00CA7A9D">
        <w:rPr>
          <w:rFonts w:ascii="Aptos" w:hAnsi="Aptos"/>
        </w:rPr>
        <w:t>[65]</w:t>
      </w:r>
      <w:r>
        <w:fldChar w:fldCharType="end"/>
      </w:r>
      <w:r>
        <w:t xml:space="preserve">. After testing a variety of different catalyst compositions, the final version of the catalyst consistently achieved 16-20% methane conversion, and around 70% selectivity for benzene, with the remaining 30% being split among coke, </w:t>
      </w:r>
      <m:oMath>
        <m:sSub>
          <m:sSubPr>
            <m:ctrlPr>
              <w:rPr>
                <w:rFonts w:ascii="Cambria Math" w:hAnsi="Cambria Math"/>
                <w:i/>
              </w:rPr>
            </m:ctrlPr>
          </m:sSubPr>
          <m:e>
            <m:r>
              <w:rPr>
                <w:rFonts w:ascii="Cambria Math" w:hAnsi="Cambria Math"/>
              </w:rPr>
              <m:t>C</m:t>
            </m:r>
          </m:e>
          <m:sub>
            <m:r>
              <w:rPr>
                <w:rFonts w:ascii="Cambria Math" w:hAnsi="Cambria Math"/>
              </w:rPr>
              <m:t>2</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7</m:t>
            </m:r>
          </m:sub>
        </m:sSub>
      </m:oMath>
      <w:r>
        <w:rPr>
          <w:rFonts w:eastAsiaTheme="minorEastAsia"/>
        </w:rPr>
        <w:t xml:space="preserve"> byproducts </w:t>
      </w:r>
      <w:r>
        <w:rPr>
          <w:rFonts w:eastAsiaTheme="minorEastAsia"/>
        </w:rPr>
        <w:fldChar w:fldCharType="begin"/>
      </w:r>
      <w:r w:rsidR="00CA7A9D">
        <w:rPr>
          <w:rFonts w:eastAsiaTheme="minorEastAsia"/>
        </w:rPr>
        <w:instrText xml:space="preserve"> ADDIN ZOTERO_ITEM CSL_CITATION {"citationID":"apfqnv5vj0","properties":{"formattedCitation":"[65]","plainCitation":"[65]","noteIndex":0},"citationItems":[{"id":851,"uris":["http://zotero.org/users/12063231/items/HXBJX4RZ"],"itemData":{"id":851,"type":"article-journal","container-title":"Nature Communications","title":"Direct conversion of methane to aromatics and hydrogen via a heterogeneous trimetallic synergistic catalyst","volume":"Accepted","author":[{"family":"Zhu","given":"P"},{"family":"Bian","given":"W"},{"family":"Liu","given":"B"},{"family":"Deng","given":"H"},{"family":"Wang","given":"L"},{"family":"Huang","given":"X"},{"family":"Spence","given":"S"},{"family":"Lin","given":"F"},{"family":"Duan","given":"C"},{"family":"Ding","given":"P"},{"family":"Dong","given":"P"},{"family":"Ding H","given":""}],"issued":{"date-parts":[["2024"]]}}}],"schema":"https://github.com/citation-style-language/schema/raw/master/csl-citation.json"} </w:instrText>
      </w:r>
      <w:r>
        <w:rPr>
          <w:rFonts w:eastAsiaTheme="minorEastAsia"/>
        </w:rPr>
        <w:fldChar w:fldCharType="separate"/>
      </w:r>
      <w:r w:rsidR="00CA7A9D" w:rsidRPr="00CA7A9D">
        <w:rPr>
          <w:rFonts w:ascii="Aptos" w:hAnsi="Aptos"/>
        </w:rPr>
        <w:t>[65]</w:t>
      </w:r>
      <w:r>
        <w:rPr>
          <w:rFonts w:eastAsiaTheme="minorEastAsia"/>
        </w:rPr>
        <w:fldChar w:fldCharType="end"/>
      </w:r>
      <w:r>
        <w:t xml:space="preserve">. Therefore, these are set as the target values for the FBR model. It is assumed that the majority of the </w:t>
      </w:r>
      <m:oMath>
        <m:sSub>
          <m:sSubPr>
            <m:ctrlPr>
              <w:rPr>
                <w:rFonts w:ascii="Cambria Math" w:hAnsi="Cambria Math"/>
                <w:i/>
              </w:rPr>
            </m:ctrlPr>
          </m:sSubPr>
          <m:e>
            <m:r>
              <w:rPr>
                <w:rFonts w:ascii="Cambria Math" w:hAnsi="Cambria Math"/>
              </w:rPr>
              <m:t>C</m:t>
            </m:r>
          </m:e>
          <m:sub>
            <m:r>
              <w:rPr>
                <w:rFonts w:ascii="Cambria Math" w:hAnsi="Cambria Math"/>
              </w:rPr>
              <m:t>2</m:t>
            </m:r>
          </m:sub>
        </m:sSub>
      </m:oMath>
      <w:r>
        <w:rPr>
          <w:rFonts w:eastAsiaTheme="minorEastAsia"/>
        </w:rPr>
        <w:t xml:space="preserve"> products are ethylene, so that is the only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oMath>
      <w:r>
        <w:rPr>
          <w:rFonts w:eastAsiaTheme="minorEastAsia"/>
        </w:rPr>
        <w:t xml:space="preserve"> product considered, as shown in </w:t>
      </w:r>
      <w:r>
        <w:rPr>
          <w:rFonts w:eastAsiaTheme="minorEastAsia"/>
        </w:rPr>
        <w:fldChar w:fldCharType="begin"/>
      </w:r>
      <w:r>
        <w:rPr>
          <w:rFonts w:eastAsiaTheme="minorEastAsia"/>
        </w:rPr>
        <w:instrText xml:space="preserve"> REF _Ref163132405 \h </w:instrText>
      </w:r>
      <w:r>
        <w:rPr>
          <w:rFonts w:eastAsiaTheme="minorEastAsia"/>
        </w:rPr>
      </w:r>
      <w:r>
        <w:rPr>
          <w:rFonts w:eastAsiaTheme="minorEastAsia"/>
        </w:rPr>
        <w:fldChar w:fldCharType="separate"/>
      </w:r>
      <w:r>
        <w:t>Figure 4.</w:t>
      </w:r>
      <w:r>
        <w:rPr>
          <w:noProof/>
        </w:rPr>
        <w:t>1</w:t>
      </w:r>
      <w:r>
        <w:rPr>
          <w:rFonts w:eastAsiaTheme="minorEastAsia"/>
        </w:rPr>
        <w:fldChar w:fldCharType="end"/>
      </w:r>
      <w:r>
        <w:rPr>
          <w:rFonts w:eastAsiaTheme="minorEastAsia"/>
        </w:rPr>
        <w:t>.</w:t>
      </w:r>
    </w:p>
    <w:p w14:paraId="47D38ABF" w14:textId="77777777" w:rsidR="002249C8" w:rsidRDefault="002249C8" w:rsidP="002249C8">
      <w:pPr>
        <w:keepNext/>
        <w:jc w:val="center"/>
      </w:pPr>
      <w:r>
        <w:rPr>
          <w:noProof/>
        </w:rPr>
        <mc:AlternateContent>
          <mc:Choice Requires="wps">
            <w:drawing>
              <wp:anchor distT="45720" distB="45720" distL="114300" distR="114300" simplePos="0" relativeHeight="251674624" behindDoc="0" locked="0" layoutInCell="1" allowOverlap="1" wp14:anchorId="59829A6D" wp14:editId="026B3BE4">
                <wp:simplePos x="0" y="0"/>
                <wp:positionH relativeFrom="column">
                  <wp:posOffset>5605673</wp:posOffset>
                </wp:positionH>
                <wp:positionV relativeFrom="paragraph">
                  <wp:posOffset>1840542</wp:posOffset>
                </wp:positionV>
                <wp:extent cx="1054728" cy="1404620"/>
                <wp:effectExtent l="230187" t="0" r="280988" b="0"/>
                <wp:wrapNone/>
                <wp:docPr id="825664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18746">
                          <a:off x="0" y="0"/>
                          <a:ext cx="1054728" cy="1404620"/>
                        </a:xfrm>
                        <a:prstGeom prst="rect">
                          <a:avLst/>
                        </a:prstGeom>
                        <a:noFill/>
                        <a:ln w="9525">
                          <a:noFill/>
                          <a:miter lim="800000"/>
                          <a:headEnd/>
                          <a:tailEnd/>
                        </a:ln>
                      </wps:spPr>
                      <wps:txbx>
                        <w:txbxContent>
                          <w:p w14:paraId="31469A3F" w14:textId="77777777" w:rsidR="002249C8" w:rsidRPr="00D13164" w:rsidRDefault="002249C8" w:rsidP="002249C8">
                            <w:pPr>
                              <w:spacing w:line="240" w:lineRule="auto"/>
                              <w:ind w:firstLine="0"/>
                              <w:rPr>
                                <w:sz w:val="18"/>
                                <w:szCs w:val="18"/>
                              </w:rPr>
                            </w:pPr>
                            <w:r w:rsidRPr="00D13164">
                              <w:rPr>
                                <w:sz w:val="18"/>
                                <w:szCs w:val="18"/>
                              </w:rPr>
                              <w:t>Experimental Data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9829A6D" id="_x0000_t202" coordsize="21600,21600" o:spt="202" path="m,l,21600r21600,l21600,xe">
                <v:stroke joinstyle="miter"/>
                <v:path gradientshapeok="t" o:connecttype="rect"/>
              </v:shapetype>
              <v:shape id="Text Box 2" o:spid="_x0000_s1026" type="#_x0000_t202" style="position:absolute;left:0;text-align:left;margin-left:441.4pt;margin-top:144.9pt;width:83.05pt;height:110.6pt;rotation:2969596fd;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CrcAwIAANwDAAAOAAAAZHJzL2Uyb0RvYy54bWysU9uO0zAQfUfiHyy/01yUXjZqulp2KUJa&#10;FqSFD3Adp7GwPcZ2m5SvZ+xUbQVviDxYdmZ8Zs6Z4/X9qBU5CuclmIYWs5wSYTi00uwb+v3b9t2K&#10;Eh+YaZkCIxp6Ep7eb96+WQ+2FiX0oFrhCIIYXw+2oX0Its4yz3uhmZ+BFQaDHTjNAh7dPmsdGxBd&#10;q6zM80U2gGutAy68x79PU5BuEn7XCR6+dJ0XgaiGYm8hrS6tu7hmmzWr947ZXvJzG+wfutBMGix6&#10;gXpigZGDk39BackdeOjCjIPOoOskF4kDsinyP9i89syKxAXF8fYik/9/sPzl+Gq/OhLG9zDiABMJ&#10;b5+B//DEwGPPzF48OAdDL1iLhYsoWTZYX5+vRql97SPIbvgMLQ6ZHQIkoLFzmjhA1ctlsVpWi/QX&#10;WROsheM4XUYgxkB4bCCfV8sSTcMxVlR5tSjTkDJWR7AosXU+fBSgSdw01OGMEyw7PvsQm7umxHQD&#10;W6lUmrMyZGjo3bycpws3ES0D2lBJ3dBVHr/JGJHzB9Omy4FJNe2xgDJnESLvSYEw7kZMjGLsoD2h&#10;HIk4ssTngX324H5RMqDVGup/HpgTlKhPBiW9K6oqejMdqvkSGRN3G9ndRpjhCNXQQMm0fQzJz5Gr&#10;tw8o/VYmGa6dnHtFCyV1znaPHr09p6zro9z8BgAA//8DAFBLAwQUAAYACAAAACEAtJXTteIAAAAM&#10;AQAADwAAAGRycy9kb3ducmV2LnhtbEyPy07DMBBF90j8gzVI7Khd0jRRmklVUbpjQQtIXbqxSaL6&#10;kdpOE/4edwW7Gc3RnXPL9aQVuUrnO2sQ5jMGRJrais40CJ8fu6cciA/cCK6skQg/0sO6ur8reSHs&#10;aPbyeggNiSHGFxyhDaEvKPV1KzX3M9tLE2/f1mke4uoaKhwfY7hW9JmxJdW8M/FDy3v50sr6fBg0&#10;wvb8rtjRvWahGert2/h12Yy7C+Ljw7RZAQlyCn8w3PSjOlTR6WQHIzxRCHmaJhFFSOZZHG4Ey5Yp&#10;kBPCIk8WQKuS/i9R/QIAAP//AwBQSwECLQAUAAYACAAAACEAtoM4kv4AAADhAQAAEwAAAAAAAAAA&#10;AAAAAAAAAAAAW0NvbnRlbnRfVHlwZXNdLnhtbFBLAQItABQABgAIAAAAIQA4/SH/1gAAAJQBAAAL&#10;AAAAAAAAAAAAAAAAAC8BAABfcmVscy8ucmVsc1BLAQItABQABgAIAAAAIQDQUCrcAwIAANwDAAAO&#10;AAAAAAAAAAAAAAAAAC4CAABkcnMvZTJvRG9jLnhtbFBLAQItABQABgAIAAAAIQC0ldO14gAAAAwB&#10;AAAPAAAAAAAAAAAAAAAAAF0EAABkcnMvZG93bnJldi54bWxQSwUGAAAAAAQABADzAAAAbAUAAAAA&#10;" filled="f" stroked="f">
                <v:textbox style="mso-fit-shape-to-text:t">
                  <w:txbxContent>
                    <w:p w14:paraId="31469A3F" w14:textId="77777777" w:rsidR="002249C8" w:rsidRPr="00D13164" w:rsidRDefault="002249C8" w:rsidP="002249C8">
                      <w:pPr>
                        <w:spacing w:line="240" w:lineRule="auto"/>
                        <w:ind w:firstLine="0"/>
                        <w:rPr>
                          <w:sz w:val="18"/>
                          <w:szCs w:val="18"/>
                        </w:rPr>
                      </w:pPr>
                      <w:r w:rsidRPr="00D13164">
                        <w:rPr>
                          <w:sz w:val="18"/>
                          <w:szCs w:val="18"/>
                        </w:rPr>
                        <w:t>Experimental Data</w:t>
                      </w:r>
                    </w:p>
                  </w:txbxContent>
                </v:textbox>
              </v:shape>
            </w:pict>
          </mc:Fallback>
        </mc:AlternateContent>
      </w:r>
      <w:r>
        <w:rPr>
          <w:noProof/>
        </w:rPr>
        <mc:AlternateContent>
          <mc:Choice Requires="wps">
            <w:drawing>
              <wp:anchor distT="45720" distB="45720" distL="114300" distR="114300" simplePos="0" relativeHeight="251673600" behindDoc="0" locked="0" layoutInCell="1" allowOverlap="1" wp14:anchorId="66E549B5" wp14:editId="05498139">
                <wp:simplePos x="0" y="0"/>
                <wp:positionH relativeFrom="column">
                  <wp:posOffset>4480454</wp:posOffset>
                </wp:positionH>
                <wp:positionV relativeFrom="paragraph">
                  <wp:posOffset>2141786</wp:posOffset>
                </wp:positionV>
                <wp:extent cx="905346" cy="1404620"/>
                <wp:effectExtent l="0" t="0" r="0" b="19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346" cy="1404620"/>
                        </a:xfrm>
                        <a:prstGeom prst="rect">
                          <a:avLst/>
                        </a:prstGeom>
                        <a:noFill/>
                        <a:ln w="9525">
                          <a:noFill/>
                          <a:miter lim="800000"/>
                          <a:headEnd/>
                          <a:tailEnd/>
                        </a:ln>
                      </wps:spPr>
                      <wps:txbx>
                        <w:txbxContent>
                          <w:p w14:paraId="7C98371A" w14:textId="77777777" w:rsidR="002249C8" w:rsidRPr="00EF09FA" w:rsidRDefault="002249C8" w:rsidP="002249C8">
                            <w:pPr>
                              <w:rPr>
                                <w:sz w:val="18"/>
                                <w:szCs w:val="18"/>
                              </w:rPr>
                            </w:pPr>
                            <w:r w:rsidRPr="00EF09FA">
                              <w:rPr>
                                <w:sz w:val="18"/>
                                <w:szCs w:val="18"/>
                              </w:rPr>
                              <w:t>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E549B5" id="_x0000_s1027" type="#_x0000_t202" style="position:absolute;left:0;text-align:left;margin-left:352.8pt;margin-top:168.65pt;width:71.3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Bui/AEAANQDAAAOAAAAZHJzL2Uyb0RvYy54bWysU9uO2yAQfa/Uf0C8N7ZTJ9214qy2u01V&#10;aXuRtv0AjHGMCgwFEjv9+h2wNxu1b1X9gAbGnJlz5rC5GbUiR+G8BFPTYpFTIgyHVpp9TX983725&#10;osQHZlqmwIianoSnN9vXrzaDrcQSelCtcARBjK8GW9M+BFtlmee90MwvwAqDyQ6cZgG3bp+1jg2I&#10;rlW2zPN1NoBrrQMuvMfT+ylJtwm/6wQPX7vOi0BUTbG3kFaX1iau2XbDqr1jtpd8boP9QxeaSYNF&#10;z1D3LDBycPIvKC25Aw9dWHDQGXSd5CJxQDZF/gebx55ZkbigON6eZfL/D5Z/OT7ab46E8T2MOMBE&#10;wtsH4D89MXDXM7MXt87B0AvWYuEiSpYN1lfz1Si1r3wEaYbP0OKQ2SFAAho7p6MqyJMgOg7gdBZd&#10;jIFwPLzOV2/LNSUcU0WZl+tlmkrGqufb1vnwUYAmMaipw6EmdHZ88CF2w6rnX2IxAzupVBqsMmTA&#10;CqvlKl24yGgZ0HdK6ppe5fGbnBBJfjBtuhyYVFOMBZSZWUeiE+UwNiOR7SxJFKGB9oQyOJhshs8C&#10;gx7cb0oGtFhN/a8Dc4IS9cmglNdFWUZPpk25eofEibvMNJcZZjhC1TRQMoV3Ifk4Uvb2FiXfyaTG&#10;Sydzy2idJNJs8+jNy3366+Uxbp8AAAD//wMAUEsDBBQABgAIAAAAIQAsW1Aw4AAAAAsBAAAPAAAA&#10;ZHJzL2Rvd25yZXYueG1sTI/BTsMwEETvSPyDtUjcqE1CmihkU1WoLUegRJzd2CQR8dqK3TT8PeYE&#10;x9U8zbytNosZ2awnP1hCuF8JYJpaqwbqEJr3/V0BzAdJSo6WNMK39rCpr68qWSp7oTc9H0PHYgn5&#10;UiL0IbiSc9/22ki/sk5TzD7tZGSI59RxNclLLDcjT4RYcyMHigu9dPqp1+3X8WwQXHCH/Hl6ed3u&#10;9rNoPg5NMnQ7xNubZfsILOgl/MHwqx/VoY5OJ3sm5dmIkItsHVGENM1TYJEoHooE2Akhy4oMeF3x&#10;/z/UPwAAAP//AwBQSwECLQAUAAYACAAAACEAtoM4kv4AAADhAQAAEwAAAAAAAAAAAAAAAAAAAAAA&#10;W0NvbnRlbnRfVHlwZXNdLnhtbFBLAQItABQABgAIAAAAIQA4/SH/1gAAAJQBAAALAAAAAAAAAAAA&#10;AAAAAC8BAABfcmVscy8ucmVsc1BLAQItABQABgAIAAAAIQCU8Bui/AEAANQDAAAOAAAAAAAAAAAA&#10;AAAAAC4CAABkcnMvZTJvRG9jLnhtbFBLAQItABQABgAIAAAAIQAsW1Aw4AAAAAsBAAAPAAAAAAAA&#10;AAAAAAAAAFYEAABkcnMvZG93bnJldi54bWxQSwUGAAAAAAQABADzAAAAYwUAAAAA&#10;" filled="f" stroked="f">
                <v:textbox style="mso-fit-shape-to-text:t">
                  <w:txbxContent>
                    <w:p w14:paraId="7C98371A" w14:textId="77777777" w:rsidR="002249C8" w:rsidRPr="00EF09FA" w:rsidRDefault="002249C8" w:rsidP="002249C8">
                      <w:pPr>
                        <w:rPr>
                          <w:sz w:val="18"/>
                          <w:szCs w:val="18"/>
                        </w:rPr>
                      </w:pPr>
                      <w:r w:rsidRPr="00EF09FA">
                        <w:rPr>
                          <w:sz w:val="18"/>
                          <w:szCs w:val="18"/>
                        </w:rPr>
                        <w:t>L</w:t>
                      </w:r>
                    </w:p>
                  </w:txbxContent>
                </v:textbox>
              </v:shape>
            </w:pict>
          </mc:Fallback>
        </mc:AlternateContent>
      </w:r>
      <w:r>
        <w:rPr>
          <w:noProof/>
        </w:rPr>
        <mc:AlternateContent>
          <mc:Choice Requires="wps">
            <w:drawing>
              <wp:anchor distT="45720" distB="45720" distL="114300" distR="114300" simplePos="0" relativeHeight="251675648" behindDoc="0" locked="0" layoutInCell="1" allowOverlap="1" wp14:anchorId="6FEF115D" wp14:editId="417A1CB0">
                <wp:simplePos x="0" y="0"/>
                <wp:positionH relativeFrom="column">
                  <wp:posOffset>1068787</wp:posOffset>
                </wp:positionH>
                <wp:positionV relativeFrom="paragraph">
                  <wp:posOffset>1899285</wp:posOffset>
                </wp:positionV>
                <wp:extent cx="904875" cy="1404620"/>
                <wp:effectExtent l="0" t="0" r="0" b="0"/>
                <wp:wrapNone/>
                <wp:docPr id="11043090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404620"/>
                        </a:xfrm>
                        <a:prstGeom prst="rect">
                          <a:avLst/>
                        </a:prstGeom>
                        <a:noFill/>
                        <a:ln w="9525">
                          <a:noFill/>
                          <a:miter lim="800000"/>
                          <a:headEnd/>
                          <a:tailEnd/>
                        </a:ln>
                      </wps:spPr>
                      <wps:txbx>
                        <w:txbxContent>
                          <w:p w14:paraId="7686E6F0" w14:textId="77777777" w:rsidR="002249C8" w:rsidRPr="00EF09FA" w:rsidRDefault="002249C8" w:rsidP="002249C8">
                            <w:pPr>
                              <w:ind w:firstLine="0"/>
                              <w:rPr>
                                <w:sz w:val="18"/>
                                <w:szCs w:val="18"/>
                              </w:rPr>
                            </w:pPr>
                            <m:oMathPara>
                              <m:oMath>
                                <m:r>
                                  <w:rPr>
                                    <w:rFonts w:ascii="Cambria Math" w:hAnsi="Cambria Math"/>
                                    <w:sz w:val="18"/>
                                    <w:szCs w:val="18"/>
                                  </w:rPr>
                                  <m:t>x=</m:t>
                                </m:r>
                              </m:oMath>
                            </m:oMathPara>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EF115D" id="_x0000_s1028" type="#_x0000_t202" style="position:absolute;left:0;text-align:left;margin-left:84.15pt;margin-top:149.55pt;width:71.25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HXq/QEAANQDAAAOAAAAZHJzL2Uyb0RvYy54bWysU9Fu2yAUfZ+0f0C8L7Yjp02tOFXXLtOk&#10;rpvU7QMwxjEacBmQ2NnX74LdNNrepvkBAdf33HvOPWxuR63IUTgvwdS0WOSUCMOhlWZf0+/fdu/W&#10;lPjATMsUGFHTk/D0dvv2zWawlVhCD6oVjiCI8dVga9qHYKss87wXmvkFWGEw2IHTLODR7bPWsQHR&#10;tcqWeX6VDeBa64AL7/H2YQrSbcLvOsHDl67zIhBVU+wtpNWltYlrtt2wau+Y7SWf22D/0IVm0mDR&#10;M9QDC4wcnPwLSkvuwEMXFhx0Bl0nuUgckE2R/8HmuWdWJC4ojrdnmfz/g+VPx2f71ZEwvocRB5hI&#10;ePsI/IcnBu57ZvbizjkYesFaLFxEybLB+mpOjVL7ykeQZvgMLQ6ZHQIkoLFzOqqCPAmi4wBOZ9HF&#10;GAjHy5u8XF+vKOEYKsq8vFqmqWSsesm2zoePAjSJm5o6HGpCZ8dHH2I3rHr5JRYzsJNKpcEqQwas&#10;sFquUsJFRMuAvlNS13Sdx29yQiT5wbQpOTCppj0WUGZmHYlOlMPYjES2NV3G3ChCA+0JZXAw2Qyf&#10;BW56cL8oGdBiNfU/D8wJStQng1LeFGUZPZkO5eoaiRN3GWkuI8xwhKppoGTa3ofk40jZ2zuUfCeT&#10;Gq+dzC2jdZJIs82jNy/P6a/Xx7j9DQAA//8DAFBLAwQUAAYACAAAACEAa8c/JN8AAAALAQAADwAA&#10;AGRycy9kb3ducmV2LnhtbEyPy07DMBBF90j8gzVI7KidRJQ2xKkq1JYlUCLWbjwkEfFDtpuGv2dY&#10;wfJqju6cW21mM7IJQxyclZAtBDC0rdOD7SQ07/u7FbCYlNVqdBYlfGOETX19ValSu4t9w+mYOkYl&#10;NpZKQp+SLzmPbY9GxYXzaOn26YJRiWLouA7qQuVm5LkQS27UYOlDrzw+9dh+Hc9Ggk/+8PAcXl63&#10;u/0kmo9Dkw/dTsrbm3n7CCzhnP5g+NUndajJ6eTOVkc2Ul6uCkIl5Ot1BoyIIhM05iThPhcF8Lri&#10;/zfUPwAAAP//AwBQSwECLQAUAAYACAAAACEAtoM4kv4AAADhAQAAEwAAAAAAAAAAAAAAAAAAAAAA&#10;W0NvbnRlbnRfVHlwZXNdLnhtbFBLAQItABQABgAIAAAAIQA4/SH/1gAAAJQBAAALAAAAAAAAAAAA&#10;AAAAAC8BAABfcmVscy8ucmVsc1BLAQItABQABgAIAAAAIQC6zHXq/QEAANQDAAAOAAAAAAAAAAAA&#10;AAAAAC4CAABkcnMvZTJvRG9jLnhtbFBLAQItABQABgAIAAAAIQBrxz8k3wAAAAsBAAAPAAAAAAAA&#10;AAAAAAAAAFcEAABkcnMvZG93bnJldi54bWxQSwUGAAAAAAQABADzAAAAYwUAAAAA&#10;" filled="f" stroked="f">
                <v:textbox style="mso-fit-shape-to-text:t">
                  <w:txbxContent>
                    <w:p w14:paraId="7686E6F0" w14:textId="77777777" w:rsidR="002249C8" w:rsidRPr="00EF09FA" w:rsidRDefault="002249C8" w:rsidP="002249C8">
                      <w:pPr>
                        <w:ind w:firstLine="0"/>
                        <w:rPr>
                          <w:sz w:val="18"/>
                          <w:szCs w:val="18"/>
                        </w:rPr>
                      </w:pPr>
                      <m:oMathPara>
                        <m:oMath>
                          <m:r>
                            <w:rPr>
                              <w:rFonts w:ascii="Cambria Math" w:hAnsi="Cambria Math"/>
                              <w:sz w:val="18"/>
                              <w:szCs w:val="18"/>
                            </w:rPr>
                            <m:t>x=</m:t>
                          </m:r>
                        </m:oMath>
                      </m:oMathPara>
                    </w:p>
                  </w:txbxContent>
                </v:textbox>
              </v:shape>
            </w:pict>
          </mc:Fallback>
        </mc:AlternateContent>
      </w:r>
      <w:r>
        <w:rPr>
          <w:noProof/>
        </w:rPr>
        <w:drawing>
          <wp:inline distT="0" distB="0" distL="0" distR="0" wp14:anchorId="04AB682E" wp14:editId="3EC850D4">
            <wp:extent cx="4587240" cy="2825332"/>
            <wp:effectExtent l="0" t="0" r="3810" b="0"/>
            <wp:docPr id="834730812" name="Chart 1">
              <a:extLst xmlns:a="http://schemas.openxmlformats.org/drawingml/2006/main">
                <a:ext uri="{FF2B5EF4-FFF2-40B4-BE49-F238E27FC236}">
                  <a16:creationId xmlns:a16="http://schemas.microsoft.com/office/drawing/2014/main" id="{A2B315B3-8871-BCC6-8DE7-C12B4A2895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97EA5A5" w14:textId="18578FC3" w:rsidR="002249C8" w:rsidRDefault="002249C8" w:rsidP="002249C8">
      <w:pPr>
        <w:pStyle w:val="Caption"/>
      </w:pPr>
      <w:bookmarkStart w:id="94" w:name="_Ref163132405"/>
      <w:bookmarkStart w:id="95" w:name="_Toc165641138"/>
      <w:r>
        <w:t>Figure 4.</w:t>
      </w:r>
      <w:r>
        <w:fldChar w:fldCharType="begin"/>
      </w:r>
      <w:r>
        <w:instrText xml:space="preserve"> SEQ Figure \* ARABIC </w:instrText>
      </w:r>
      <w:r>
        <w:fldChar w:fldCharType="separate"/>
      </w:r>
      <w:r>
        <w:rPr>
          <w:noProof/>
        </w:rPr>
        <w:t>1</w:t>
      </w:r>
      <w:r>
        <w:fldChar w:fldCharType="end"/>
      </w:r>
      <w:bookmarkEnd w:id="94"/>
      <w:r>
        <w:t xml:space="preserve">: FBR model comparison to experimental data from </w:t>
      </w:r>
      <w:r>
        <w:fldChar w:fldCharType="begin"/>
      </w:r>
      <w:r w:rsidR="00CA7A9D">
        <w:instrText xml:space="preserve"> ADDIN ZOTERO_ITEM CSL_CITATION {"citationID":"OhFyKadT","properties":{"formattedCitation":"[65]","plainCitation":"[65]","noteIndex":0},"citationItems":[{"id":851,"uris":["http://zotero.org/users/12063231/items/HXBJX4RZ"],"itemData":{"id":851,"type":"article-journal","container-title":"Nature Communications","title":"Direct conversion of methane to aromatics and hydrogen via a heterogeneous trimetallic synergistic catalyst","volume":"Accepted","author":[{"family":"Zhu","given":"P"},{"family":"Bian","given":"W"},{"family":"Liu","given":"B"},{"family":"Deng","given":"H"},{"family":"Wang","given":"L"},{"family":"Huang","given":"X"},{"family":"Spence","given":"S"},{"family":"Lin","given":"F"},{"family":"Duan","given":"C"},{"family":"Ding","given":"P"},{"family":"Dong","given":"P"},{"family":"Ding H","given":""}],"issued":{"date-parts":[["2024"]]}}}],"schema":"https://github.com/citation-style-language/schema/raw/master/csl-citation.json"} </w:instrText>
      </w:r>
      <w:r>
        <w:fldChar w:fldCharType="separate"/>
      </w:r>
      <w:r w:rsidR="00CA7A9D" w:rsidRPr="00CA7A9D">
        <w:rPr>
          <w:rFonts w:ascii="Aptos" w:hAnsi="Aptos"/>
          <w:sz w:val="22"/>
        </w:rPr>
        <w:t>[65]</w:t>
      </w:r>
      <w:bookmarkEnd w:id="95"/>
      <w:r>
        <w:fldChar w:fldCharType="end"/>
      </w:r>
    </w:p>
    <w:p w14:paraId="2AA55FC4" w14:textId="77777777" w:rsidR="002249C8" w:rsidRDefault="002249C8" w:rsidP="002249C8">
      <w:r>
        <w:fldChar w:fldCharType="begin"/>
      </w:r>
      <w:r>
        <w:instrText xml:space="preserve"> REF _Ref163132405 \h </w:instrText>
      </w:r>
      <w:r>
        <w:fldChar w:fldCharType="separate"/>
      </w:r>
      <w:r>
        <w:t>Figure 4.</w:t>
      </w:r>
      <w:r>
        <w:rPr>
          <w:noProof/>
        </w:rPr>
        <w:t>1</w:t>
      </w:r>
      <w:r>
        <w:fldChar w:fldCharType="end"/>
      </w:r>
      <w:r>
        <w:t xml:space="preserve"> shows the results of the model as the process flows through the reactor from the inlet </w:t>
      </w:r>
      <m:oMath>
        <m:d>
          <m:dPr>
            <m:ctrlPr>
              <w:rPr>
                <w:rFonts w:ascii="Cambria Math" w:eastAsiaTheme="minorEastAsia" w:hAnsi="Cambria Math"/>
                <w:i/>
              </w:rPr>
            </m:ctrlPr>
          </m:dPr>
          <m:e>
            <m:r>
              <w:rPr>
                <w:rFonts w:ascii="Cambria Math" w:hAnsi="Cambria Math"/>
              </w:rPr>
              <m:t>x=0</m:t>
            </m:r>
          </m:e>
        </m:d>
      </m:oMath>
      <w:r>
        <w:rPr>
          <w:rFonts w:eastAsiaTheme="minorEastAsia"/>
        </w:rPr>
        <w:t xml:space="preserve"> to the outlet </w:t>
      </w:r>
      <m:oMath>
        <m:d>
          <m:dPr>
            <m:ctrlPr>
              <w:rPr>
                <w:rFonts w:ascii="Cambria Math" w:eastAsiaTheme="minorEastAsia" w:hAnsi="Cambria Math"/>
                <w:i/>
              </w:rPr>
            </m:ctrlPr>
          </m:dPr>
          <m:e>
            <m:r>
              <w:rPr>
                <w:rFonts w:ascii="Cambria Math" w:eastAsiaTheme="minorEastAsia" w:hAnsi="Cambria Math"/>
              </w:rPr>
              <m:t>x=L</m:t>
            </m:r>
          </m:e>
        </m:d>
      </m:oMath>
      <w:r>
        <w:rPr>
          <w:rFonts w:eastAsiaTheme="minorEastAsia"/>
        </w:rPr>
        <w:t xml:space="preserve">, compared to the experimental data which is dotted and shown on the right. These results are gathered </w:t>
      </w:r>
      <w:r>
        <w:t xml:space="preserve">running at the same operating temperature of 710 </w:t>
      </w:r>
      <m:oMath>
        <m:r>
          <w:rPr>
            <w:rFonts w:ascii="Cambria Math" w:hAnsi="Cambria Math"/>
          </w:rPr>
          <m:t>°</m:t>
        </m:r>
      </m:oMath>
      <w:r>
        <w:rPr>
          <w:rFonts w:eastAsiaTheme="minorEastAsia"/>
        </w:rPr>
        <w:t xml:space="preserve">C and space velocity of </w:t>
      </w:r>
      <m:oMath>
        <m:r>
          <w:rPr>
            <w:rFonts w:ascii="Cambria Math" w:eastAsiaTheme="minorEastAsia" w:hAnsi="Cambria Math"/>
          </w:rPr>
          <m:t>1.272 L∙</m:t>
        </m:r>
        <m:sSubSup>
          <m:sSubSupPr>
            <m:ctrlPr>
              <w:rPr>
                <w:rFonts w:ascii="Cambria Math" w:eastAsiaTheme="minorEastAsia" w:hAnsi="Cambria Math"/>
                <w:i/>
              </w:rPr>
            </m:ctrlPr>
          </m:sSubSupPr>
          <m:e>
            <m:r>
              <w:rPr>
                <w:rFonts w:ascii="Cambria Math" w:eastAsiaTheme="minorEastAsia" w:hAnsi="Cambria Math"/>
              </w:rPr>
              <m:t>g</m:t>
            </m:r>
          </m:e>
          <m:sub>
            <m:r>
              <w:rPr>
                <w:rFonts w:ascii="Cambria Math" w:eastAsiaTheme="minorEastAsia" w:hAnsi="Cambria Math"/>
              </w:rPr>
              <m:t>cat</m:t>
            </m:r>
          </m:sub>
          <m:sup>
            <m:r>
              <w:rPr>
                <w:rFonts w:ascii="Cambria Math" w:eastAsiaTheme="minorEastAsia" w:hAnsi="Cambria Math"/>
              </w:rPr>
              <m:t xml:space="preserve">      -1</m:t>
            </m:r>
          </m:sup>
        </m:sSub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-1</m:t>
            </m:r>
          </m:sup>
        </m:sSup>
        <m:r>
          <w:rPr>
            <w:rFonts w:ascii="Cambria Math" w:eastAsiaTheme="minorEastAsia" w:hAnsi="Cambria Math"/>
          </w:rPr>
          <m:t xml:space="preserve"> </m:t>
        </m:r>
      </m:oMath>
      <w:r>
        <w:t xml:space="preserve"> from Ding’s experimental work. While there is no visible difference in the outputs on the graph, the error in the points is approximately ~0.2% for the selectivity of benzene, </w:t>
      </w:r>
      <w:proofErr w:type="gramStart"/>
      <w:r>
        <w:t>toluene</w:t>
      </w:r>
      <w:proofErr w:type="gramEnd"/>
      <w:r>
        <w:t xml:space="preserve"> and coke, and ~.2% for ethylene, which are respectively considered negligible. The total methane conversion at the outlet is 18%, which is a reasonable estimate from Ding’s work for a steady state model. These results confirm the validity of the kinetics implemented in the FBR model. </w:t>
      </w:r>
    </w:p>
    <w:p w14:paraId="2557BE38" w14:textId="77777777" w:rsidR="002249C8" w:rsidRDefault="002249C8" w:rsidP="002249C8">
      <w:pPr>
        <w:pStyle w:val="Heading3"/>
      </w:pPr>
      <w:bookmarkStart w:id="96" w:name="_Toc165641088"/>
      <w:r>
        <w:t>4.1.3 Electrochemical Validation</w:t>
      </w:r>
      <w:bookmarkEnd w:id="96"/>
    </w:p>
    <w:p w14:paraId="32291FEB" w14:textId="5EAF6DA0" w:rsidR="002249C8" w:rsidRDefault="002249C8" w:rsidP="002249C8">
      <w:r>
        <w:t xml:space="preserve">The approaches and constants used for the electrochemical sub-model </w:t>
      </w:r>
      <w:r w:rsidR="0020124E">
        <w:t>are</w:t>
      </w:r>
      <w:r>
        <w:t xml:space="preserve"> initially  gathered from other validated fuel cell modeling studies, with PCFC studies used for constant data wherever possible </w:t>
      </w:r>
      <w:r>
        <w:fldChar w:fldCharType="begin"/>
      </w:r>
      <w:r w:rsidR="00CA7A9D">
        <w:instrText xml:space="preserve"> ADDIN ZOTERO_ITEM CSL_CITATION {"citationID":"a12889ime8d","properties":{"formattedCitation":"[33], [77], [88], [89], [90], [91]","plainCitation":"[33], [77], [88], [89], [90], [91]","noteIndex":0},"citationItems":[{"id":774,"uris":["http://zotero.org/users/12063231/items/RRTFAJZR"],"itemData":{"id":774,"type":"chapter","abstract":"&lt;p&gt;This chapter discusses the theory and performance of electrolysis cells based upon proton-conducting ceramics (protonic ceramic electrolysis cells (PCECs)). To put PCECs in perspective in relation to other ceramic-based electrochemical cells, the discussion initially compares oxygen-ion-conducting membranes as well as fuel-cell performance.&lt;/p&gt;","container-title":"High-Temperature Electrolysis: From fundamentals to applications","language":"en","note":"DOI: 10.1088/978-0-7503-3951-3ch12","publisher":"IOP Publishing","source":"iopscience.iop.org","title":"Thermodynamics, transport, and electrochemistry in protonic ceramic electrolysis cells","URL":"https://iopscience.iop.org/book/edit/978-0-7503-3951-3/chapter/bk978-0-7503-3951-3ch12","author":[{"family":"Zhu","given":"Huayang"},{"family":"Ricote","given":"Sandrine"},{"family":"Kee","given":"Robert J."}],"accessed":{"date-parts":[["2024",2,6]]},"issued":{"date-parts":[["2023",1,1]]}}},{"id":795,"uris":["http://zotero.org/users/12063231/items/BG39VTDM"],"itemData":{"id":795,"type":"article-journal","abstract":"The principal objective of the present work is to realize thermodynamic modeling and analysis of the Proton Ceramic Fuel Cell (PCFC); particular attention is given to evaluate and optimize the power density generated by PCFCs according to the electrolyte, anode, and cathode thicknesses, water content in the oxidant and fuel, operating temperature, current density, and voltage. To implement the thermodynamic model, the PCFC voltage is represented by the difference between the Nernst potential and the total voltage loss generated in the electrolyte and electrodes (ohmic, activation, and concentration overpotentials) during PCFC operation. A FORTRAN program is developed to study the impact of these parameters on PCFC power density. After comparing the obtained results in this investigation to those of literature that are measured experimentally, they are presented a good concordance with root mean square error (RMSE) and mean bias error of 0.0572 and 0.0058, respectively. The conducted optimization, in this work, is realized based on the graphical method. The most important conclusions are summed in two points, PCFC power density is proportional to the operating temperature, and it is inversely proportional to the electrolyte and electrodes thicknesses and fuel and air humidification.","container-title":"Arabian Journal for Science and Engineering","DOI":"10.1007/s13369-021-06262-7","ISSN":"2191-4281","issue":"5","journalAbbreviation":"Arab J Sci Eng","language":"en","page":"6355-6363","source":"Springer Link","title":"Thermodynamic Modeling and Analysis of Proton Ceramic Fuel Cells: Power Optimization","title-short":"Thermodynamic Modeling and Analysis of Proton Ceramic Fuel Cells","volume":"47","author":[{"family":"Sahli","given":"Youcef"}],"issued":{"date-parts":[["2022",5,1]]}}},{"id":789,"uris":["http://zotero.org/users/12063231/items/RYA57UQY"],"itemData":{"id":789,"type":"article-journal","abstract":"Mathematical modelling is an essential tool for the design of solid oxide fuel cells (SOFCs). The present paper aims to report on the development of a dynamic anode-supported intermediate temperature direct internal reforming planar solid oxide fuel cell stack model, that allows for both co-flow and counter-flow operation. The developed model consists of mass and energy balances, and an electrochemical model that relates the fuel and air gas composition and temperature to voltage, current density, and other relevant fuel cell variables. The electrochemical performance of the cell is analysed for several temperatures and fuel utilisations, by means of the voltage and power density versus current density curves. The steady-state performance of the cell and the impact of changes in fuel and air inlet temperatures, fuel utilisation, average current density, and flow configuration are studied. For a co-flow SOFC operating on a 10% pre-reformed methane fuel mixture with 75% fuel utilisation, inlet fuel and air temperatures of 1023K, average current density of 0.5Acm−2, and an air ratio of 8.5, an output voltage of 0.66V with a power density of 0.33Wcm−2 and a fuel efficiency of 47%, are predicted. It was found that cathode activation overpotentials represent the major source of voltage loss, followed by anode activation overpotentials and ohmic losses. For the same operating conditions, SOFC operation under counter-flow of the fuel and air gas streams has been shown to lead to steep temperature gradients and uneven current density distributions.","container-title":"Journal of Power Sources","DOI":"10.1016/j.jpowsour.2004.06.040","ISSN":"0378-7753","issue":"1","journalAbbreviation":"Journal of Power Sources","page":"120-136","source":"ScienceDirect","title":"Anode-supported intermediate temperature direct internal reforming solid oxide fuel cell. I: model-based steady-state performance","title-short":"Anode-supported intermediate temperature direct internal reforming solid oxide fuel cell. I","volume":"138","author":[{"family":"Aguiar","given":"P."},{"family":"Adjiman","given":"C. S."},{"family":"Brandon","given":"N. P."}],"issued":{"date-parts":[["2004",11,15]]}}},{"id":809,"uris":["http://zotero.org/users/12063231/items/86VEYUNF"],"itemData":{"id":809,"type":"article-journal","container-title":"Fuel Cells","DOI":"10.1002/fuce.200900082","issue":"6","language":"English","page":"1074-1094","title":"Modelling and Performance Evaluation of Solid Oxide Fuel Cell for Building Integrated Co- and Polygeneration","volume":"10","author":[{"family":"Kazempoor","given":"Pejman"},{"family":"Dorer","given":"Viktor"},{"family":"Fathollah","given":"Ommi"}],"issued":{"date-parts":[["2010"]]}}},{"id":591,"uris":["http://zotero.org/users/12063231/items/BE5BSF4A"],"itemData":{"id":591,"type":"article-journal","abstract":"The typically high temperatures (≥500</w:instrText>
      </w:r>
      <w:r w:rsidR="00CA7A9D">
        <w:rPr>
          <w:rFonts w:ascii="Arial" w:hAnsi="Arial" w:cs="Arial"/>
        </w:rPr>
        <w:instrText> </w:instrText>
      </w:r>
      <w:r w:rsidR="00CA7A9D">
        <w:rPr>
          <w:rFonts w:ascii="Aptos" w:hAnsi="Aptos" w:cs="Aptos"/>
        </w:rPr>
        <w:instrText>°</w:instrText>
      </w:r>
      <w:r w:rsidR="00CA7A9D">
        <w:instrText>C) at which ceramic electrochemical cells operate place constraints on device materials and construction. Here Liu and colleagues design reversible proton-conducting electrochemical cells that can operate with high performance at temperatures of 450</w:instrText>
      </w:r>
      <w:r w:rsidR="00CA7A9D">
        <w:rPr>
          <w:rFonts w:ascii="Arial" w:hAnsi="Arial" w:cs="Arial"/>
        </w:rPr>
        <w:instrText> </w:instrText>
      </w:r>
      <w:r w:rsidR="00CA7A9D">
        <w:rPr>
          <w:rFonts w:ascii="Aptos" w:hAnsi="Aptos" w:cs="Aptos"/>
        </w:rPr>
        <w:instrText>°</w:instrText>
      </w:r>
      <w:r w:rsidR="00CA7A9D">
        <w:instrText xml:space="preserve">C and below.","container-title":"Nature Energy","DOI":"10.1038/s41560-023-01350-4","ISSN":"2058-7546","issue":"10","journalAbbreviation":"Nat Energy","language":"en","license":"2023 The Author(s), under exclusive licence to Springer Nature Limited","note":"number: 10\npublisher: Nature Publishing Group","page":"1145-1157","source":"www.nature.com","title":"Lowering the operating temperature of protonic ceramic electrochemical cells to &lt;450 °C","volume":"8","author":[{"family":"Liu","given":"Fan"},{"family":"Deng","given":"Hao"},{"family":"Diercks","given":"David"},{"family":"Kumar","given":"Praveen"},{"family":"Jabbar","given":"Mohammed Hussain Abdul"},{"family":"Gumeci","given":"Cenk"},{"family":"Furuya","given":"Yoshihisa"},{"family":"Dale","given":"Nilesh"},{"family":"Oku","given":"Takanori"},{"family":"Usuda","given":"Masahiro"},{"family":"Kazempoor","given":"Pejman"},{"family":"Fang","given":"Liyang"},{"family":"Chen","given":"Di"},{"family":"Liu","given":"Bin"},{"family":"Duan","given":"Chuancheng"}],"issued":{"date-parts":[["2023",10]]}}},{"id":821,"uris":["http://zotero.org/users/12063231/items/7RHZBYA8"],"itemData":{"id":821,"type":"article-journal","abstract":"In this work, a framework of charge transports in proton-conducting solid oxide fuel cells (H-SOFCs) with considering current leakage is developed by assuming four electrode reactions. Current leakage occurs when electron holes pass through the electrolyte and combine with electrons at the anode side. An analytical solution of leakage currents is proposed depending on the Nernst-Planck equation. On the basis of the analysis expression, a mathematical model of H-SOFCs is proposed, which can provide the information about current-voltage characteristics, leakage current density, Faraday and energy efficiencies. Furthermore, H-SOFCs with the BaZr0.8Y0.2O3 electrolyte are fabricated and tested, and the proposed model well reproduces the experimental data. The simulation results indicate that current leakage primarily affects the H-SOFC performance when the output voltage is close to the OCV. Both Faraday efficiencies and energy efficiencies decrease with increasing operating temperatures due to the existence of current leakage.","container-title":"Journal of Power Sources","DOI":"10.1016/j.jpowsour.2018.08.038","ISSN":"0378-7753","journalAbbreviation":"Journal of Power Sources","page":"333-340","source":"ScienceDirect","title":"Mathematical modeling of a proton-conducting solid oxide fuel cell with current leakage","volume":"400","author":[{"family":"Zhang","given":"Ji-Hao"},{"family":"Lei","given":"Li-Bin"},{"family":"Liu","given":"Di"},{"family":"Zhao","given":"Fu-Yun"},{"family":"Ni","given":"Meng"},{"family":"Chen","given":"Fanglin"}],"issued":{"date-parts":[["2018",10,1]]}}}],"schema":"https://github.com/citation-style-language/schema/raw/master/csl-citation.json"} </w:instrText>
      </w:r>
      <w:r>
        <w:fldChar w:fldCharType="separate"/>
      </w:r>
      <w:r w:rsidR="00CA7A9D" w:rsidRPr="00CA7A9D">
        <w:rPr>
          <w:rFonts w:ascii="Aptos" w:hAnsi="Aptos"/>
        </w:rPr>
        <w:t>[33], [77], [88], [89], [90], [91]</w:t>
      </w:r>
      <w:r>
        <w:fldChar w:fldCharType="end"/>
      </w:r>
      <w:r>
        <w:t xml:space="preserve">. However, many of these estimates from other works required adjustments for this model to align with validation data due to advancements in PCFC fabrication and operational variances. For example, other studies can be compared to the data generated in this model, but discrepancies can be expected primarily due to the high concentration of methane/natural gas that is anticipated for this model. When methane or natural gas is used as the fuel for the cell, it has historically been mixed with additional hydrogen or water at a ratio of 60-70 vol% water at the inlet </w:t>
      </w:r>
      <w:r>
        <w:fldChar w:fldCharType="begin"/>
      </w:r>
      <w:r w:rsidR="00E33E66">
        <w:instrText xml:space="preserve"> ADDIN ZOTERO_ITEM CSL_CITATION {"citationID":"a18f9uj7gbj","properties":{"formattedCitation":"[12]","plainCitation":"[12]","noteIndex":0},"citationItems":[{"id":178,"uris":["http://zotero.org/users/12063231/items/67EFNYYN"],"itemData":{"id":178,"type":"article-journal","abstract":"Protonic ceramic fuel cells, like their higher-temperature solid-oxide fuel cell counterparts, can directly use both hydrogen and hydrocarbon fuels to produce electricity at potentially more than 50 per cent efficiency1,2. Most previous direct-hydrocarbon fuel cell research has focused on solid-oxide fuel cells based on oxygen-ion-conducting electrolytes, but carbon deposition (coking) and sulfur poisoning typically occur when such fuel cells are directly operated on hydrocarbon- and/or sulfur-containing fuels, resulting in severe performance degradation over time3–6. Despite studies suggesting good performance and anti-coking resistance in hydrocarbon-fuelled protonic ceramic fuel cells2,7,8, there have been no systematic studies of long-term durability. Here we present results from long-term testing of protonic ceramic fuel cells using a total of 11 different fuels (hydrogen, methane, domestic natural gas (with and without hydrogen sulfide), propane, n-butane, i-butane, iso-octane, methanol, ethanol and ammonia) at temperatures between 500 and 600 degrees Celsius. Several cells have been tested for over 6,000</w:instrText>
      </w:r>
      <w:r w:rsidR="00E33E66">
        <w:rPr>
          <w:rFonts w:ascii="Arial" w:hAnsi="Arial" w:cs="Arial"/>
        </w:rPr>
        <w:instrText> </w:instrText>
      </w:r>
      <w:r w:rsidR="00E33E66">
        <w:instrText>hours, and we demonstrate excellent performance and exceptional durability (less than 1.5 per cent degradation per 1,000</w:instrText>
      </w:r>
      <w:r w:rsidR="00E33E66">
        <w:rPr>
          <w:rFonts w:ascii="Arial" w:hAnsi="Arial" w:cs="Arial"/>
        </w:rPr>
        <w:instrText> </w:instrText>
      </w:r>
      <w:r w:rsidR="00E33E66">
        <w:instrText xml:space="preserve">hours in most cases) across all fuels without any modifications in the cell composition or architecture. Large fluctuations in temperature are tolerated, and coking is not observed even after thousands of hours of continuous operation. Finally, sulfur, a notorious poison for both low-temperature and high-temperature fuel cells, does not seem to affect the performance of protonic ceramic fuel cells when supplied at levels consistent with commercial fuels. The fuel flexibility and long-term durability demonstrated by the protonic ceramic fuel cell devices highlight the promise of this technology and its potential for commercial application.","container-title":"Nature","DOI":"10.1038/s41586-018-0082-6","ISSN":"1476-4687","issue":"7704","language":"en","license":"2018 Macmillan Publishers Ltd., part of Springer Nature","note":"number: 7704\npublisher: Nature Publishing Group","page":"217-222","source":"www.nature.com","title":"Highly durable, coking and sulfur tolerant, fuel-flexible protonic ceramic fuel cells","volume":"557","author":[{"family":"Duan","given":"Chuancheng"},{"family":"Kee","given":"Robert J."},{"family":"Zhu","given":"Huayang"},{"family":"Karakaya","given":"Canan"},{"family":"Chen","given":"Yachao"},{"family":"Ricote","given":"Sandrine"},{"family":"Jarry","given":"Angelique"},{"family":"Crumlin","given":"Ethan J."},{"family":"Hook","given":"David"},{"family":"Braun","given":"Robert"},{"family":"Sullivan","given":"Neal P."},{"family":"O’Hayre","given":"Ryan"}],"issued":{"date-parts":[["2018",5]]}}}],"schema":"https://github.com/citation-style-language/schema/raw/master/csl-citation.json"} </w:instrText>
      </w:r>
      <w:r>
        <w:fldChar w:fldCharType="separate"/>
      </w:r>
      <w:r w:rsidR="00E33E66" w:rsidRPr="00E33E66">
        <w:rPr>
          <w:rFonts w:ascii="Aptos" w:hAnsi="Aptos"/>
        </w:rPr>
        <w:t>[12]</w:t>
      </w:r>
      <w:r>
        <w:fldChar w:fldCharType="end"/>
      </w:r>
      <w:r>
        <w:t xml:space="preserve">. This practice is not adopted here since such compositions are not expected from flare gas streams, and such high levels of additional hydrogen would likely limit the conversion into aromatics </w:t>
      </w:r>
      <w:r>
        <w:fldChar w:fldCharType="begin"/>
      </w:r>
      <w:r w:rsidR="00CA7A9D">
        <w:instrText xml:space="preserve"> ADDIN ZOTERO_ITEM CSL_CITATION {"citationID":"a2i02dqj2rf","properties":{"formattedCitation":"[73]","plainCitation":"[73]","noteIndex":0},"citationItems":[{"id":128,"uris":["http://zotero.org/users/12063231/items/98RFJZQA"],"itemData":{"id":128,"type":"article-journal","abstract":"Nonoxidative methane dehydroaromatization (MDA: 6CH4 ↔ C6H6 + 9H2) using shape-selective Mo/zeolite catalysts is a key technology for exploitation of stranded natural gas reserves by direct conversion into transportable liquids. However, this reaction faces two major issues: The one-pass conversion …","container-title":"Science (New York, N.Y.)","DOI":"10.1126/science.aag0274","ISSN":"1095-9203","issue":"6299","language":"en","note":"publisher: Science\nPMID: 27493179","source":"pubmed.ncbi.nlm.nih.gov","title":"Direct conversion of methane to aromatics in a catalytic co-ionic membrane reactor","URL":"https://pubmed.ncbi.nlm.nih.gov/27493179/","volume":"353","author":[{"family":"Morejudo","given":"S. H."},{"family":"Zanón","given":"R"},{"family":"Escolástico","given":"S"},{"family":"Yuste-Tirados","given":"I"},{"family":"Malerød-Fjeld","given":"H"},{"family":"Vestre","given":"P.K."},{"family":"Coors","given":"W.G."},{"family":"Martínez","given":"A"},{"family":"Norby","given":"Truls"},{"family":"Serra","given":"J.M."},{"family":"Kjølseth","given":"C"}],"accessed":{"date-parts":[["2023",8,12]]},"issued":{"date-parts":[["2016",8,5]]}}}],"schema":"https://github.com/citation-style-language/schema/raw/master/csl-citation.json"} </w:instrText>
      </w:r>
      <w:r>
        <w:fldChar w:fldCharType="separate"/>
      </w:r>
      <w:r w:rsidR="00CA7A9D" w:rsidRPr="00CA7A9D">
        <w:rPr>
          <w:rFonts w:ascii="Aptos" w:hAnsi="Aptos"/>
        </w:rPr>
        <w:t>[73]</w:t>
      </w:r>
      <w:r>
        <w:fldChar w:fldCharType="end"/>
      </w:r>
      <w:r>
        <w:t>. Additionally, this assumption prioritizes the steam reforming and water gas shift reactions for the internal generation of hydrogen, which is a popular tactic for methane-fueled PCFCs, but also increases CO and CO</w:t>
      </w:r>
      <w:r>
        <w:rPr>
          <w:vertAlign w:val="subscript"/>
        </w:rPr>
        <w:t>2</w:t>
      </w:r>
      <w:r>
        <w:t xml:space="preserve"> emissions. Because these reactions are mitigated in favor of the MDA reactions in this model for hydrogen generation, the electrochemical results for the model cannot be validated using experimental data from studies using methane as the fuel. </w:t>
      </w:r>
    </w:p>
    <w:p w14:paraId="6EBA4F56" w14:textId="57EDD157" w:rsidR="002249C8" w:rsidRDefault="002249C8" w:rsidP="002249C8">
      <w:r>
        <w:t xml:space="preserve">Instead, the electrochemical sub-model is validated using experimental hydrogen-fueled PCFC data from </w:t>
      </w:r>
      <w:r>
        <w:fldChar w:fldCharType="begin"/>
      </w:r>
      <w:r w:rsidR="00CA7A9D">
        <w:instrText xml:space="preserve"> ADDIN ZOTERO_ITEM CSL_CITATION {"citationID":"a1ii3ar0v0v","properties":{"formattedCitation":"[33]","plainCitation":"[33]","noteIndex":0},"citationItems":[{"id":591,"uris":["http://zotero.org/users/12063231/items/BE5BSF4A"],"itemData":{"id":591,"type":"article-journal","abstract":"The typically high temperatures (≥500</w:instrText>
      </w:r>
      <w:r w:rsidR="00CA7A9D">
        <w:rPr>
          <w:rFonts w:ascii="Arial" w:hAnsi="Arial" w:cs="Arial"/>
        </w:rPr>
        <w:instrText> </w:instrText>
      </w:r>
      <w:r w:rsidR="00CA7A9D">
        <w:rPr>
          <w:rFonts w:ascii="Aptos" w:hAnsi="Aptos" w:cs="Aptos"/>
        </w:rPr>
        <w:instrText>°</w:instrText>
      </w:r>
      <w:r w:rsidR="00CA7A9D">
        <w:instrText>C) at which ceramic electrochemical cells operate place constraints on device materials and construction. Here Liu and colleagues design reversible proton-conducting electrochemical cells that can operate with high performance at temperatures of 450</w:instrText>
      </w:r>
      <w:r w:rsidR="00CA7A9D">
        <w:rPr>
          <w:rFonts w:ascii="Arial" w:hAnsi="Arial" w:cs="Arial"/>
        </w:rPr>
        <w:instrText> </w:instrText>
      </w:r>
      <w:r w:rsidR="00CA7A9D">
        <w:rPr>
          <w:rFonts w:ascii="Aptos" w:hAnsi="Aptos" w:cs="Aptos"/>
        </w:rPr>
        <w:instrText>°</w:instrText>
      </w:r>
      <w:r w:rsidR="00CA7A9D">
        <w:instrText xml:space="preserve">C and below.","container-title":"Nature Energy","DOI":"10.1038/s41560-023-01350-4","ISSN":"2058-7546","issue":"10","journalAbbreviation":"Nat Energy","language":"en","license":"2023 The Author(s), under exclusive licence to Springer Nature Limited","note":"number: 10\npublisher: Nature Publishing Group","page":"1145-1157","source":"www.nature.com","title":"Lowering the operating temperature of protonic ceramic electrochemical cells to &lt;450 </w:instrText>
      </w:r>
      <w:r w:rsidR="00CA7A9D">
        <w:rPr>
          <w:rFonts w:ascii="Aptos" w:hAnsi="Aptos" w:cs="Aptos"/>
        </w:rPr>
        <w:instrText>°</w:instrText>
      </w:r>
      <w:r w:rsidR="00CA7A9D">
        <w:instrText xml:space="preserve">C","volume":"8","author":[{"family":"Liu","given":"Fan"},{"family":"Deng","given":"Hao"},{"family":"Diercks","given":"David"},{"family":"Kumar","given":"Praveen"},{"family":"Jabbar","given":"Mohammed Hussain Abdul"},{"family":"Gumeci","given":"Cenk"},{"family":"Furuya","given":"Yoshihisa"},{"family":"Dale","given":"Nilesh"},{"family":"Oku","given":"Takanori"},{"family":"Usuda","given":"Masahiro"},{"family":"Kazempoor","given":"Pejman"},{"family":"Fang","given":"Liyang"},{"family":"Chen","given":"Di"},{"family":"Liu","given":"Bin"},{"family":"Duan","given":"Chuancheng"}],"issued":{"date-parts":[["2023",10]]}}}],"schema":"https://github.com/citation-style-language/schema/raw/master/csl-citation.json"} </w:instrText>
      </w:r>
      <w:r>
        <w:fldChar w:fldCharType="separate"/>
      </w:r>
      <w:r w:rsidR="00CA7A9D" w:rsidRPr="00CA7A9D">
        <w:rPr>
          <w:rFonts w:ascii="Aptos" w:hAnsi="Aptos"/>
        </w:rPr>
        <w:t>[33]</w:t>
      </w:r>
      <w:r>
        <w:fldChar w:fldCharType="end"/>
      </w:r>
      <w:r>
        <w:t>. In this study, isothermal circular large button cells are used with a surface area of 0.5 cm</w:t>
      </w:r>
      <w:r>
        <w:rPr>
          <w:vertAlign w:val="superscript"/>
        </w:rPr>
        <w:t>2</w:t>
      </w:r>
      <w:r>
        <w:t xml:space="preserve">  and a flow rate of 80 mL/min for the hydrogen cells </w:t>
      </w:r>
      <w:r>
        <w:fldChar w:fldCharType="begin"/>
      </w:r>
      <w:r w:rsidR="00CA7A9D">
        <w:instrText xml:space="preserve"> ADDIN ZOTERO_ITEM CSL_CITATION {"citationID":"a12fru03tj7","properties":{"formattedCitation":"[33]","plainCitation":"[33]","noteIndex":0},"citationItems":[{"id":591,"uris":["http://zotero.org/users/12063231/items/BE5BSF4A"],"itemData":{"id":591,"type":"article-journal","abstract":"The typically high temperatures (≥500</w:instrText>
      </w:r>
      <w:r w:rsidR="00CA7A9D">
        <w:rPr>
          <w:rFonts w:ascii="Arial" w:hAnsi="Arial" w:cs="Arial"/>
        </w:rPr>
        <w:instrText> </w:instrText>
      </w:r>
      <w:r w:rsidR="00CA7A9D">
        <w:rPr>
          <w:rFonts w:ascii="Aptos" w:hAnsi="Aptos" w:cs="Aptos"/>
        </w:rPr>
        <w:instrText>°</w:instrText>
      </w:r>
      <w:r w:rsidR="00CA7A9D">
        <w:instrText>C) at which ceramic electrochemical cells operate place constraints on device materials and construction. Here Liu and colleagues design reversible proton-conducting electrochemical cells that can operate with high performance at temperatures of 450</w:instrText>
      </w:r>
      <w:r w:rsidR="00CA7A9D">
        <w:rPr>
          <w:rFonts w:ascii="Arial" w:hAnsi="Arial" w:cs="Arial"/>
        </w:rPr>
        <w:instrText> </w:instrText>
      </w:r>
      <w:r w:rsidR="00CA7A9D">
        <w:rPr>
          <w:rFonts w:ascii="Aptos" w:hAnsi="Aptos" w:cs="Aptos"/>
        </w:rPr>
        <w:instrText>°</w:instrText>
      </w:r>
      <w:r w:rsidR="00CA7A9D">
        <w:instrText xml:space="preserve">C and below.","container-title":"Nature Energy","DOI":"10.1038/s41560-023-01350-4","ISSN":"2058-7546","issue":"10","journalAbbreviation":"Nat Energy","language":"en","license":"2023 The Author(s), under exclusive licence to Springer Nature Limited","note":"number: 10\npublisher: Nature Publishing Group","page":"1145-1157","source":"www.nature.com","title":"Lowering the operating temperature of protonic ceramic electrochemical cells to &lt;450 </w:instrText>
      </w:r>
      <w:r w:rsidR="00CA7A9D">
        <w:rPr>
          <w:rFonts w:ascii="Aptos" w:hAnsi="Aptos" w:cs="Aptos"/>
        </w:rPr>
        <w:instrText>°</w:instrText>
      </w:r>
      <w:r w:rsidR="00CA7A9D">
        <w:instrText xml:space="preserve">C","volume":"8","author":[{"family":"Liu","given":"Fan"},{"family":"Deng","given":"Hao"},{"family":"Diercks","given":"David"},{"family":"Kumar","given":"Praveen"},{"family":"Jabbar","given":"Mohammed Hussain Abdul"},{"family":"Gumeci","given":"Cenk"},{"family":"Furuya","given":"Yoshihisa"},{"family":"Dale","given":"Nilesh"},{"family":"Oku","given":"Takanori"},{"family":"Usuda","given":"Masahiro"},{"family":"Kazempoor","given":"Pejman"},{"family":"Fang","given":"Liyang"},{"family":"Chen","given":"Di"},{"family":"Liu","given":"Bin"},{"family":"Duan","given":"Chuancheng"}],"issued":{"date-parts":[["2023",10]]}}}],"schema":"https://github.com/citation-style-language/schema/raw/master/csl-citation.json"} </w:instrText>
      </w:r>
      <w:r>
        <w:fldChar w:fldCharType="separate"/>
      </w:r>
      <w:r w:rsidR="00CA7A9D" w:rsidRPr="00CA7A9D">
        <w:rPr>
          <w:rFonts w:ascii="Aptos" w:hAnsi="Aptos"/>
        </w:rPr>
        <w:t>[33]</w:t>
      </w:r>
      <w:r>
        <w:fldChar w:fldCharType="end"/>
      </w:r>
      <w:r>
        <w:t xml:space="preserve">. Therefore, an isothermal model with the same geometric surface area, flowrates, and electrolyte and electrode thicknesses is created to validate the electrochemical sub-model. The values for resistance are taken from Duan’s work, while activation and concentration losses are taken from an assortment of other works outlined in chapter 3 </w:t>
      </w:r>
      <w:r>
        <w:fldChar w:fldCharType="begin"/>
      </w:r>
      <w:r w:rsidR="00CA7A9D">
        <w:instrText xml:space="preserve"> ADDIN ZOTERO_ITEM CSL_CITATION {"citationID":"a18a7dn7mic","properties":{"formattedCitation":"[88], [89], [90], [91]","plainCitation":"[88], [89], [90], [91]","noteIndex":0},"citationItems":[{"id":795,"uris":["http://zotero.org/users/12063231/items/BG39VTDM"],"itemData":{"id":795,"type":"article-journal","abstract":"The principal objective of the present work is to realize thermodynamic modeling and analysis of the Proton Ceramic Fuel Cell (PCFC); particular attention is given to evaluate and optimize the power density generated by PCFCs according to the electrolyte, anode, and cathode thicknesses, water content in the oxidant and fuel, operating temperature, current density, and voltage. To implement the thermodynamic model, the PCFC voltage is represented by the difference between the Nernst potential and the total voltage loss generated in the electrolyte and electrodes (ohmic, activation, and concentration overpotentials) during PCFC operation. A FORTRAN program is developed to study the impact of these parameters on PCFC power density. After comparing the obtained results in this investigation to those of literature that are measured experimentally, they are presented a good concordance with root mean square error (RMSE) and mean bias error of 0.0572 and 0.0058, respectively. The conducted optimization, in this work, is realized based on the graphical method. The most important conclusions are summed in two points, PCFC power density is proportional to the operating temperature, and it is inversely proportional to the electrolyte and electrodes thicknesses and fuel and air humidification.","container-title":"Arabian Journal for Science and Engineering","DOI":"10.1007/s13369-021-06262-7","ISSN":"2191-4281","issue":"5","journalAbbreviation":"Arab J Sci Eng","language":"en","page":"6355-6363","source":"Springer Link","title":"Thermodynamic Modeling and Analysis of Proton Ceramic Fuel Cells: Power Optimization","title-short":"Thermodynamic Modeling and Analysis of Proton Ceramic Fuel Cells","volume":"47","author":[{"family":"Sahli","given":"Youcef"}],"issued":{"date-parts":[["2022",5,1]]}}},{"id":774,"uris":["http://zotero.org/users/12063231/items/RRTFAJZR"],"itemData":{"id":774,"type":"chapter","abstract":"&lt;p&gt;This chapter discusses the theory and performance of electrolysis cells based upon proton-conducting ceramics (protonic ceramic electrolysis cells (PCECs)). To put PCECs in perspective in relation to other ceramic-based electrochemical cells, the discussion initially compares oxygen-ion-conducting membranes as well as fuel-cell performance.&lt;/p&gt;","container-title":"High-Temperature Electrolysis: From fundamentals to applications","language":"en","note":"DOI: 10.1088/978-0-7503-3951-3ch12","publisher":"IOP Publishing","source":"iopscience.iop.org","title":"Thermodynamics, transport, and electrochemistry in protonic ceramic electrolysis cells","URL":"https://iopscience.iop.org/book/edit/978-0-7503-3951-3/chapter/bk978-0-7503-3951-3ch12","author":[{"family":"Zhu","given":"Huayang"},{"family":"Ricote","given":"Sandrine"},{"family":"Kee","given":"Robert J."}],"accessed":{"date-parts":[["2024",2,6]]},"issued":{"date-parts":[["2023",1,1]]}}},{"id":789,"uris":["http://zotero.org/users/12063231/items/RYA57UQY"],"itemData":{"id":789,"type":"article-journal","abstract":"Mathematical modelling is an essential tool for the design of solid oxide fuel cells (SOFCs). The present paper aims to report on the development of a dynamic anode-supported intermediate temperature direct internal reforming planar solid oxide fuel cell stack model, that allows for both co-flow and counter-flow operation. The developed model consists of mass and energy balances, and an electrochemical model that relates the fuel and air gas composition and temperature to voltage, current density, and other relevant fuel cell variables. The electrochemical performance of the cell is analysed for several temperatures and fuel utilisations, by means of the voltage and power density versus current density curves. The steady-state performance of the cell and the impact of changes in fuel and air inlet temperatures, fuel utilisation, average current density, and flow configuration are studied. For a co-flow SOFC operating on a 10% pre-reformed methane fuel mixture with 75% fuel utilisation, inlet fuel and air temperatures of 1023K, average current density of 0.5Acm−2, and an air ratio of 8.5, an output voltage of 0.66V with a power density of 0.33Wcm−2 and a fuel efficiency of 47%, are predicted. It was found that cathode activation overpotentials represent the major source of voltage loss, followed by anode activation overpotentials and ohmic losses. For the same operating conditions, SOFC operation under counter-flow of the fuel and air gas streams has been shown to lead to steep temperature gradients and uneven current density distributions.","container-title":"Journal of Power Sources","DOI":"10.1016/j.jpowsour.2004.06.040","ISSN":"0378-7753","issue":"1","journalAbbreviation":"Journal of Power Sources","page":"120-136","source":"ScienceDirect","title":"Anode-supported intermediate temperature direct internal reforming solid oxide fuel cell. I: model-based steady-state performance","title-short":"Anode-supported intermediate temperature direct internal reforming solid oxide fuel cell. I","volume":"138","author":[{"family":"Aguiar","given":"P."},{"family":"Adjiman","given":"C. S."},{"family":"Brandon","given":"N. P."}],"issued":{"date-parts":[["2004",11,15]]}}},{"id":821,"uris":["http://zotero.org/users/12063231/items/7RHZBYA8"],"itemData":{"id":821,"type":"article-journal","abstract":"In this work, a framework of charge transports in proton-conducting solid oxide fuel cells (H-SOFCs) with considering current leakage is developed by assuming four electrode reactions. Current leakage occurs when electron holes pass through the electrolyte and combine with electrons at the anode side. An analytical solution of leakage currents is proposed depending on the Nernst-Planck equation. On the basis of the analysis expression, a mathematical model of H-SOFCs is proposed, which can provide the information about current-voltage characteristics, leakage current density, Faraday and energy efficiencies. Furthermore, H-SOFCs with the BaZr0.8Y0.2O3 electrolyte are fabricated and tested, and the proposed model well reproduces the experimental data. The simulation results indicate that current leakage primarily affects the H-SOFC performance when the output voltage is close to the OCV. Both Faraday efficiencies and energy efficiencies decrease with increasing operating temperatures due to the existence of current leakage.","container-title":"Journal of Power Sources","DOI":"10.1016/j.jpowsour.2018.08.038","ISSN":"0378-7753","journalAbbreviation":"Journal of Power Sources","page":"333-340","source":"ScienceDirect","title":"Mathematical modeling of a proton-conducting solid oxide fuel cell with current leakage","volume":"400","author":[{"family":"Zhang","given":"Ji-Hao"},{"family":"Lei","given":"Li-Bin"},{"family":"Liu","given":"Di"},{"family":"Zhao","given":"Fu-Yun"},{"family":"Ni","given":"Meng"},{"family":"Chen","given":"Fanglin"}],"issued":{"date-parts":[["2018",10,1]]}}}],"schema":"https://github.com/citation-style-language/schema/raw/master/csl-citation.json"} </w:instrText>
      </w:r>
      <w:r>
        <w:fldChar w:fldCharType="separate"/>
      </w:r>
      <w:r w:rsidR="00CA7A9D" w:rsidRPr="00CA7A9D">
        <w:rPr>
          <w:rFonts w:ascii="Aptos" w:hAnsi="Aptos"/>
        </w:rPr>
        <w:t>[88], [89], [90], [91]</w:t>
      </w:r>
      <w:r>
        <w:fldChar w:fldCharType="end"/>
      </w:r>
      <w:r>
        <w:t xml:space="preserve">. An additional loss of .055 V from the total Nernst potential is necessary to add to the model to gain the fit seen in </w:t>
      </w:r>
      <w:r>
        <w:fldChar w:fldCharType="begin"/>
      </w:r>
      <w:r>
        <w:instrText xml:space="preserve"> REF _Ref163731400 \h </w:instrText>
      </w:r>
      <w:r>
        <w:fldChar w:fldCharType="separate"/>
      </w:r>
      <w:r>
        <w:t>Figure 4.</w:t>
      </w:r>
      <w:r>
        <w:rPr>
          <w:noProof/>
        </w:rPr>
        <w:t>2</w:t>
      </w:r>
      <w:r>
        <w:fldChar w:fldCharType="end"/>
      </w:r>
      <w:r>
        <w:t>. This significant addition is attributed to leakage, variances in electrolyte thickness, and localized concentration losses not accounted for the in concentration overpotential since it is adapted from an older SOFC model.</w:t>
      </w:r>
    </w:p>
    <w:p w14:paraId="7C8295B1" w14:textId="77777777" w:rsidR="002249C8" w:rsidRPr="00EB094F" w:rsidRDefault="002249C8" w:rsidP="002249C8">
      <w:pPr>
        <w:keepNext/>
        <w:jc w:val="center"/>
      </w:pPr>
      <w:r>
        <w:rPr>
          <w:noProof/>
        </w:rPr>
        <mc:AlternateContent>
          <mc:Choice Requires="wps">
            <w:drawing>
              <wp:anchor distT="0" distB="0" distL="114300" distR="114300" simplePos="0" relativeHeight="251677696" behindDoc="0" locked="0" layoutInCell="1" allowOverlap="1" wp14:anchorId="25D19DA0" wp14:editId="7598B6F9">
                <wp:simplePos x="0" y="0"/>
                <wp:positionH relativeFrom="column">
                  <wp:posOffset>1599057</wp:posOffset>
                </wp:positionH>
                <wp:positionV relativeFrom="paragraph">
                  <wp:posOffset>314833</wp:posOffset>
                </wp:positionV>
                <wp:extent cx="349138" cy="263666"/>
                <wp:effectExtent l="0" t="76200" r="32385" b="22225"/>
                <wp:wrapNone/>
                <wp:docPr id="1462964695" name="Connector: Elbow 2"/>
                <wp:cNvGraphicFramePr/>
                <a:graphic xmlns:a="http://schemas.openxmlformats.org/drawingml/2006/main">
                  <a:graphicData uri="http://schemas.microsoft.com/office/word/2010/wordprocessingShape">
                    <wps:wsp>
                      <wps:cNvCnPr/>
                      <wps:spPr>
                        <a:xfrm flipH="1" flipV="1">
                          <a:off x="0" y="0"/>
                          <a:ext cx="349138" cy="263666"/>
                        </a:xfrm>
                        <a:prstGeom prst="bentConnector3">
                          <a:avLst>
                            <a:gd name="adj1" fmla="val -2509"/>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8364513"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 o:spid="_x0000_s1026" type="#_x0000_t34" style="position:absolute;margin-left:125.9pt;margin-top:24.8pt;width:27.5pt;height:20.75pt;flip:x 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xJ5gEAAAoEAAAOAAAAZHJzL2Uyb0RvYy54bWysU02P0zAQvSPxHyzft0lTKGzUdA9dPg4I&#10;VrDL3bXHjcFfsk3T/nvGTppFi5AQ4mL5Y96b92bGm5uT0eQIISpnO7pc1JSA5U4oe+jow/3bq9eU&#10;xMSsYNpZ6OgZIr3ZPn+2GXwLjeudFhAIktjYDr6jfUq+rarIezAsLpwHi4/SBcMSHsOhEoENyG50&#10;1dT1uhpcED44DjHi7e34SLeFX0rg6ZOUERLRHUVtqayhrPu8VtsNaw+B+V7xSQb7BxWGKYtJZ6pb&#10;lhj5EdRvVEbx4KKTacGdqZyUikPxgG6W9RM3X3rmoXjB4kQ/lyn+P1r+8bizdwHLMPjYRn8XsouT&#10;DIZIrfx77Cktu695l99QMzmVAp7nAsIpEY6XqxfXyxV2nONTs16t1+tc4GokzGAfYnoHzpC86ege&#10;bNo5a7FNLqwKPTt+iKlUUhDLDI4ME9+yBqOxMUemyVXzsr6eeKdozHBhzlBtyYBym1d1XTgTU/qN&#10;FSSdPfKloJg9aJgotEWFj+bLLp01jESfQRIl0Npovswl7HQgqKSj4vtyZsHIDJFK6xk0pv8jaIrN&#10;MCiz+rfAObpkdDbNQKOsC8X0k6zpdJEqx/iL69Frtr134lxGoZQDB660bvoceaJ/PRf44xfe/gQA&#10;AP//AwBQSwMEFAAGAAgAAAAhALYeBsLfAAAACQEAAA8AAABkcnMvZG93bnJldi54bWxMj8FOwzAQ&#10;RO9I/IO1SNyokwARDdlUpRIHLoi2OXB0EzeOiNeR7aahX89yguPOjmbelKvZDmLSPvSOENJFAkJT&#10;49qeOoR6/3r3BCJERa0aHGmEbx1gVV1flapo3Zm2etrFTnAIhUIhmBjHQsrQGG1VWLhRE/+OzlsV&#10;+fSdbL06c7gdZJYkubSqJ24watQbo5uv3ckikHo/vq3rF++32eaz/gj7i5kuiLc38/oZRNRz/DPD&#10;Lz6jQ8VMB3eiNogBIXtMGT0iPCxzEGy4T3IWDgjLNAVZlfL/guoHAAD//wMAUEsBAi0AFAAGAAgA&#10;AAAhALaDOJL+AAAA4QEAABMAAAAAAAAAAAAAAAAAAAAAAFtDb250ZW50X1R5cGVzXS54bWxQSwEC&#10;LQAUAAYACAAAACEAOP0h/9YAAACUAQAACwAAAAAAAAAAAAAAAAAvAQAAX3JlbHMvLnJlbHNQSwEC&#10;LQAUAAYACAAAACEA9IPsSeYBAAAKBAAADgAAAAAAAAAAAAAAAAAuAgAAZHJzL2Uyb0RvYy54bWxQ&#10;SwECLQAUAAYACAAAACEAth4Gwt8AAAAJAQAADwAAAAAAAAAAAAAAAABABAAAZHJzL2Rvd25yZXYu&#10;eG1sUEsFBgAAAAAEAAQA8wAAAEwFAAAAAA==&#10;" adj="-542" strokecolor="black [3200]" strokeweight="1pt">
                <v:stroke endarrow="block"/>
              </v:shape>
            </w:pict>
          </mc:Fallback>
        </mc:AlternateContent>
      </w:r>
      <w:r>
        <w:rPr>
          <w:noProof/>
        </w:rPr>
        <mc:AlternateContent>
          <mc:Choice Requires="wps">
            <w:drawing>
              <wp:anchor distT="0" distB="0" distL="114300" distR="114300" simplePos="0" relativeHeight="251676672" behindDoc="0" locked="0" layoutInCell="1" allowOverlap="1" wp14:anchorId="7EB062F8" wp14:editId="4FD1AF51">
                <wp:simplePos x="0" y="0"/>
                <wp:positionH relativeFrom="column">
                  <wp:posOffset>1879473</wp:posOffset>
                </wp:positionH>
                <wp:positionV relativeFrom="paragraph">
                  <wp:posOffset>1564640</wp:posOffset>
                </wp:positionV>
                <wp:extent cx="259895" cy="218188"/>
                <wp:effectExtent l="19050" t="0" r="45085" b="86995"/>
                <wp:wrapNone/>
                <wp:docPr id="300998240" name="Connector: Elbow 2"/>
                <wp:cNvGraphicFramePr/>
                <a:graphic xmlns:a="http://schemas.openxmlformats.org/drawingml/2006/main">
                  <a:graphicData uri="http://schemas.microsoft.com/office/word/2010/wordprocessingShape">
                    <wps:wsp>
                      <wps:cNvCnPr/>
                      <wps:spPr>
                        <a:xfrm>
                          <a:off x="0" y="0"/>
                          <a:ext cx="259895" cy="218188"/>
                        </a:xfrm>
                        <a:prstGeom prst="bentConnector3">
                          <a:avLst>
                            <a:gd name="adj1" fmla="val -2509"/>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2869367" id="Connector: Elbow 2" o:spid="_x0000_s1026" type="#_x0000_t34" style="position:absolute;margin-left:148pt;margin-top:123.2pt;width:20.45pt;height:17.2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py2QEAAPYDAAAOAAAAZHJzL2Uyb0RvYy54bWysU8uOEzEQvCPxD5bvm3mgwCTKZA9Z4IJg&#10;xcIHOHY7Mfgl22SSv6ftmUwQDwkhLp6x3VXdVd3e3J+NJicIUTnb02ZRUwKWO6HsoaefP7256yiJ&#10;iVnBtLPQ0wtEer99/mwz+DW07ui0gECQxMb14Ht6TMmvqyryIxgWF86DxUvpgmEJt+FQicAGZDe6&#10;auv6ZTW4IHxwHGLE04fxkm4Lv5TA0wcpIySie4q1pbKGsu7zWm03bH0IzB8Vn8pg/1CFYcpi0pnq&#10;gSVGvgX1C5VRPLjoZFpwZyonpeJQNKCapv5JzdOReSha0JzoZ5vi/6Pl7087+xjQhsHHdfSPIas4&#10;y2DyF+sj52LWZTYLzolwPGyXq261pITjVdt0TddlM6sb2IeY3oIzJP/0dA827Zy12BIXXhSz2Old&#10;TMU1QSwzOB5MfGkokUZjE05Mk7t2Wa8m3ikaM1yZM1RbMuDgta/qunAmpvRrK0i6eORLQTF70DBR&#10;aIsV3oSWv3TRMBJ9BEmUQGlNYSozCDsdCFbSU/G1mVkwMkOk0noGjen/CJpiMwzKXP4tcI4uGZ1N&#10;M9Ao68LvSk3na6lyjL+qHrVm2XsnLqXtxQ4crtK66SHk6f1xX+C357r9DgAA//8DAFBLAwQUAAYA&#10;CAAAACEAqAbv5t8AAAALAQAADwAAAGRycy9kb3ducmV2LnhtbEyPwU7DMBBE70j8g7VI3KhDWoUk&#10;jVMhJCQkTg1cenNsE0eN15HttOHvWU5w290Zzb5pDqub2MWEOHoU8LjJgBlUXo84CPj8eH0ogcUk&#10;UcvJoxHwbSIc2tubRtbaX/FoLl0aGIVgrKUAm9Jccx6VNU7GjZ8Nkvblg5OJ1jBwHeSVwt3E8ywr&#10;uJMj0gcrZ/NijTp3ixPAU+yjXjB01fKmTqen43uurBD3d+vzHlgya/ozwy8+oUNLTL1fUEc2Ccir&#10;grokGnbFDhg5ttuiAtbTpcxK4G3D/3dofwAAAP//AwBQSwECLQAUAAYACAAAACEAtoM4kv4AAADh&#10;AQAAEwAAAAAAAAAAAAAAAAAAAAAAW0NvbnRlbnRfVHlwZXNdLnhtbFBLAQItABQABgAIAAAAIQA4&#10;/SH/1gAAAJQBAAALAAAAAAAAAAAAAAAAAC8BAABfcmVscy8ucmVsc1BLAQItABQABgAIAAAAIQDe&#10;Nhpy2QEAAPYDAAAOAAAAAAAAAAAAAAAAAC4CAABkcnMvZTJvRG9jLnhtbFBLAQItABQABgAIAAAA&#10;IQCoBu/m3wAAAAsBAAAPAAAAAAAAAAAAAAAAADMEAABkcnMvZG93bnJldi54bWxQSwUGAAAAAAQA&#10;BADzAAAAPwUAAAAA&#10;" adj="-542" strokecolor="black [3200]" strokeweight="1pt">
                <v:stroke endarrow="block"/>
              </v:shape>
            </w:pict>
          </mc:Fallback>
        </mc:AlternateContent>
      </w:r>
      <w:r>
        <w:rPr>
          <w:noProof/>
        </w:rPr>
        <w:drawing>
          <wp:inline distT="0" distB="0" distL="0" distR="0" wp14:anchorId="3A3F8D91" wp14:editId="3326D708">
            <wp:extent cx="4579224" cy="2717032"/>
            <wp:effectExtent l="0" t="0" r="0" b="7620"/>
            <wp:docPr id="652856490" name="Chart 1">
              <a:extLst xmlns:a="http://schemas.openxmlformats.org/drawingml/2006/main">
                <a:ext uri="{FF2B5EF4-FFF2-40B4-BE49-F238E27FC236}">
                  <a16:creationId xmlns:a16="http://schemas.microsoft.com/office/drawing/2014/main" id="{9D24C5DA-CC68-8086-751F-F862983E3C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softHyphen/>
      </w:r>
      <w:r>
        <w:softHyphen/>
      </w:r>
      <w:r>
        <w:softHyphen/>
      </w:r>
    </w:p>
    <w:p w14:paraId="38B5A674" w14:textId="77777777" w:rsidR="002249C8" w:rsidRDefault="002249C8" w:rsidP="002249C8">
      <w:pPr>
        <w:pStyle w:val="Caption"/>
      </w:pPr>
      <w:bookmarkStart w:id="97" w:name="_Ref163731400"/>
      <w:bookmarkStart w:id="98" w:name="_Ref163731396"/>
      <w:bookmarkStart w:id="99" w:name="_Toc165641139"/>
      <w:r>
        <w:t>Figure 4.</w:t>
      </w:r>
      <w:r>
        <w:fldChar w:fldCharType="begin"/>
      </w:r>
      <w:r>
        <w:instrText xml:space="preserve"> SEQ Figure \* ARABIC </w:instrText>
      </w:r>
      <w:r>
        <w:fldChar w:fldCharType="separate"/>
      </w:r>
      <w:r>
        <w:rPr>
          <w:noProof/>
        </w:rPr>
        <w:t>2</w:t>
      </w:r>
      <w:r>
        <w:fldChar w:fldCharType="end"/>
      </w:r>
      <w:bookmarkEnd w:id="97"/>
      <w:r>
        <w:t>: Electrochemical validation data using hydrogen</w:t>
      </w:r>
      <w:bookmarkEnd w:id="98"/>
      <w:bookmarkEnd w:id="99"/>
    </w:p>
    <w:p w14:paraId="2BBF936C" w14:textId="77777777" w:rsidR="002249C8" w:rsidRPr="0025248E" w:rsidRDefault="002249C8" w:rsidP="002249C8">
      <w:r>
        <w:t xml:space="preserve">The experimental data spans from 275 </w:t>
      </w:r>
      <m:oMath>
        <m:r>
          <w:rPr>
            <w:rFonts w:ascii="Cambria Math" w:hAnsi="Cambria Math"/>
          </w:rPr>
          <m:t>°</m:t>
        </m:r>
      </m:oMath>
      <w:r>
        <w:rPr>
          <w:rFonts w:eastAsiaTheme="minorEastAsia"/>
        </w:rPr>
        <w:t xml:space="preserve">C through 600 </w:t>
      </w:r>
      <m:oMath>
        <m:r>
          <w:rPr>
            <w:rFonts w:ascii="Cambria Math" w:eastAsiaTheme="minorEastAsia" w:hAnsi="Cambria Math"/>
          </w:rPr>
          <m:t>°</m:t>
        </m:r>
      </m:oMath>
      <w:r>
        <w:rPr>
          <w:rFonts w:eastAsiaTheme="minorEastAsia"/>
        </w:rPr>
        <w:t xml:space="preserve">C. The anticipated operation is closer to 700 </w:t>
      </w:r>
      <m:oMath>
        <m:r>
          <w:rPr>
            <w:rFonts w:ascii="Cambria Math" w:eastAsiaTheme="minorEastAsia" w:hAnsi="Cambria Math"/>
          </w:rPr>
          <m:t>°</m:t>
        </m:r>
      </m:oMath>
      <w:r>
        <w:rPr>
          <w:rFonts w:eastAsiaTheme="minorEastAsia"/>
        </w:rPr>
        <w:t xml:space="preserve">C, thus the three highest temperatures of 500 </w:t>
      </w:r>
      <m:oMath>
        <m:r>
          <w:rPr>
            <w:rFonts w:ascii="Cambria Math" w:eastAsiaTheme="minorEastAsia" w:hAnsi="Cambria Math"/>
          </w:rPr>
          <m:t>°</m:t>
        </m:r>
      </m:oMath>
      <w:r>
        <w:rPr>
          <w:rFonts w:eastAsiaTheme="minorEastAsia"/>
        </w:rPr>
        <w:t xml:space="preserve">C, 550 </w:t>
      </w:r>
      <m:oMath>
        <m:r>
          <w:rPr>
            <w:rFonts w:ascii="Cambria Math" w:eastAsiaTheme="minorEastAsia" w:hAnsi="Cambria Math"/>
          </w:rPr>
          <m:t>°</m:t>
        </m:r>
      </m:oMath>
      <w:r>
        <w:rPr>
          <w:rFonts w:eastAsiaTheme="minorEastAsia"/>
        </w:rPr>
        <w:t xml:space="preserve">C, and 600 </w:t>
      </w:r>
      <m:oMath>
        <m:r>
          <w:rPr>
            <w:rFonts w:ascii="Cambria Math" w:eastAsiaTheme="minorEastAsia" w:hAnsi="Cambria Math"/>
          </w:rPr>
          <m:t>°</m:t>
        </m:r>
      </m:oMath>
      <w:r>
        <w:rPr>
          <w:rFonts w:eastAsiaTheme="minorEastAsia"/>
        </w:rPr>
        <w:t xml:space="preserve">C are used for the validation. </w:t>
      </w:r>
      <w:r>
        <w:rPr>
          <w:rFonts w:eastAsiaTheme="minorEastAsia"/>
        </w:rPr>
        <w:fldChar w:fldCharType="begin"/>
      </w:r>
      <w:r>
        <w:rPr>
          <w:rFonts w:eastAsiaTheme="minorEastAsia"/>
        </w:rPr>
        <w:instrText xml:space="preserve"> REF _Ref163731400 \h </w:instrText>
      </w:r>
      <w:r>
        <w:rPr>
          <w:rFonts w:eastAsiaTheme="minorEastAsia"/>
        </w:rPr>
      </w:r>
      <w:r>
        <w:rPr>
          <w:rFonts w:eastAsiaTheme="minorEastAsia"/>
        </w:rPr>
        <w:fldChar w:fldCharType="separate"/>
      </w:r>
      <w:r>
        <w:t>Figure 4.</w:t>
      </w:r>
      <w:r>
        <w:rPr>
          <w:noProof/>
        </w:rPr>
        <w:t>2</w:t>
      </w:r>
      <w:r>
        <w:rPr>
          <w:rFonts w:eastAsiaTheme="minorEastAsia"/>
        </w:rPr>
        <w:fldChar w:fldCharType="end"/>
      </w:r>
      <w:r>
        <w:rPr>
          <w:rFonts w:eastAsiaTheme="minorEastAsia"/>
        </w:rPr>
        <w:t xml:space="preserve"> shows that the model very accurately predicts the experimental outputs of voltage and power density with current density. The model accurately accounts for the variation with temperature from 500-600 </w:t>
      </w:r>
      <m:oMath>
        <m:r>
          <w:rPr>
            <w:rFonts w:ascii="Cambria Math" w:eastAsiaTheme="minorEastAsia" w:hAnsi="Cambria Math"/>
          </w:rPr>
          <m:t>°</m:t>
        </m:r>
      </m:oMath>
      <w:r>
        <w:rPr>
          <w:rFonts w:eastAsiaTheme="minorEastAsia"/>
        </w:rPr>
        <w:t xml:space="preserve">C. This implies that data taken at 700 </w:t>
      </w:r>
      <m:oMath>
        <m:r>
          <w:rPr>
            <w:rFonts w:ascii="Cambria Math" w:eastAsiaTheme="minorEastAsia" w:hAnsi="Cambria Math"/>
          </w:rPr>
          <m:t>°</m:t>
        </m:r>
      </m:oMath>
      <w:r>
        <w:rPr>
          <w:rFonts w:eastAsiaTheme="minorEastAsia"/>
        </w:rPr>
        <w:t>C should be an accurate representation of these materials at elevated temperatures. The same electrochemical sub-model from this validation model is used in the MDA model where methane/natural gas is used as the fuel. This should establish a quality estimate of the system’s electrochemical capabilities until experiments can be carried out for further validation.</w:t>
      </w:r>
    </w:p>
    <w:p w14:paraId="6F87638F" w14:textId="77777777" w:rsidR="002249C8" w:rsidRDefault="002249C8" w:rsidP="002249C8">
      <w:pPr>
        <w:pStyle w:val="Heading2"/>
      </w:pPr>
      <w:bookmarkStart w:id="100" w:name="_Toc165641089"/>
      <w:r>
        <w:t>4.2 Model Results</w:t>
      </w:r>
      <w:bookmarkEnd w:id="100"/>
    </w:p>
    <w:p w14:paraId="3803502C" w14:textId="52B6826C" w:rsidR="002249C8" w:rsidRDefault="002249C8" w:rsidP="002249C8">
      <w:r>
        <w:t>The results from the model are approached with the intent to meet the states goals of 90% emissions reduction, 50% aromatic selectivity, and 30% fuel conversion. Achieving all 3 of these goals is challenging and may possibly be outside the limit of theoretical possibilities with this catalyst. This section present</w:t>
      </w:r>
      <w:r w:rsidR="00CF7532">
        <w:t>s</w:t>
      </w:r>
      <w:r>
        <w:t xml:space="preserve"> a parametric analysis of the model to optimize the outputs from the flare gas system.</w:t>
      </w:r>
    </w:p>
    <w:p w14:paraId="72277F20" w14:textId="77777777" w:rsidR="002249C8" w:rsidRDefault="002249C8" w:rsidP="002249C8">
      <w:pPr>
        <w:pStyle w:val="Heading3"/>
      </w:pPr>
      <w:bookmarkStart w:id="101" w:name="_Toc165641090"/>
      <w:r>
        <w:t>4.2.1 Model Parameters</w:t>
      </w:r>
      <w:bookmarkEnd w:id="101"/>
      <w:r>
        <w:t xml:space="preserve"> </w:t>
      </w:r>
    </w:p>
    <w:p w14:paraId="7044D1FA" w14:textId="77777777" w:rsidR="002249C8" w:rsidRDefault="002249C8" w:rsidP="002249C8">
      <w:r>
        <w:t>The model is controlled by the following adjustable parameters:</w:t>
      </w:r>
    </w:p>
    <w:p w14:paraId="1B385EA1" w14:textId="77777777" w:rsidR="002249C8" w:rsidRDefault="002249C8" w:rsidP="002249C8">
      <w:pPr>
        <w:pStyle w:val="Caption"/>
        <w:keepNext/>
      </w:pPr>
      <w:bookmarkStart w:id="102" w:name="_Ref163749371"/>
      <w:bookmarkStart w:id="103" w:name="_Toc165641118"/>
      <w:r>
        <w:t>Table 4.</w:t>
      </w:r>
      <w:r>
        <w:fldChar w:fldCharType="begin"/>
      </w:r>
      <w:r>
        <w:instrText xml:space="preserve"> SEQ Table \* ARABIC </w:instrText>
      </w:r>
      <w:r>
        <w:fldChar w:fldCharType="separate"/>
      </w:r>
      <w:r>
        <w:rPr>
          <w:noProof/>
        </w:rPr>
        <w:t>1</w:t>
      </w:r>
      <w:r>
        <w:fldChar w:fldCharType="end"/>
      </w:r>
      <w:bookmarkEnd w:id="102"/>
      <w:r>
        <w:t>: Model adjustable input parameters</w:t>
      </w:r>
      <w:bookmarkEnd w:id="103"/>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235"/>
        <w:gridCol w:w="2990"/>
        <w:gridCol w:w="2981"/>
        <w:gridCol w:w="1182"/>
      </w:tblGrid>
      <w:tr w:rsidR="002249C8" w14:paraId="25F6FCAB" w14:textId="77777777" w:rsidTr="00C77590">
        <w:trPr>
          <w:jc w:val="center"/>
        </w:trPr>
        <w:tc>
          <w:tcPr>
            <w:tcW w:w="1235" w:type="dxa"/>
            <w:vMerge w:val="restart"/>
            <w:tcBorders>
              <w:top w:val="single" w:sz="4" w:space="0" w:color="auto"/>
              <w:bottom w:val="nil"/>
            </w:tcBorders>
            <w:textDirection w:val="btLr"/>
            <w:vAlign w:val="center"/>
          </w:tcPr>
          <w:p w14:paraId="5C93153D" w14:textId="77777777" w:rsidR="002249C8" w:rsidRPr="00E84DEC" w:rsidRDefault="002249C8" w:rsidP="00C77590">
            <w:pPr>
              <w:spacing w:line="360" w:lineRule="auto"/>
              <w:ind w:left="113" w:right="113" w:firstLine="0"/>
              <w:jc w:val="center"/>
              <w:rPr>
                <w:b/>
                <w:bCs/>
              </w:rPr>
            </w:pPr>
            <w:r>
              <w:rPr>
                <w:b/>
                <w:bCs/>
              </w:rPr>
              <w:t>Primary</w:t>
            </w:r>
          </w:p>
        </w:tc>
        <w:tc>
          <w:tcPr>
            <w:tcW w:w="2990" w:type="dxa"/>
            <w:tcBorders>
              <w:top w:val="single" w:sz="4" w:space="0" w:color="auto"/>
              <w:bottom w:val="nil"/>
            </w:tcBorders>
            <w:shd w:val="clear" w:color="auto" w:fill="auto"/>
            <w:vAlign w:val="center"/>
          </w:tcPr>
          <w:p w14:paraId="11A29B55" w14:textId="77777777" w:rsidR="002249C8" w:rsidRPr="00E84DEC" w:rsidRDefault="002249C8" w:rsidP="00C77590">
            <w:pPr>
              <w:spacing w:line="360" w:lineRule="auto"/>
              <w:ind w:firstLine="0"/>
              <w:jc w:val="center"/>
              <w:rPr>
                <w:b/>
                <w:bCs/>
              </w:rPr>
            </w:pPr>
            <w:r w:rsidRPr="00E84DEC">
              <w:rPr>
                <w:b/>
                <w:bCs/>
              </w:rPr>
              <w:t>Parameter</w:t>
            </w:r>
          </w:p>
        </w:tc>
        <w:tc>
          <w:tcPr>
            <w:tcW w:w="2981" w:type="dxa"/>
            <w:tcBorders>
              <w:top w:val="single" w:sz="4" w:space="0" w:color="auto"/>
              <w:bottom w:val="nil"/>
            </w:tcBorders>
            <w:shd w:val="clear" w:color="auto" w:fill="auto"/>
            <w:vAlign w:val="center"/>
          </w:tcPr>
          <w:p w14:paraId="262DBB03" w14:textId="77777777" w:rsidR="002249C8" w:rsidRPr="00E84DEC" w:rsidRDefault="002249C8" w:rsidP="00C77590">
            <w:pPr>
              <w:spacing w:line="360" w:lineRule="auto"/>
              <w:ind w:firstLine="0"/>
              <w:jc w:val="center"/>
              <w:rPr>
                <w:b/>
                <w:bCs/>
              </w:rPr>
            </w:pPr>
            <w:r w:rsidRPr="00E84DEC">
              <w:rPr>
                <w:b/>
                <w:bCs/>
              </w:rPr>
              <w:t>Symbol</w:t>
            </w:r>
          </w:p>
        </w:tc>
        <w:tc>
          <w:tcPr>
            <w:tcW w:w="1182" w:type="dxa"/>
            <w:tcBorders>
              <w:top w:val="single" w:sz="4" w:space="0" w:color="auto"/>
              <w:bottom w:val="nil"/>
            </w:tcBorders>
            <w:shd w:val="clear" w:color="auto" w:fill="auto"/>
            <w:vAlign w:val="center"/>
          </w:tcPr>
          <w:p w14:paraId="436C1F3B" w14:textId="77777777" w:rsidR="002249C8" w:rsidRPr="00E84DEC" w:rsidRDefault="002249C8" w:rsidP="00C77590">
            <w:pPr>
              <w:spacing w:line="360" w:lineRule="auto"/>
              <w:ind w:firstLine="0"/>
              <w:jc w:val="center"/>
              <w:rPr>
                <w:b/>
                <w:bCs/>
              </w:rPr>
            </w:pPr>
            <w:r w:rsidRPr="00E84DEC">
              <w:rPr>
                <w:b/>
                <w:bCs/>
              </w:rPr>
              <w:t>Units</w:t>
            </w:r>
          </w:p>
        </w:tc>
      </w:tr>
      <w:tr w:rsidR="002249C8" w14:paraId="58B0C754" w14:textId="77777777" w:rsidTr="00C77590">
        <w:trPr>
          <w:jc w:val="center"/>
        </w:trPr>
        <w:tc>
          <w:tcPr>
            <w:tcW w:w="1235" w:type="dxa"/>
            <w:vMerge/>
            <w:tcBorders>
              <w:top w:val="nil"/>
              <w:bottom w:val="nil"/>
            </w:tcBorders>
          </w:tcPr>
          <w:p w14:paraId="0F47E49F" w14:textId="77777777" w:rsidR="002249C8" w:rsidRDefault="002249C8" w:rsidP="00C77590">
            <w:pPr>
              <w:spacing w:line="360" w:lineRule="auto"/>
              <w:ind w:firstLine="0"/>
              <w:jc w:val="center"/>
            </w:pPr>
          </w:p>
        </w:tc>
        <w:tc>
          <w:tcPr>
            <w:tcW w:w="2990" w:type="dxa"/>
            <w:tcBorders>
              <w:top w:val="nil"/>
              <w:bottom w:val="nil"/>
            </w:tcBorders>
            <w:shd w:val="clear" w:color="auto" w:fill="auto"/>
            <w:vAlign w:val="center"/>
          </w:tcPr>
          <w:p w14:paraId="541A5997" w14:textId="77777777" w:rsidR="002249C8" w:rsidRDefault="002249C8" w:rsidP="00C77590">
            <w:pPr>
              <w:spacing w:line="360" w:lineRule="auto"/>
              <w:ind w:firstLine="0"/>
              <w:jc w:val="center"/>
            </w:pPr>
            <w:r>
              <w:t>Inlet Temperature</w:t>
            </w:r>
          </w:p>
        </w:tc>
        <w:tc>
          <w:tcPr>
            <w:tcW w:w="2981" w:type="dxa"/>
            <w:tcBorders>
              <w:top w:val="nil"/>
              <w:bottom w:val="nil"/>
            </w:tcBorders>
            <w:shd w:val="clear" w:color="auto" w:fill="auto"/>
            <w:vAlign w:val="center"/>
          </w:tcPr>
          <w:p w14:paraId="11EBC7AE" w14:textId="77777777" w:rsidR="002249C8" w:rsidRDefault="00924E48" w:rsidP="00C77590">
            <w:pPr>
              <w:spacing w:line="360" w:lineRule="auto"/>
              <w:ind w:firstLine="0"/>
              <w:jc w:val="center"/>
            </w:pPr>
            <m:oMathPara>
              <m:oMath>
                <m:sSub>
                  <m:sSubPr>
                    <m:ctrlPr>
                      <w:rPr>
                        <w:rFonts w:ascii="Cambria Math" w:hAnsi="Cambria Math"/>
                        <w:i/>
                      </w:rPr>
                    </m:ctrlPr>
                  </m:sSubPr>
                  <m:e>
                    <m:r>
                      <w:rPr>
                        <w:rFonts w:ascii="Cambria Math" w:hAnsi="Cambria Math"/>
                      </w:rPr>
                      <m:t>T</m:t>
                    </m:r>
                  </m:e>
                  <m:sub>
                    <m:r>
                      <w:rPr>
                        <w:rFonts w:ascii="Cambria Math" w:hAnsi="Cambria Math"/>
                      </w:rPr>
                      <m:t>fuel</m:t>
                    </m:r>
                    <m:r>
                      <w:rPr>
                        <w:rFonts w:ascii="Cambria Math" w:hAnsi="Cambria Math"/>
                      </w:rPr>
                      <m:t xml:space="preserve"> </m:t>
                    </m:r>
                    <m:r>
                      <w:rPr>
                        <w:rFonts w:ascii="Cambria Math" w:hAnsi="Cambria Math"/>
                      </w:rPr>
                      <m:t>in</m:t>
                    </m:r>
                  </m:sub>
                </m:sSub>
              </m:oMath>
            </m:oMathPara>
          </w:p>
        </w:tc>
        <w:tc>
          <w:tcPr>
            <w:tcW w:w="1182" w:type="dxa"/>
            <w:tcBorders>
              <w:top w:val="nil"/>
              <w:bottom w:val="nil"/>
            </w:tcBorders>
            <w:shd w:val="clear" w:color="auto" w:fill="auto"/>
            <w:vAlign w:val="center"/>
          </w:tcPr>
          <w:p w14:paraId="1D581F2D" w14:textId="77777777" w:rsidR="002249C8" w:rsidRDefault="002249C8" w:rsidP="00C77590">
            <w:pPr>
              <w:spacing w:line="360" w:lineRule="auto"/>
              <w:ind w:firstLine="0"/>
              <w:jc w:val="center"/>
            </w:pPr>
            <m:oMathPara>
              <m:oMath>
                <m:r>
                  <w:rPr>
                    <w:rFonts w:ascii="Cambria Math" w:hAnsi="Cambria Math"/>
                  </w:rPr>
                  <m:t>°C</m:t>
                </m:r>
              </m:oMath>
            </m:oMathPara>
          </w:p>
        </w:tc>
      </w:tr>
      <w:tr w:rsidR="002249C8" w14:paraId="12D2DE3D" w14:textId="77777777" w:rsidTr="00C77590">
        <w:trPr>
          <w:jc w:val="center"/>
        </w:trPr>
        <w:tc>
          <w:tcPr>
            <w:tcW w:w="1235" w:type="dxa"/>
            <w:vMerge/>
            <w:tcBorders>
              <w:top w:val="nil"/>
              <w:bottom w:val="nil"/>
            </w:tcBorders>
          </w:tcPr>
          <w:p w14:paraId="10DBD462" w14:textId="77777777" w:rsidR="002249C8" w:rsidRDefault="002249C8" w:rsidP="00C77590">
            <w:pPr>
              <w:spacing w:line="360" w:lineRule="auto"/>
              <w:ind w:firstLine="0"/>
              <w:jc w:val="center"/>
            </w:pPr>
          </w:p>
        </w:tc>
        <w:tc>
          <w:tcPr>
            <w:tcW w:w="2990" w:type="dxa"/>
            <w:tcBorders>
              <w:top w:val="nil"/>
              <w:bottom w:val="nil"/>
            </w:tcBorders>
            <w:shd w:val="clear" w:color="auto" w:fill="auto"/>
            <w:vAlign w:val="center"/>
          </w:tcPr>
          <w:p w14:paraId="5C6F7889" w14:textId="77777777" w:rsidR="002249C8" w:rsidRDefault="002249C8" w:rsidP="00C77590">
            <w:pPr>
              <w:spacing w:line="360" w:lineRule="auto"/>
              <w:ind w:firstLine="0"/>
              <w:jc w:val="center"/>
            </w:pPr>
            <w:r>
              <w:t>Inlet Pressure</w:t>
            </w:r>
          </w:p>
        </w:tc>
        <w:tc>
          <w:tcPr>
            <w:tcW w:w="2981" w:type="dxa"/>
            <w:tcBorders>
              <w:top w:val="nil"/>
              <w:bottom w:val="nil"/>
            </w:tcBorders>
            <w:shd w:val="clear" w:color="auto" w:fill="auto"/>
            <w:vAlign w:val="center"/>
          </w:tcPr>
          <w:p w14:paraId="3B6FFDCE" w14:textId="77777777" w:rsidR="002249C8" w:rsidRDefault="00924E48" w:rsidP="00C77590">
            <w:pPr>
              <w:spacing w:line="360" w:lineRule="auto"/>
              <w:ind w:firstLine="0"/>
              <w:jc w:val="center"/>
            </w:pPr>
            <m:oMathPara>
              <m:oMath>
                <m:sSub>
                  <m:sSubPr>
                    <m:ctrlPr>
                      <w:rPr>
                        <w:rFonts w:ascii="Cambria Math" w:hAnsi="Cambria Math"/>
                        <w:i/>
                      </w:rPr>
                    </m:ctrlPr>
                  </m:sSubPr>
                  <m:e>
                    <m:r>
                      <w:rPr>
                        <w:rFonts w:ascii="Cambria Math" w:hAnsi="Cambria Math"/>
                      </w:rPr>
                      <m:t>P</m:t>
                    </m:r>
                  </m:e>
                  <m:sub>
                    <m:r>
                      <w:rPr>
                        <w:rFonts w:ascii="Cambria Math" w:hAnsi="Cambria Math"/>
                      </w:rPr>
                      <m:t>in</m:t>
                    </m:r>
                  </m:sub>
                </m:sSub>
              </m:oMath>
            </m:oMathPara>
          </w:p>
        </w:tc>
        <w:tc>
          <w:tcPr>
            <w:tcW w:w="1182" w:type="dxa"/>
            <w:tcBorders>
              <w:top w:val="nil"/>
              <w:bottom w:val="nil"/>
            </w:tcBorders>
            <w:shd w:val="clear" w:color="auto" w:fill="auto"/>
            <w:vAlign w:val="center"/>
          </w:tcPr>
          <w:p w14:paraId="5268A01A" w14:textId="77777777" w:rsidR="002249C8" w:rsidRDefault="002249C8" w:rsidP="00C77590">
            <w:pPr>
              <w:spacing w:line="360" w:lineRule="auto"/>
              <w:ind w:firstLine="0"/>
              <w:jc w:val="center"/>
            </w:pPr>
            <m:oMathPara>
              <m:oMath>
                <m:r>
                  <w:rPr>
                    <w:rFonts w:ascii="Cambria Math" w:hAnsi="Cambria Math"/>
                  </w:rPr>
                  <m:t>bar</m:t>
                </m:r>
              </m:oMath>
            </m:oMathPara>
          </w:p>
        </w:tc>
      </w:tr>
      <w:tr w:rsidR="002249C8" w14:paraId="7D949EE5" w14:textId="77777777" w:rsidTr="00C77590">
        <w:trPr>
          <w:jc w:val="center"/>
        </w:trPr>
        <w:tc>
          <w:tcPr>
            <w:tcW w:w="1235" w:type="dxa"/>
            <w:vMerge/>
            <w:tcBorders>
              <w:top w:val="nil"/>
              <w:bottom w:val="nil"/>
            </w:tcBorders>
          </w:tcPr>
          <w:p w14:paraId="3EA48701" w14:textId="77777777" w:rsidR="002249C8" w:rsidRDefault="002249C8" w:rsidP="00C77590">
            <w:pPr>
              <w:spacing w:line="360" w:lineRule="auto"/>
              <w:ind w:firstLine="0"/>
              <w:jc w:val="center"/>
            </w:pPr>
          </w:p>
        </w:tc>
        <w:tc>
          <w:tcPr>
            <w:tcW w:w="2990" w:type="dxa"/>
            <w:tcBorders>
              <w:top w:val="nil"/>
              <w:bottom w:val="nil"/>
            </w:tcBorders>
            <w:shd w:val="clear" w:color="auto" w:fill="auto"/>
            <w:vAlign w:val="center"/>
          </w:tcPr>
          <w:p w14:paraId="48DBF7B9" w14:textId="77777777" w:rsidR="002249C8" w:rsidRDefault="002249C8" w:rsidP="00C77590">
            <w:pPr>
              <w:spacing w:line="360" w:lineRule="auto"/>
              <w:ind w:firstLine="0"/>
              <w:jc w:val="center"/>
            </w:pPr>
            <w:r>
              <w:t>Flow rate</w:t>
            </w:r>
          </w:p>
        </w:tc>
        <w:tc>
          <w:tcPr>
            <w:tcW w:w="2981" w:type="dxa"/>
            <w:tcBorders>
              <w:top w:val="nil"/>
              <w:bottom w:val="nil"/>
            </w:tcBorders>
            <w:shd w:val="clear" w:color="auto" w:fill="auto"/>
            <w:vAlign w:val="center"/>
          </w:tcPr>
          <w:p w14:paraId="39BB3D30" w14:textId="77777777" w:rsidR="002249C8" w:rsidRDefault="00924E48" w:rsidP="00C77590">
            <w:pPr>
              <w:spacing w:line="360" w:lineRule="auto"/>
              <w:ind w:firstLine="0"/>
              <w:jc w:val="center"/>
            </w:pPr>
            <m:oMathPara>
              <m:oMath>
                <m:acc>
                  <m:accPr>
                    <m:chr m:val="̇"/>
                    <m:ctrlPr>
                      <w:rPr>
                        <w:rFonts w:ascii="Cambria Math" w:hAnsi="Cambria Math"/>
                        <w:i/>
                      </w:rPr>
                    </m:ctrlPr>
                  </m:accPr>
                  <m:e>
                    <m:r>
                      <w:rPr>
                        <w:rFonts w:ascii="Cambria Math" w:hAnsi="Cambria Math"/>
                      </w:rPr>
                      <m:t>V</m:t>
                    </m:r>
                  </m:e>
                </m:acc>
              </m:oMath>
            </m:oMathPara>
          </w:p>
        </w:tc>
        <w:tc>
          <w:tcPr>
            <w:tcW w:w="1182" w:type="dxa"/>
            <w:tcBorders>
              <w:top w:val="nil"/>
              <w:bottom w:val="nil"/>
            </w:tcBorders>
            <w:shd w:val="clear" w:color="auto" w:fill="auto"/>
            <w:vAlign w:val="center"/>
          </w:tcPr>
          <w:p w14:paraId="5F273121" w14:textId="77777777" w:rsidR="002249C8" w:rsidRDefault="00924E48" w:rsidP="00C77590">
            <w:pPr>
              <w:spacing w:line="360" w:lineRule="auto"/>
              <w:ind w:firstLine="0"/>
              <w:jc w:val="center"/>
            </w:pPr>
            <m:oMathPara>
              <m:oMath>
                <m:f>
                  <m:fPr>
                    <m:ctrlPr>
                      <w:rPr>
                        <w:rFonts w:ascii="Cambria Math" w:hAnsi="Cambria Math"/>
                        <w:i/>
                      </w:rPr>
                    </m:ctrlPr>
                  </m:fPr>
                  <m:num>
                    <m:r>
                      <w:rPr>
                        <w:rFonts w:ascii="Cambria Math" w:hAnsi="Cambria Math"/>
                      </w:rPr>
                      <m:t>L</m:t>
                    </m:r>
                  </m:num>
                  <m:den>
                    <m:sSub>
                      <m:sSubPr>
                        <m:ctrlPr>
                          <w:rPr>
                            <w:rFonts w:ascii="Cambria Math" w:hAnsi="Cambria Math"/>
                            <w:i/>
                          </w:rPr>
                        </m:ctrlPr>
                      </m:sSubPr>
                      <m:e>
                        <m:r>
                          <w:rPr>
                            <w:rFonts w:ascii="Cambria Math" w:hAnsi="Cambria Math"/>
                          </w:rPr>
                          <m:t>g</m:t>
                        </m:r>
                      </m:e>
                      <m:sub>
                        <m:r>
                          <w:rPr>
                            <w:rFonts w:ascii="Cambria Math" w:hAnsi="Cambria Math"/>
                          </w:rPr>
                          <m:t>cat</m:t>
                        </m:r>
                      </m:sub>
                    </m:sSub>
                    <m:r>
                      <w:rPr>
                        <w:rFonts w:ascii="Cambria Math" w:hAnsi="Cambria Math"/>
                      </w:rPr>
                      <m:t>h</m:t>
                    </m:r>
                  </m:den>
                </m:f>
              </m:oMath>
            </m:oMathPara>
          </w:p>
        </w:tc>
      </w:tr>
      <w:tr w:rsidR="002249C8" w14:paraId="5FE89CE5" w14:textId="77777777" w:rsidTr="00C77590">
        <w:trPr>
          <w:jc w:val="center"/>
        </w:trPr>
        <w:tc>
          <w:tcPr>
            <w:tcW w:w="1235" w:type="dxa"/>
            <w:vMerge/>
            <w:tcBorders>
              <w:top w:val="nil"/>
              <w:bottom w:val="nil"/>
            </w:tcBorders>
          </w:tcPr>
          <w:p w14:paraId="49A0A436" w14:textId="77777777" w:rsidR="002249C8" w:rsidRDefault="002249C8" w:rsidP="00C77590">
            <w:pPr>
              <w:spacing w:line="360" w:lineRule="auto"/>
              <w:ind w:firstLine="0"/>
              <w:jc w:val="center"/>
            </w:pPr>
          </w:p>
        </w:tc>
        <w:tc>
          <w:tcPr>
            <w:tcW w:w="2990" w:type="dxa"/>
            <w:tcBorders>
              <w:top w:val="nil"/>
              <w:bottom w:val="nil"/>
            </w:tcBorders>
            <w:shd w:val="clear" w:color="auto" w:fill="auto"/>
            <w:vAlign w:val="center"/>
          </w:tcPr>
          <w:p w14:paraId="32C8908C" w14:textId="77777777" w:rsidR="002249C8" w:rsidRDefault="002249C8" w:rsidP="00C77590">
            <w:pPr>
              <w:spacing w:line="360" w:lineRule="auto"/>
              <w:ind w:firstLine="0"/>
              <w:jc w:val="center"/>
            </w:pPr>
          </w:p>
        </w:tc>
        <w:tc>
          <w:tcPr>
            <w:tcW w:w="2981" w:type="dxa"/>
            <w:tcBorders>
              <w:top w:val="nil"/>
              <w:bottom w:val="nil"/>
            </w:tcBorders>
            <w:shd w:val="clear" w:color="auto" w:fill="auto"/>
            <w:vAlign w:val="center"/>
          </w:tcPr>
          <w:p w14:paraId="535E1809" w14:textId="77777777" w:rsidR="002249C8" w:rsidRDefault="00924E48" w:rsidP="00C77590">
            <w:pPr>
              <w:spacing w:line="360" w:lineRule="auto"/>
              <w:ind w:firstLine="0"/>
              <w:jc w:val="center"/>
              <w:rPr>
                <w:rFonts w:ascii="Aptos" w:eastAsia="Aptos" w:hAnsi="Aptos" w:cs="Times New Roman"/>
              </w:rPr>
            </w:pPr>
            <m:oMathPara>
              <m:oMath>
                <m:acc>
                  <m:accPr>
                    <m:chr m:val="̇"/>
                    <m:ctrlPr>
                      <w:rPr>
                        <w:rFonts w:ascii="Cambria Math" w:hAnsi="Cambria Math"/>
                        <w:i/>
                      </w:rPr>
                    </m:ctrlPr>
                  </m:accPr>
                  <m:e>
                    <m:r>
                      <w:rPr>
                        <w:rFonts w:ascii="Cambria Math" w:hAnsi="Cambria Math"/>
                      </w:rPr>
                      <m:t>m</m:t>
                    </m:r>
                  </m:e>
                </m:acc>
              </m:oMath>
            </m:oMathPara>
          </w:p>
        </w:tc>
        <w:tc>
          <w:tcPr>
            <w:tcW w:w="1182" w:type="dxa"/>
            <w:tcBorders>
              <w:top w:val="nil"/>
              <w:bottom w:val="nil"/>
            </w:tcBorders>
            <w:shd w:val="clear" w:color="auto" w:fill="auto"/>
            <w:vAlign w:val="center"/>
          </w:tcPr>
          <w:p w14:paraId="5BCCEE8E" w14:textId="77777777" w:rsidR="002249C8" w:rsidRDefault="00924E48" w:rsidP="00C77590">
            <w:pPr>
              <w:spacing w:line="360" w:lineRule="auto"/>
              <w:ind w:firstLine="0"/>
              <w:jc w:val="center"/>
              <w:rPr>
                <w:rFonts w:ascii="Aptos" w:eastAsia="Aptos" w:hAnsi="Aptos" w:cs="Times New Roman"/>
              </w:rPr>
            </w:pPr>
            <m:oMathPara>
              <m:oMath>
                <m:f>
                  <m:fPr>
                    <m:ctrlPr>
                      <w:rPr>
                        <w:rFonts w:ascii="Cambria Math" w:eastAsia="Aptos" w:hAnsi="Cambria Math" w:cs="Times New Roman"/>
                        <w:i/>
                      </w:rPr>
                    </m:ctrlPr>
                  </m:fPr>
                  <m:num>
                    <m:r>
                      <w:rPr>
                        <w:rFonts w:ascii="Cambria Math" w:eastAsia="Aptos" w:hAnsi="Cambria Math" w:cs="Times New Roman"/>
                      </w:rPr>
                      <m:t>kg</m:t>
                    </m:r>
                  </m:num>
                  <m:den>
                    <m:r>
                      <w:rPr>
                        <w:rFonts w:ascii="Cambria Math" w:eastAsia="Aptos" w:hAnsi="Cambria Math" w:cs="Times New Roman"/>
                      </w:rPr>
                      <m:t>s</m:t>
                    </m:r>
                  </m:den>
                </m:f>
              </m:oMath>
            </m:oMathPara>
          </w:p>
        </w:tc>
      </w:tr>
      <w:tr w:rsidR="002249C8" w14:paraId="11B018DF" w14:textId="77777777" w:rsidTr="00C77590">
        <w:trPr>
          <w:jc w:val="center"/>
        </w:trPr>
        <w:tc>
          <w:tcPr>
            <w:tcW w:w="1235" w:type="dxa"/>
            <w:vMerge/>
            <w:tcBorders>
              <w:top w:val="nil"/>
              <w:bottom w:val="nil"/>
            </w:tcBorders>
          </w:tcPr>
          <w:p w14:paraId="79D7D8D3" w14:textId="77777777" w:rsidR="002249C8" w:rsidRDefault="002249C8" w:rsidP="00C77590">
            <w:pPr>
              <w:spacing w:line="360" w:lineRule="auto"/>
              <w:ind w:firstLine="0"/>
              <w:jc w:val="center"/>
            </w:pPr>
          </w:p>
        </w:tc>
        <w:tc>
          <w:tcPr>
            <w:tcW w:w="2990" w:type="dxa"/>
            <w:tcBorders>
              <w:top w:val="nil"/>
              <w:bottom w:val="nil"/>
            </w:tcBorders>
            <w:shd w:val="clear" w:color="auto" w:fill="auto"/>
            <w:vAlign w:val="center"/>
          </w:tcPr>
          <w:p w14:paraId="68A61C79" w14:textId="77777777" w:rsidR="002249C8" w:rsidRDefault="002249C8" w:rsidP="00C77590">
            <w:pPr>
              <w:spacing w:line="360" w:lineRule="auto"/>
              <w:ind w:firstLine="0"/>
              <w:jc w:val="center"/>
            </w:pPr>
            <w:r>
              <w:t>Current density</w:t>
            </w:r>
          </w:p>
        </w:tc>
        <w:tc>
          <w:tcPr>
            <w:tcW w:w="2981" w:type="dxa"/>
            <w:tcBorders>
              <w:top w:val="nil"/>
              <w:bottom w:val="nil"/>
            </w:tcBorders>
            <w:shd w:val="clear" w:color="auto" w:fill="auto"/>
            <w:vAlign w:val="center"/>
          </w:tcPr>
          <w:p w14:paraId="479F37AE" w14:textId="77777777" w:rsidR="002249C8" w:rsidRDefault="00924E48" w:rsidP="00C77590">
            <w:pPr>
              <w:spacing w:line="360" w:lineRule="auto"/>
              <w:ind w:firstLine="0"/>
              <w:jc w:val="center"/>
            </w:pPr>
            <m:oMathPara>
              <m:oMath>
                <m:sSub>
                  <m:sSubPr>
                    <m:ctrlPr>
                      <w:rPr>
                        <w:rFonts w:ascii="Cambria Math" w:hAnsi="Cambria Math"/>
                        <w:i/>
                      </w:rPr>
                    </m:ctrlPr>
                  </m:sSubPr>
                  <m:e>
                    <m:r>
                      <w:rPr>
                        <w:rFonts w:ascii="Cambria Math" w:hAnsi="Cambria Math"/>
                      </w:rPr>
                      <m:t>j</m:t>
                    </m:r>
                  </m:e>
                  <m:sub>
                    <m:r>
                      <w:rPr>
                        <w:rFonts w:ascii="Cambria Math" w:hAnsi="Cambria Math"/>
                      </w:rPr>
                      <m:t>cell</m:t>
                    </m:r>
                  </m:sub>
                </m:sSub>
              </m:oMath>
            </m:oMathPara>
          </w:p>
        </w:tc>
        <w:tc>
          <w:tcPr>
            <w:tcW w:w="1182" w:type="dxa"/>
            <w:tcBorders>
              <w:top w:val="nil"/>
              <w:bottom w:val="nil"/>
            </w:tcBorders>
            <w:shd w:val="clear" w:color="auto" w:fill="auto"/>
            <w:vAlign w:val="center"/>
          </w:tcPr>
          <w:p w14:paraId="4227F35D" w14:textId="77777777" w:rsidR="002249C8" w:rsidRDefault="00924E48" w:rsidP="00C77590">
            <w:pPr>
              <w:spacing w:line="360" w:lineRule="auto"/>
              <w:ind w:firstLine="0"/>
              <w:jc w:val="center"/>
            </w:pPr>
            <m:oMathPara>
              <m:oMath>
                <m:f>
                  <m:fPr>
                    <m:ctrlPr>
                      <w:rPr>
                        <w:rFonts w:ascii="Cambria Math" w:hAnsi="Cambria Math"/>
                        <w:i/>
                      </w:rPr>
                    </m:ctrlPr>
                  </m:fPr>
                  <m:num>
                    <m:r>
                      <w:rPr>
                        <w:rFonts w:ascii="Cambria Math" w:hAnsi="Cambria Math"/>
                      </w:rPr>
                      <m:t>A</m:t>
                    </m:r>
                  </m:num>
                  <m:den>
                    <m:r>
                      <w:rPr>
                        <w:rFonts w:ascii="Cambria Math" w:hAnsi="Cambria Math"/>
                      </w:rPr>
                      <m:t>c</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 </m:t>
                    </m:r>
                  </m:den>
                </m:f>
              </m:oMath>
            </m:oMathPara>
          </w:p>
        </w:tc>
      </w:tr>
      <w:tr w:rsidR="002249C8" w14:paraId="124198D7" w14:textId="77777777" w:rsidTr="00C77590">
        <w:trPr>
          <w:jc w:val="center"/>
        </w:trPr>
        <w:tc>
          <w:tcPr>
            <w:tcW w:w="1235" w:type="dxa"/>
            <w:vMerge/>
            <w:tcBorders>
              <w:top w:val="nil"/>
              <w:bottom w:val="nil"/>
            </w:tcBorders>
          </w:tcPr>
          <w:p w14:paraId="2BB6CD93" w14:textId="77777777" w:rsidR="002249C8" w:rsidRDefault="002249C8" w:rsidP="00C77590">
            <w:pPr>
              <w:spacing w:line="360" w:lineRule="auto"/>
              <w:ind w:firstLine="0"/>
              <w:jc w:val="center"/>
            </w:pPr>
          </w:p>
        </w:tc>
        <w:tc>
          <w:tcPr>
            <w:tcW w:w="2990" w:type="dxa"/>
            <w:tcBorders>
              <w:top w:val="nil"/>
              <w:bottom w:val="nil"/>
            </w:tcBorders>
            <w:shd w:val="clear" w:color="auto" w:fill="auto"/>
            <w:vAlign w:val="center"/>
          </w:tcPr>
          <w:p w14:paraId="1EF93A79" w14:textId="77777777" w:rsidR="002249C8" w:rsidRDefault="002249C8" w:rsidP="00C77590">
            <w:pPr>
              <w:spacing w:line="360" w:lineRule="auto"/>
              <w:ind w:firstLine="0"/>
              <w:jc w:val="center"/>
            </w:pPr>
            <w:r>
              <w:t>Inlet Composition</w:t>
            </w:r>
          </w:p>
        </w:tc>
        <w:tc>
          <w:tcPr>
            <w:tcW w:w="2981" w:type="dxa"/>
            <w:tcBorders>
              <w:top w:val="nil"/>
              <w:bottom w:val="nil"/>
            </w:tcBorders>
            <w:shd w:val="clear" w:color="auto" w:fill="auto"/>
            <w:vAlign w:val="center"/>
          </w:tcPr>
          <w:p w14:paraId="5A450507" w14:textId="77777777" w:rsidR="002249C8" w:rsidRPr="00C85CBB" w:rsidRDefault="00924E48" w:rsidP="00C77590">
            <w:pPr>
              <w:spacing w:line="360" w:lineRule="auto"/>
              <w:ind w:firstLine="0"/>
              <w:jc w:val="center"/>
            </w:pPr>
            <m:oMathPara>
              <m:oMathParaPr>
                <m:jc m:val="center"/>
              </m:oMathParaPr>
              <m:oMath>
                <m:sSub>
                  <m:sSubPr>
                    <m:ctrlPr>
                      <w:rPr>
                        <w:rFonts w:ascii="Cambria Math" w:hAnsi="Cambria Math"/>
                        <w:i/>
                      </w:rPr>
                    </m:ctrlPr>
                  </m:sSubPr>
                  <m:e>
                    <m:r>
                      <w:rPr>
                        <w:rFonts w:ascii="Cambria Math" w:hAnsi="Cambria Math"/>
                      </w:rPr>
                      <m:t>x</m:t>
                    </m:r>
                  </m:e>
                  <m:sub>
                    <m:r>
                      <w:rPr>
                        <w:rFonts w:ascii="Cambria Math" w:hAnsi="Cambria Math"/>
                      </w:rPr>
                      <m:t>s</m:t>
                    </m:r>
                  </m:sub>
                </m:sSub>
                <m:r>
                  <w:rPr>
                    <w:rFonts w:ascii="Cambria Math" w:hAnsi="Cambria Math"/>
                  </w:rPr>
                  <m:t xml:space="preserve"> ,  </m:t>
                </m:r>
                <m:r>
                  <w:rPr>
                    <w:rFonts w:ascii="Cambria Math" w:hAnsi="Cambria Math"/>
                  </w:rPr>
                  <m:t>s</m:t>
                </m:r>
                <m:r>
                  <w:rPr>
                    <w:rFonts w:ascii="Cambria Math" w:hAnsi="Cambria Math"/>
                  </w:rPr>
                  <m:t>∈</m:t>
                </m:r>
                <m:d>
                  <m:dPr>
                    <m:begChr m:val="{"/>
                    <m:endChr m:val="}"/>
                    <m:ctrlPr>
                      <w:rPr>
                        <w:rFonts w:ascii="Cambria Math" w:hAnsi="Cambria Math"/>
                        <w:i/>
                      </w:rPr>
                    </m:ctrlPr>
                  </m:dPr>
                  <m:e>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sSub>
                      <m:sSubPr>
                        <m:ctrlPr>
                          <w:rPr>
                            <w:rFonts w:ascii="Cambria Math" w:hAnsi="Cambria Math"/>
                            <w:i/>
                          </w:rPr>
                        </m:ctrlPr>
                      </m:sSubPr>
                      <m:e>
                        <m:r>
                          <w:rPr>
                            <w:rFonts w:ascii="Cambria Math" w:hAnsi="Cambria Math"/>
                          </w:rPr>
                          <m:t>H</m:t>
                        </m:r>
                      </m:e>
                      <m:sub>
                        <m:r>
                          <w:rPr>
                            <w:rFonts w:ascii="Cambria Math" w:hAnsi="Cambria Math"/>
                          </w:rPr>
                          <m:t>4</m:t>
                        </m:r>
                      </m:sub>
                    </m:sSub>
                  </m:e>
                </m:d>
              </m:oMath>
            </m:oMathPara>
          </w:p>
        </w:tc>
        <w:tc>
          <w:tcPr>
            <w:tcW w:w="1182" w:type="dxa"/>
            <w:tcBorders>
              <w:top w:val="nil"/>
              <w:bottom w:val="nil"/>
            </w:tcBorders>
            <w:shd w:val="clear" w:color="auto" w:fill="auto"/>
            <w:vAlign w:val="center"/>
          </w:tcPr>
          <w:p w14:paraId="24DECBEA" w14:textId="77777777" w:rsidR="002249C8" w:rsidRDefault="002249C8" w:rsidP="00C77590">
            <w:pPr>
              <w:spacing w:line="360" w:lineRule="auto"/>
              <w:ind w:firstLine="0"/>
              <w:jc w:val="center"/>
            </w:pPr>
            <w:r>
              <w:t>%</w:t>
            </w:r>
          </w:p>
        </w:tc>
      </w:tr>
      <w:tr w:rsidR="002249C8" w14:paraId="313F0EEB" w14:textId="77777777" w:rsidTr="00C77590">
        <w:trPr>
          <w:jc w:val="center"/>
        </w:trPr>
        <w:tc>
          <w:tcPr>
            <w:tcW w:w="1235" w:type="dxa"/>
            <w:vMerge/>
            <w:tcBorders>
              <w:top w:val="nil"/>
              <w:bottom w:val="nil"/>
            </w:tcBorders>
          </w:tcPr>
          <w:p w14:paraId="799138DC" w14:textId="77777777" w:rsidR="002249C8" w:rsidRDefault="002249C8" w:rsidP="00C77590">
            <w:pPr>
              <w:spacing w:line="360" w:lineRule="auto"/>
              <w:ind w:firstLine="0"/>
              <w:jc w:val="center"/>
            </w:pPr>
          </w:p>
        </w:tc>
        <w:tc>
          <w:tcPr>
            <w:tcW w:w="2990" w:type="dxa"/>
            <w:tcBorders>
              <w:top w:val="nil"/>
              <w:bottom w:val="nil"/>
            </w:tcBorders>
            <w:shd w:val="clear" w:color="auto" w:fill="auto"/>
            <w:vAlign w:val="center"/>
          </w:tcPr>
          <w:p w14:paraId="533F3812" w14:textId="77777777" w:rsidR="002249C8" w:rsidRDefault="002249C8" w:rsidP="00C77590">
            <w:pPr>
              <w:spacing w:line="360" w:lineRule="auto"/>
              <w:ind w:firstLine="0"/>
              <w:jc w:val="center"/>
            </w:pPr>
            <w:r>
              <w:t>Fuel Conversion</w:t>
            </w:r>
          </w:p>
        </w:tc>
        <w:tc>
          <w:tcPr>
            <w:tcW w:w="2981" w:type="dxa"/>
            <w:tcBorders>
              <w:top w:val="nil"/>
              <w:bottom w:val="nil"/>
            </w:tcBorders>
            <w:shd w:val="clear" w:color="auto" w:fill="auto"/>
            <w:vAlign w:val="center"/>
          </w:tcPr>
          <w:p w14:paraId="3B56F6F6" w14:textId="77777777" w:rsidR="002249C8" w:rsidRDefault="00924E48" w:rsidP="00C77590">
            <w:pPr>
              <w:spacing w:line="360" w:lineRule="auto"/>
              <w:ind w:firstLine="0"/>
              <w:jc w:val="center"/>
            </w:pPr>
            <m:oMathPara>
              <m:oMath>
                <m:sSub>
                  <m:sSubPr>
                    <m:ctrlPr>
                      <w:rPr>
                        <w:rFonts w:ascii="Cambria Math" w:hAnsi="Cambria Math"/>
                        <w:i/>
                      </w:rPr>
                    </m:ctrlPr>
                  </m:sSubPr>
                  <m:e>
                    <m:r>
                      <w:rPr>
                        <w:rFonts w:ascii="Cambria Math" w:hAnsi="Cambria Math"/>
                      </w:rPr>
                      <m:t>F</m:t>
                    </m:r>
                  </m:e>
                  <m:sub>
                    <m:r>
                      <w:rPr>
                        <w:rFonts w:ascii="Cambria Math" w:hAnsi="Cambria Math"/>
                      </w:rPr>
                      <m:t>U</m:t>
                    </m:r>
                  </m:sub>
                </m:sSub>
              </m:oMath>
            </m:oMathPara>
          </w:p>
        </w:tc>
        <w:tc>
          <w:tcPr>
            <w:tcW w:w="1182" w:type="dxa"/>
            <w:tcBorders>
              <w:top w:val="nil"/>
              <w:bottom w:val="nil"/>
            </w:tcBorders>
            <w:shd w:val="clear" w:color="auto" w:fill="auto"/>
            <w:vAlign w:val="center"/>
          </w:tcPr>
          <w:p w14:paraId="124D0ED7" w14:textId="77777777" w:rsidR="002249C8" w:rsidRDefault="002249C8" w:rsidP="00C77590">
            <w:pPr>
              <w:spacing w:line="360" w:lineRule="auto"/>
              <w:ind w:firstLine="0"/>
              <w:jc w:val="center"/>
            </w:pPr>
            <w:r>
              <w:t>%</w:t>
            </w:r>
          </w:p>
        </w:tc>
      </w:tr>
      <w:tr w:rsidR="002249C8" w14:paraId="793A5D4A" w14:textId="77777777" w:rsidTr="00C77590">
        <w:trPr>
          <w:jc w:val="center"/>
        </w:trPr>
        <w:tc>
          <w:tcPr>
            <w:tcW w:w="1235" w:type="dxa"/>
            <w:vMerge/>
            <w:tcBorders>
              <w:top w:val="nil"/>
              <w:bottom w:val="single" w:sz="4" w:space="0" w:color="auto"/>
            </w:tcBorders>
          </w:tcPr>
          <w:p w14:paraId="5B2C2BC8" w14:textId="77777777" w:rsidR="002249C8" w:rsidRDefault="002249C8" w:rsidP="00C77590">
            <w:pPr>
              <w:spacing w:line="360" w:lineRule="auto"/>
              <w:ind w:firstLine="0"/>
              <w:jc w:val="center"/>
            </w:pPr>
          </w:p>
        </w:tc>
        <w:tc>
          <w:tcPr>
            <w:tcW w:w="2990" w:type="dxa"/>
            <w:tcBorders>
              <w:top w:val="nil"/>
              <w:bottom w:val="single" w:sz="4" w:space="0" w:color="auto"/>
            </w:tcBorders>
            <w:shd w:val="clear" w:color="auto" w:fill="auto"/>
            <w:vAlign w:val="center"/>
          </w:tcPr>
          <w:p w14:paraId="48986C66" w14:textId="77777777" w:rsidR="002249C8" w:rsidRDefault="002249C8" w:rsidP="00C77590">
            <w:pPr>
              <w:spacing w:line="360" w:lineRule="auto"/>
              <w:ind w:firstLine="0"/>
              <w:jc w:val="center"/>
            </w:pPr>
            <w:r>
              <w:t>Emissions</w:t>
            </w:r>
          </w:p>
        </w:tc>
        <w:tc>
          <w:tcPr>
            <w:tcW w:w="2981" w:type="dxa"/>
            <w:tcBorders>
              <w:top w:val="nil"/>
              <w:bottom w:val="single" w:sz="4" w:space="0" w:color="auto"/>
            </w:tcBorders>
            <w:shd w:val="clear" w:color="auto" w:fill="auto"/>
            <w:vAlign w:val="center"/>
          </w:tcPr>
          <w:p w14:paraId="1A836F9B" w14:textId="77777777" w:rsidR="002249C8" w:rsidRDefault="002249C8" w:rsidP="00C77590">
            <w:pPr>
              <w:spacing w:line="360" w:lineRule="auto"/>
              <w:ind w:firstLine="0"/>
              <w:jc w:val="center"/>
            </w:pPr>
            <m:oMathPara>
              <m:oMath>
                <m:r>
                  <w:rPr>
                    <w:rFonts w:ascii="Cambria Math" w:hAnsi="Cambria Math"/>
                  </w:rPr>
                  <m:t>ε</m:t>
                </m:r>
              </m:oMath>
            </m:oMathPara>
          </w:p>
        </w:tc>
        <w:tc>
          <w:tcPr>
            <w:tcW w:w="1182" w:type="dxa"/>
            <w:tcBorders>
              <w:top w:val="nil"/>
              <w:bottom w:val="single" w:sz="4" w:space="0" w:color="auto"/>
            </w:tcBorders>
            <w:shd w:val="clear" w:color="auto" w:fill="auto"/>
            <w:vAlign w:val="center"/>
          </w:tcPr>
          <w:p w14:paraId="3F5D4C06" w14:textId="77777777" w:rsidR="002249C8" w:rsidRDefault="002249C8" w:rsidP="00C77590">
            <w:pPr>
              <w:spacing w:line="360" w:lineRule="auto"/>
              <w:ind w:firstLine="0"/>
              <w:jc w:val="center"/>
            </w:pPr>
            <w:r>
              <w:t>%</w:t>
            </w:r>
          </w:p>
        </w:tc>
      </w:tr>
      <w:tr w:rsidR="002249C8" w14:paraId="16739340" w14:textId="77777777" w:rsidTr="00C77590">
        <w:trPr>
          <w:jc w:val="center"/>
        </w:trPr>
        <w:tc>
          <w:tcPr>
            <w:tcW w:w="1235" w:type="dxa"/>
            <w:vMerge w:val="restart"/>
            <w:tcBorders>
              <w:top w:val="single" w:sz="4" w:space="0" w:color="auto"/>
            </w:tcBorders>
            <w:textDirection w:val="btLr"/>
            <w:vAlign w:val="center"/>
          </w:tcPr>
          <w:p w14:paraId="4F19DB4A" w14:textId="77777777" w:rsidR="002249C8" w:rsidRPr="00B71395" w:rsidRDefault="002249C8" w:rsidP="00C77590">
            <w:pPr>
              <w:spacing w:line="360" w:lineRule="auto"/>
              <w:ind w:left="113" w:right="113" w:firstLine="0"/>
              <w:jc w:val="center"/>
              <w:rPr>
                <w:b/>
                <w:bCs/>
              </w:rPr>
            </w:pPr>
            <w:r w:rsidRPr="00B71395">
              <w:rPr>
                <w:b/>
                <w:bCs/>
              </w:rPr>
              <w:t>Secondary</w:t>
            </w:r>
          </w:p>
        </w:tc>
        <w:tc>
          <w:tcPr>
            <w:tcW w:w="2990" w:type="dxa"/>
            <w:tcBorders>
              <w:top w:val="single" w:sz="4" w:space="0" w:color="auto"/>
            </w:tcBorders>
            <w:shd w:val="clear" w:color="auto" w:fill="auto"/>
            <w:vAlign w:val="center"/>
          </w:tcPr>
          <w:p w14:paraId="2DFE8604" w14:textId="77777777" w:rsidR="002249C8" w:rsidRDefault="002249C8" w:rsidP="00C77590">
            <w:pPr>
              <w:spacing w:line="360" w:lineRule="auto"/>
              <w:ind w:firstLine="0"/>
              <w:jc w:val="center"/>
            </w:pPr>
            <w:r>
              <w:t>Anode Thickness</w:t>
            </w:r>
          </w:p>
        </w:tc>
        <w:tc>
          <w:tcPr>
            <w:tcW w:w="2981" w:type="dxa"/>
            <w:tcBorders>
              <w:top w:val="single" w:sz="4" w:space="0" w:color="auto"/>
            </w:tcBorders>
            <w:shd w:val="clear" w:color="auto" w:fill="auto"/>
            <w:vAlign w:val="center"/>
          </w:tcPr>
          <w:p w14:paraId="18682305" w14:textId="77777777" w:rsidR="002249C8" w:rsidRDefault="00924E48" w:rsidP="00C77590">
            <w:pPr>
              <w:spacing w:line="360" w:lineRule="auto"/>
              <w:ind w:firstLine="0"/>
              <w:jc w:val="center"/>
              <w:rPr>
                <w:rFonts w:ascii="Aptos" w:eastAsia="Aptos" w:hAnsi="Aptos" w:cs="Times New Roman"/>
              </w:rPr>
            </w:pPr>
            <m:oMathPara>
              <m:oMath>
                <m:sSub>
                  <m:sSubPr>
                    <m:ctrlPr>
                      <w:rPr>
                        <w:rFonts w:ascii="Cambria Math" w:eastAsia="Aptos" w:hAnsi="Cambria Math" w:cs="Times New Roman"/>
                        <w:i/>
                      </w:rPr>
                    </m:ctrlPr>
                  </m:sSubPr>
                  <m:e>
                    <m:r>
                      <w:rPr>
                        <w:rFonts w:ascii="Cambria Math" w:eastAsia="Aptos" w:hAnsi="Cambria Math" w:cs="Times New Roman"/>
                      </w:rPr>
                      <m:t>τ</m:t>
                    </m:r>
                  </m:e>
                  <m:sub>
                    <m:r>
                      <w:rPr>
                        <w:rFonts w:ascii="Cambria Math" w:eastAsia="Aptos" w:hAnsi="Cambria Math" w:cs="Times New Roman"/>
                      </w:rPr>
                      <m:t>an</m:t>
                    </m:r>
                  </m:sub>
                </m:sSub>
              </m:oMath>
            </m:oMathPara>
          </w:p>
        </w:tc>
        <w:tc>
          <w:tcPr>
            <w:tcW w:w="1182" w:type="dxa"/>
            <w:tcBorders>
              <w:top w:val="single" w:sz="4" w:space="0" w:color="auto"/>
            </w:tcBorders>
            <w:shd w:val="clear" w:color="auto" w:fill="auto"/>
            <w:vAlign w:val="center"/>
          </w:tcPr>
          <w:p w14:paraId="6E1428F1" w14:textId="77777777" w:rsidR="002249C8" w:rsidRDefault="002249C8" w:rsidP="00C77590">
            <w:pPr>
              <w:spacing w:line="360" w:lineRule="auto"/>
              <w:ind w:firstLine="0"/>
              <w:jc w:val="center"/>
            </w:pPr>
            <m:oMathPara>
              <m:oMath>
                <m:r>
                  <w:rPr>
                    <w:rFonts w:ascii="Cambria Math" w:hAnsi="Cambria Math"/>
                  </w:rPr>
                  <m:t>m</m:t>
                </m:r>
                <m:r>
                  <w:rPr>
                    <w:rFonts w:ascii="Cambria Math" w:eastAsiaTheme="minorEastAsia" w:hAnsi="Cambria Math"/>
                  </w:rPr>
                  <m:t>m</m:t>
                </m:r>
              </m:oMath>
            </m:oMathPara>
          </w:p>
        </w:tc>
      </w:tr>
      <w:tr w:rsidR="002249C8" w14:paraId="40366A92" w14:textId="77777777" w:rsidTr="00C77590">
        <w:trPr>
          <w:jc w:val="center"/>
        </w:trPr>
        <w:tc>
          <w:tcPr>
            <w:tcW w:w="1235" w:type="dxa"/>
            <w:vMerge/>
          </w:tcPr>
          <w:p w14:paraId="6AE4AEBA" w14:textId="77777777" w:rsidR="002249C8" w:rsidRDefault="002249C8" w:rsidP="00C77590">
            <w:pPr>
              <w:spacing w:line="360" w:lineRule="auto"/>
              <w:ind w:firstLine="0"/>
              <w:jc w:val="center"/>
            </w:pPr>
          </w:p>
        </w:tc>
        <w:tc>
          <w:tcPr>
            <w:tcW w:w="2990" w:type="dxa"/>
            <w:shd w:val="clear" w:color="auto" w:fill="auto"/>
            <w:vAlign w:val="center"/>
          </w:tcPr>
          <w:p w14:paraId="6210036A" w14:textId="77777777" w:rsidR="002249C8" w:rsidRDefault="002249C8" w:rsidP="00C77590">
            <w:pPr>
              <w:spacing w:line="360" w:lineRule="auto"/>
              <w:ind w:firstLine="0"/>
              <w:jc w:val="center"/>
            </w:pPr>
            <w:r>
              <w:t>Channel Height, fuel</w:t>
            </w:r>
          </w:p>
        </w:tc>
        <w:tc>
          <w:tcPr>
            <w:tcW w:w="2981" w:type="dxa"/>
            <w:shd w:val="clear" w:color="auto" w:fill="auto"/>
            <w:vAlign w:val="center"/>
          </w:tcPr>
          <w:p w14:paraId="1B5FDE70" w14:textId="77777777" w:rsidR="002249C8" w:rsidRDefault="00924E48" w:rsidP="00C77590">
            <w:pPr>
              <w:spacing w:line="360" w:lineRule="auto"/>
              <w:ind w:firstLine="0"/>
              <w:jc w:val="center"/>
              <w:rPr>
                <w:rFonts w:ascii="Aptos" w:eastAsia="Aptos" w:hAnsi="Aptos" w:cs="Times New Roman"/>
              </w:rPr>
            </w:pPr>
            <m:oMathPara>
              <m:oMath>
                <m:sSub>
                  <m:sSubPr>
                    <m:ctrlPr>
                      <w:rPr>
                        <w:rFonts w:ascii="Cambria Math" w:eastAsia="Aptos" w:hAnsi="Cambria Math" w:cs="Times New Roman"/>
                        <w:i/>
                      </w:rPr>
                    </m:ctrlPr>
                  </m:sSubPr>
                  <m:e>
                    <m:r>
                      <w:rPr>
                        <w:rFonts w:ascii="Cambria Math" w:eastAsia="Aptos" w:hAnsi="Cambria Math" w:cs="Times New Roman"/>
                      </w:rPr>
                      <m:t>h</m:t>
                    </m:r>
                  </m:e>
                  <m:sub>
                    <m:r>
                      <w:rPr>
                        <w:rFonts w:ascii="Cambria Math" w:eastAsia="Aptos" w:hAnsi="Cambria Math" w:cs="Times New Roman"/>
                      </w:rPr>
                      <m:t>c</m:t>
                    </m:r>
                    <m:r>
                      <w:rPr>
                        <w:rFonts w:ascii="Cambria Math" w:eastAsia="Aptos" w:hAnsi="Cambria Math" w:cs="Times New Roman"/>
                      </w:rPr>
                      <m:t>h</m:t>
                    </m:r>
                    <m:r>
                      <w:rPr>
                        <w:rFonts w:ascii="Cambria Math" w:eastAsia="Aptos" w:hAnsi="Cambria Math" w:cs="Times New Roman"/>
                      </w:rPr>
                      <m:t>,</m:t>
                    </m:r>
                    <m:r>
                      <w:rPr>
                        <w:rFonts w:ascii="Cambria Math" w:eastAsia="Aptos" w:hAnsi="Cambria Math" w:cs="Times New Roman"/>
                      </w:rPr>
                      <m:t>f</m:t>
                    </m:r>
                  </m:sub>
                </m:sSub>
              </m:oMath>
            </m:oMathPara>
          </w:p>
        </w:tc>
        <w:tc>
          <w:tcPr>
            <w:tcW w:w="1182" w:type="dxa"/>
            <w:shd w:val="clear" w:color="auto" w:fill="auto"/>
            <w:vAlign w:val="center"/>
          </w:tcPr>
          <w:p w14:paraId="47E53BDD" w14:textId="77777777" w:rsidR="002249C8" w:rsidRDefault="002249C8" w:rsidP="00C77590">
            <w:pPr>
              <w:spacing w:line="360" w:lineRule="auto"/>
              <w:ind w:firstLine="0"/>
              <w:jc w:val="center"/>
              <w:rPr>
                <w:rFonts w:ascii="Aptos" w:eastAsia="Aptos" w:hAnsi="Aptos" w:cs="Times New Roman"/>
              </w:rPr>
            </w:pPr>
            <m:oMathPara>
              <m:oMath>
                <m:r>
                  <w:rPr>
                    <w:rFonts w:ascii="Cambria Math" w:eastAsia="Aptos" w:hAnsi="Cambria Math" w:cs="Times New Roman"/>
                  </w:rPr>
                  <m:t>mm</m:t>
                </m:r>
              </m:oMath>
            </m:oMathPara>
          </w:p>
        </w:tc>
      </w:tr>
      <w:tr w:rsidR="002249C8" w14:paraId="01076BA1" w14:textId="77777777" w:rsidTr="00C77590">
        <w:trPr>
          <w:jc w:val="center"/>
        </w:trPr>
        <w:tc>
          <w:tcPr>
            <w:tcW w:w="1235" w:type="dxa"/>
            <w:vMerge/>
          </w:tcPr>
          <w:p w14:paraId="02A3425A" w14:textId="77777777" w:rsidR="002249C8" w:rsidRDefault="002249C8" w:rsidP="00C77590">
            <w:pPr>
              <w:spacing w:line="360" w:lineRule="auto"/>
              <w:ind w:firstLine="0"/>
              <w:jc w:val="center"/>
            </w:pPr>
          </w:p>
        </w:tc>
        <w:tc>
          <w:tcPr>
            <w:tcW w:w="2990" w:type="dxa"/>
            <w:shd w:val="clear" w:color="auto" w:fill="auto"/>
            <w:vAlign w:val="center"/>
          </w:tcPr>
          <w:p w14:paraId="4C352BF8" w14:textId="77777777" w:rsidR="002249C8" w:rsidRDefault="002249C8" w:rsidP="00C77590">
            <w:pPr>
              <w:spacing w:line="360" w:lineRule="auto"/>
              <w:ind w:firstLine="0"/>
              <w:jc w:val="center"/>
            </w:pPr>
            <w:r>
              <w:t>Steam Reforming Coefficient</w:t>
            </w:r>
          </w:p>
        </w:tc>
        <w:tc>
          <w:tcPr>
            <w:tcW w:w="2981" w:type="dxa"/>
            <w:shd w:val="clear" w:color="auto" w:fill="auto"/>
            <w:vAlign w:val="center"/>
          </w:tcPr>
          <w:p w14:paraId="2EE4A88E" w14:textId="77777777" w:rsidR="002249C8" w:rsidRDefault="00924E48" w:rsidP="00C77590">
            <w:pPr>
              <w:spacing w:line="360" w:lineRule="auto"/>
              <w:ind w:firstLine="0"/>
              <w:jc w:val="center"/>
              <w:rPr>
                <w:rFonts w:ascii="Aptos" w:eastAsia="Aptos" w:hAnsi="Aptos" w:cs="Times New Roman"/>
              </w:rPr>
            </w:pPr>
            <m:oMathPara>
              <m:oMath>
                <m:sSub>
                  <m:sSubPr>
                    <m:ctrlPr>
                      <w:rPr>
                        <w:rFonts w:ascii="Cambria Math" w:eastAsia="Aptos" w:hAnsi="Cambria Math" w:cs="Times New Roman"/>
                        <w:i/>
                      </w:rPr>
                    </m:ctrlPr>
                  </m:sSubPr>
                  <m:e>
                    <m:r>
                      <w:rPr>
                        <w:rFonts w:ascii="Cambria Math" w:eastAsia="Aptos" w:hAnsi="Cambria Math" w:cs="Times New Roman"/>
                      </w:rPr>
                      <m:t>α</m:t>
                    </m:r>
                  </m:e>
                  <m:sub>
                    <m:r>
                      <w:rPr>
                        <w:rFonts w:ascii="Cambria Math" w:eastAsia="Aptos" w:hAnsi="Cambria Math" w:cs="Times New Roman"/>
                      </w:rPr>
                      <m:t>sr</m:t>
                    </m:r>
                  </m:sub>
                </m:sSub>
              </m:oMath>
            </m:oMathPara>
          </w:p>
        </w:tc>
        <w:tc>
          <w:tcPr>
            <w:tcW w:w="1182" w:type="dxa"/>
            <w:shd w:val="clear" w:color="auto" w:fill="auto"/>
            <w:vAlign w:val="center"/>
          </w:tcPr>
          <w:p w14:paraId="152329CD" w14:textId="77777777" w:rsidR="002249C8" w:rsidRDefault="002249C8" w:rsidP="00C77590">
            <w:pPr>
              <w:spacing w:line="360" w:lineRule="auto"/>
              <w:ind w:firstLine="0"/>
              <w:jc w:val="center"/>
              <w:rPr>
                <w:rFonts w:ascii="Aptos" w:eastAsia="Aptos" w:hAnsi="Aptos" w:cs="Times New Roman"/>
              </w:rPr>
            </w:pPr>
            <w:r>
              <w:rPr>
                <w:rFonts w:ascii="Aptos" w:eastAsia="Aptos" w:hAnsi="Aptos" w:cs="Times New Roman"/>
              </w:rPr>
              <w:t>-</w:t>
            </w:r>
          </w:p>
        </w:tc>
      </w:tr>
      <w:tr w:rsidR="002249C8" w14:paraId="362BE2EB" w14:textId="77777777" w:rsidTr="00C77590">
        <w:trPr>
          <w:jc w:val="center"/>
        </w:trPr>
        <w:tc>
          <w:tcPr>
            <w:tcW w:w="1235" w:type="dxa"/>
            <w:vMerge/>
          </w:tcPr>
          <w:p w14:paraId="14B89DEA" w14:textId="77777777" w:rsidR="002249C8" w:rsidRDefault="002249C8" w:rsidP="00C77590">
            <w:pPr>
              <w:spacing w:line="360" w:lineRule="auto"/>
              <w:ind w:firstLine="0"/>
              <w:jc w:val="center"/>
            </w:pPr>
          </w:p>
        </w:tc>
        <w:tc>
          <w:tcPr>
            <w:tcW w:w="2990" w:type="dxa"/>
            <w:shd w:val="clear" w:color="auto" w:fill="auto"/>
            <w:vAlign w:val="center"/>
          </w:tcPr>
          <w:p w14:paraId="098EC3BF" w14:textId="77777777" w:rsidR="002249C8" w:rsidRDefault="002249C8" w:rsidP="00C77590">
            <w:pPr>
              <w:spacing w:line="360" w:lineRule="auto"/>
              <w:ind w:firstLine="0"/>
              <w:jc w:val="center"/>
            </w:pPr>
            <w:r>
              <w:t>WGS Coefficient</w:t>
            </w:r>
          </w:p>
        </w:tc>
        <w:tc>
          <w:tcPr>
            <w:tcW w:w="2981" w:type="dxa"/>
            <w:shd w:val="clear" w:color="auto" w:fill="auto"/>
            <w:vAlign w:val="center"/>
          </w:tcPr>
          <w:p w14:paraId="44F83C08" w14:textId="77777777" w:rsidR="002249C8" w:rsidRDefault="00924E48" w:rsidP="00C77590">
            <w:pPr>
              <w:spacing w:line="360" w:lineRule="auto"/>
              <w:ind w:firstLine="0"/>
              <w:jc w:val="center"/>
              <w:rPr>
                <w:rFonts w:ascii="Aptos" w:eastAsia="Aptos" w:hAnsi="Aptos" w:cs="Times New Roman"/>
              </w:rPr>
            </w:pPr>
            <m:oMathPara>
              <m:oMath>
                <m:sSub>
                  <m:sSubPr>
                    <m:ctrlPr>
                      <w:rPr>
                        <w:rFonts w:ascii="Cambria Math" w:eastAsia="Aptos" w:hAnsi="Cambria Math" w:cs="Times New Roman"/>
                        <w:i/>
                      </w:rPr>
                    </m:ctrlPr>
                  </m:sSubPr>
                  <m:e>
                    <m:r>
                      <w:rPr>
                        <w:rFonts w:ascii="Cambria Math" w:eastAsia="Aptos" w:hAnsi="Cambria Math" w:cs="Times New Roman"/>
                      </w:rPr>
                      <m:t>α</m:t>
                    </m:r>
                  </m:e>
                  <m:sub>
                    <m:r>
                      <w:rPr>
                        <w:rFonts w:ascii="Cambria Math" w:eastAsia="Aptos" w:hAnsi="Cambria Math" w:cs="Times New Roman"/>
                      </w:rPr>
                      <m:t>wgs</m:t>
                    </m:r>
                  </m:sub>
                </m:sSub>
              </m:oMath>
            </m:oMathPara>
          </w:p>
        </w:tc>
        <w:tc>
          <w:tcPr>
            <w:tcW w:w="1182" w:type="dxa"/>
            <w:shd w:val="clear" w:color="auto" w:fill="auto"/>
            <w:vAlign w:val="center"/>
          </w:tcPr>
          <w:p w14:paraId="0223E599" w14:textId="77777777" w:rsidR="002249C8" w:rsidRDefault="002249C8" w:rsidP="00C77590">
            <w:pPr>
              <w:spacing w:line="360" w:lineRule="auto"/>
              <w:ind w:firstLine="0"/>
              <w:jc w:val="center"/>
              <w:rPr>
                <w:rFonts w:ascii="Aptos" w:eastAsia="Aptos" w:hAnsi="Aptos" w:cs="Times New Roman"/>
              </w:rPr>
            </w:pPr>
            <w:r>
              <w:rPr>
                <w:rFonts w:ascii="Aptos" w:eastAsia="Aptos" w:hAnsi="Aptos" w:cs="Times New Roman"/>
              </w:rPr>
              <w:t>-</w:t>
            </w:r>
          </w:p>
        </w:tc>
      </w:tr>
    </w:tbl>
    <w:p w14:paraId="4CAD1E06" w14:textId="77777777" w:rsidR="002249C8" w:rsidRDefault="002249C8" w:rsidP="002249C8"/>
    <w:p w14:paraId="2865B60E" w14:textId="77777777" w:rsidR="002249C8" w:rsidRDefault="002249C8" w:rsidP="002249C8">
      <w:r>
        <w:t xml:space="preserve">In </w:t>
      </w:r>
      <w:r>
        <w:fldChar w:fldCharType="begin"/>
      </w:r>
      <w:r>
        <w:instrText xml:space="preserve"> REF _Ref163749371 \h </w:instrText>
      </w:r>
      <w:r>
        <w:fldChar w:fldCharType="separate"/>
      </w:r>
      <w:r>
        <w:t>Table 4.</w:t>
      </w:r>
      <w:r>
        <w:rPr>
          <w:noProof/>
        </w:rPr>
        <w:t>1</w:t>
      </w:r>
      <w:r>
        <w:fldChar w:fldCharType="end"/>
      </w:r>
      <w:r>
        <w:t xml:space="preserve">, there are seven primary and four secondary parameters. Of these, the model requires four of the primary parameters and all the secondary parameters to be defined </w:t>
      </w:r>
      <w:proofErr w:type="gramStart"/>
      <w:r>
        <w:t>in order to</w:t>
      </w:r>
      <w:proofErr w:type="gramEnd"/>
      <w:r>
        <w:t xml:space="preserve"> converge a solution. This leaves three primary parameters for the software to solve using the formulation discussed in Chapter 3. In subsequent sections, the relationship between the primary parameters is analyzed, as well as the effect of changing the secondary parameters on the outputs of the system.</w:t>
      </w:r>
    </w:p>
    <w:p w14:paraId="610603D0" w14:textId="7748B940" w:rsidR="001C24ED" w:rsidRDefault="002249C8" w:rsidP="002249C8">
      <w:pPr>
        <w:rPr>
          <w:rFonts w:eastAsiaTheme="minorEastAsia"/>
        </w:rPr>
      </w:pPr>
      <w:r>
        <w:t>The standard inlet temperature and pressure of the model is 710</w:t>
      </w:r>
      <m:oMath>
        <m:r>
          <w:rPr>
            <w:rFonts w:ascii="Cambria Math" w:hAnsi="Cambria Math"/>
          </w:rPr>
          <m:t>°</m:t>
        </m:r>
      </m:oMath>
      <w:r>
        <w:rPr>
          <w:rFonts w:eastAsiaTheme="minorEastAsia"/>
        </w:rPr>
        <w:t>C and 1.005 bar, respectively. The flow rate is often adjusted to achieve a specified fuel conversion ratio, but the baseline value used in this model is 1 Lg</w:t>
      </w:r>
      <w:r>
        <w:rPr>
          <w:rFonts w:eastAsiaTheme="minorEastAsia"/>
          <w:vertAlign w:val="subscript"/>
        </w:rPr>
        <w:t>cat</w:t>
      </w:r>
      <w:r>
        <w:rPr>
          <w:rFonts w:eastAsiaTheme="minorEastAsia"/>
          <w:vertAlign w:val="superscript"/>
        </w:rPr>
        <w:t>-1</w:t>
      </w:r>
      <w:r>
        <w:rPr>
          <w:rFonts w:eastAsiaTheme="minorEastAsia"/>
        </w:rPr>
        <w:t>h</w:t>
      </w:r>
      <w:r>
        <w:rPr>
          <w:rFonts w:eastAsiaTheme="minorEastAsia"/>
          <w:vertAlign w:val="superscript"/>
        </w:rPr>
        <w:t>-1</w:t>
      </w:r>
      <w:r>
        <w:rPr>
          <w:rFonts w:eastAsiaTheme="minorEastAsia"/>
        </w:rPr>
        <w:t xml:space="preserve">. The current density is varied and depends on the inlet composition. The inlet composition in this model consists of highly idealized natural gas (95% methane, 5% water), additional water, and optional recycling streams of hydrogen and ethylene. Since any recycled stream is a product of the natural gas, and additional water outside the 5% considered for the natural gas is considered an additive, the fuel utilization is based only on the consumption of the natural gas, i.e. the 95% methane and 5% water feed. This is the term that aligns with </w:t>
      </w:r>
      <w:r w:rsidR="008D0892">
        <w:rPr>
          <w:rFonts w:eastAsiaTheme="minorEastAsia"/>
        </w:rPr>
        <w:t>the research</w:t>
      </w:r>
      <w:r>
        <w:rPr>
          <w:rFonts w:eastAsiaTheme="minorEastAsia"/>
        </w:rPr>
        <w:t xml:space="preserve"> goal of &gt;30% natural gas conversion. Lastly, the emissions term is the sum of the selectivity of the methane conversion to CO and CO</w:t>
      </w:r>
      <w:r>
        <w:rPr>
          <w:rFonts w:eastAsiaTheme="minorEastAsia"/>
        </w:rPr>
        <w:softHyphen/>
      </w:r>
      <w:r>
        <w:rPr>
          <w:rFonts w:eastAsiaTheme="minorEastAsia"/>
          <w:vertAlign w:val="subscript"/>
        </w:rPr>
        <w:t>2</w:t>
      </w:r>
      <w:r>
        <w:rPr>
          <w:rFonts w:eastAsiaTheme="minorEastAsia"/>
        </w:rPr>
        <w:t xml:space="preserve">, which proceed to the flare after the PCFC system. This term is ideally &lt;10% to achieve a 90% reduction in emissions. The secondary parameters, along with other important model inputs are shown below in </w:t>
      </w:r>
      <w:r>
        <w:rPr>
          <w:rFonts w:eastAsiaTheme="minorEastAsia"/>
        </w:rPr>
        <w:fldChar w:fldCharType="begin"/>
      </w:r>
      <w:r>
        <w:rPr>
          <w:rFonts w:eastAsiaTheme="minorEastAsia"/>
        </w:rPr>
        <w:instrText xml:space="preserve"> REF _Ref163754133 \h </w:instrText>
      </w:r>
      <w:r>
        <w:rPr>
          <w:rFonts w:eastAsiaTheme="minorEastAsia"/>
        </w:rPr>
      </w:r>
      <w:r>
        <w:rPr>
          <w:rFonts w:eastAsiaTheme="minorEastAsia"/>
        </w:rPr>
        <w:fldChar w:fldCharType="separate"/>
      </w:r>
      <w:r>
        <w:t>Table 4.</w:t>
      </w:r>
      <w:r>
        <w:rPr>
          <w:noProof/>
        </w:rPr>
        <w:t>2</w:t>
      </w:r>
      <w:r>
        <w:rPr>
          <w:rFonts w:eastAsiaTheme="minorEastAsia"/>
        </w:rPr>
        <w:fldChar w:fldCharType="end"/>
      </w:r>
      <w:r>
        <w:rPr>
          <w:rFonts w:eastAsiaTheme="minorEastAsia"/>
        </w:rPr>
        <w:t xml:space="preserve"> unless otherwise indicated. </w:t>
      </w:r>
    </w:p>
    <w:p w14:paraId="23CD0406" w14:textId="77777777" w:rsidR="001C24ED" w:rsidRDefault="001C24ED">
      <w:pPr>
        <w:spacing w:after="160" w:line="259" w:lineRule="auto"/>
        <w:ind w:firstLine="0"/>
        <w:jc w:val="left"/>
        <w:rPr>
          <w:rFonts w:eastAsiaTheme="minorEastAsia"/>
        </w:rPr>
      </w:pPr>
      <w:r>
        <w:rPr>
          <w:rFonts w:eastAsiaTheme="minorEastAsia"/>
        </w:rPr>
        <w:br w:type="page"/>
      </w:r>
    </w:p>
    <w:p w14:paraId="2431B107" w14:textId="77777777" w:rsidR="002249C8" w:rsidRDefault="002249C8" w:rsidP="002249C8">
      <w:pPr>
        <w:rPr>
          <w:rFonts w:eastAsiaTheme="minorEastAsia"/>
        </w:rPr>
      </w:pPr>
    </w:p>
    <w:p w14:paraId="3ECD1C67" w14:textId="77777777" w:rsidR="002249C8" w:rsidRDefault="002249C8" w:rsidP="002249C8">
      <w:pPr>
        <w:pStyle w:val="Caption"/>
        <w:keepNext/>
      </w:pPr>
      <w:bookmarkStart w:id="104" w:name="_Ref163754133"/>
      <w:bookmarkStart w:id="105" w:name="_Toc165641119"/>
      <w:r>
        <w:t>Table 4.</w:t>
      </w:r>
      <w:r>
        <w:fldChar w:fldCharType="begin"/>
      </w:r>
      <w:r>
        <w:instrText xml:space="preserve"> SEQ Table \* ARABIC </w:instrText>
      </w:r>
      <w:r>
        <w:fldChar w:fldCharType="separate"/>
      </w:r>
      <w:r>
        <w:rPr>
          <w:noProof/>
        </w:rPr>
        <w:t>2</w:t>
      </w:r>
      <w:r>
        <w:fldChar w:fldCharType="end"/>
      </w:r>
      <w:bookmarkEnd w:id="104"/>
      <w:r>
        <w:t>: Input parameters</w:t>
      </w:r>
      <w:bookmarkEnd w:id="105"/>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3116"/>
        <w:gridCol w:w="1919"/>
        <w:gridCol w:w="1890"/>
      </w:tblGrid>
      <w:tr w:rsidR="002249C8" w14:paraId="5495EFC9" w14:textId="77777777" w:rsidTr="00C77590">
        <w:trPr>
          <w:cantSplit/>
          <w:jc w:val="center"/>
        </w:trPr>
        <w:tc>
          <w:tcPr>
            <w:tcW w:w="3116" w:type="dxa"/>
            <w:vAlign w:val="center"/>
          </w:tcPr>
          <w:p w14:paraId="5DC76D17" w14:textId="77777777" w:rsidR="002249C8" w:rsidRDefault="002249C8" w:rsidP="00C77590">
            <w:pPr>
              <w:spacing w:line="276" w:lineRule="auto"/>
              <w:ind w:firstLine="0"/>
              <w:jc w:val="center"/>
            </w:pPr>
            <w:r>
              <w:t>Input</w:t>
            </w:r>
          </w:p>
        </w:tc>
        <w:tc>
          <w:tcPr>
            <w:tcW w:w="1919" w:type="dxa"/>
            <w:vAlign w:val="center"/>
          </w:tcPr>
          <w:p w14:paraId="46B0E4BF" w14:textId="77777777" w:rsidR="002249C8" w:rsidRDefault="002249C8" w:rsidP="00C77590">
            <w:pPr>
              <w:spacing w:line="276" w:lineRule="auto"/>
              <w:ind w:firstLine="0"/>
              <w:jc w:val="center"/>
            </w:pPr>
            <w:r>
              <w:t>Value</w:t>
            </w:r>
          </w:p>
        </w:tc>
        <w:tc>
          <w:tcPr>
            <w:tcW w:w="1890" w:type="dxa"/>
            <w:vAlign w:val="center"/>
          </w:tcPr>
          <w:p w14:paraId="0B44419E" w14:textId="77777777" w:rsidR="002249C8" w:rsidRDefault="002249C8" w:rsidP="00C77590">
            <w:pPr>
              <w:spacing w:line="276" w:lineRule="auto"/>
              <w:ind w:firstLine="0"/>
              <w:jc w:val="center"/>
            </w:pPr>
            <w:r>
              <w:t>Units</w:t>
            </w:r>
          </w:p>
        </w:tc>
      </w:tr>
      <w:tr w:rsidR="002249C8" w14:paraId="55CF8933" w14:textId="77777777" w:rsidTr="00C77590">
        <w:trPr>
          <w:cantSplit/>
          <w:jc w:val="center"/>
        </w:trPr>
        <w:tc>
          <w:tcPr>
            <w:tcW w:w="3116" w:type="dxa"/>
            <w:vAlign w:val="center"/>
          </w:tcPr>
          <w:p w14:paraId="171CE45D" w14:textId="77777777" w:rsidR="002249C8" w:rsidRDefault="002249C8" w:rsidP="00C77590">
            <w:pPr>
              <w:spacing w:line="276" w:lineRule="auto"/>
              <w:ind w:firstLine="0"/>
              <w:jc w:val="center"/>
            </w:pPr>
            <w:r>
              <w:t>Faraday’s constant</w:t>
            </w:r>
          </w:p>
        </w:tc>
        <w:tc>
          <w:tcPr>
            <w:tcW w:w="1919" w:type="dxa"/>
            <w:vAlign w:val="center"/>
          </w:tcPr>
          <w:p w14:paraId="4A717E4E" w14:textId="77777777" w:rsidR="002249C8" w:rsidRDefault="002249C8" w:rsidP="00C77590">
            <w:pPr>
              <w:spacing w:line="276" w:lineRule="auto"/>
              <w:ind w:firstLine="0"/>
              <w:jc w:val="center"/>
            </w:pPr>
            <w:r>
              <w:t>96485.4</w:t>
            </w:r>
          </w:p>
        </w:tc>
        <w:tc>
          <w:tcPr>
            <w:tcW w:w="1890" w:type="dxa"/>
            <w:vAlign w:val="center"/>
          </w:tcPr>
          <w:p w14:paraId="7F074ADA" w14:textId="77777777" w:rsidR="002249C8" w:rsidRDefault="002249C8" w:rsidP="00C77590">
            <w:pPr>
              <w:spacing w:line="276" w:lineRule="auto"/>
              <w:ind w:firstLine="0"/>
              <w:jc w:val="center"/>
            </w:pPr>
            <m:oMathPara>
              <m:oMath>
                <m:r>
                  <w:rPr>
                    <w:rFonts w:ascii="Cambria Math" w:hAnsi="Cambria Math"/>
                  </w:rPr>
                  <m:t>C mo</m:t>
                </m:r>
                <m:sSup>
                  <m:sSupPr>
                    <m:ctrlPr>
                      <w:rPr>
                        <w:rFonts w:ascii="Cambria Math" w:hAnsi="Cambria Math"/>
                        <w:i/>
                      </w:rPr>
                    </m:ctrlPr>
                  </m:sSupPr>
                  <m:e>
                    <m:r>
                      <w:rPr>
                        <w:rFonts w:ascii="Cambria Math" w:hAnsi="Cambria Math"/>
                      </w:rPr>
                      <m:t>l</m:t>
                    </m:r>
                  </m:e>
                  <m:sup>
                    <m:r>
                      <w:rPr>
                        <w:rFonts w:ascii="Cambria Math" w:hAnsi="Cambria Math"/>
                      </w:rPr>
                      <m:t>-1</m:t>
                    </m:r>
                  </m:sup>
                </m:sSup>
              </m:oMath>
            </m:oMathPara>
          </w:p>
        </w:tc>
      </w:tr>
      <w:tr w:rsidR="002249C8" w14:paraId="3087FC83" w14:textId="77777777" w:rsidTr="00C77590">
        <w:trPr>
          <w:cantSplit/>
          <w:jc w:val="center"/>
        </w:trPr>
        <w:tc>
          <w:tcPr>
            <w:tcW w:w="3116" w:type="dxa"/>
            <w:vAlign w:val="center"/>
          </w:tcPr>
          <w:p w14:paraId="15CF5B0C" w14:textId="77777777" w:rsidR="002249C8" w:rsidRDefault="002249C8" w:rsidP="00C77590">
            <w:pPr>
              <w:spacing w:line="276" w:lineRule="auto"/>
              <w:ind w:firstLine="0"/>
              <w:jc w:val="center"/>
            </w:pPr>
            <w:r>
              <w:t>Universal Gas constant</w:t>
            </w:r>
          </w:p>
        </w:tc>
        <w:tc>
          <w:tcPr>
            <w:tcW w:w="1919" w:type="dxa"/>
            <w:vAlign w:val="center"/>
          </w:tcPr>
          <w:p w14:paraId="4EE495F4" w14:textId="77777777" w:rsidR="002249C8" w:rsidRDefault="002249C8" w:rsidP="00C77590">
            <w:pPr>
              <w:spacing w:line="276" w:lineRule="auto"/>
              <w:ind w:firstLine="0"/>
              <w:jc w:val="center"/>
            </w:pPr>
            <w:r>
              <w:t>8.314</w:t>
            </w:r>
          </w:p>
        </w:tc>
        <w:tc>
          <w:tcPr>
            <w:tcW w:w="1890" w:type="dxa"/>
            <w:vAlign w:val="center"/>
          </w:tcPr>
          <w:p w14:paraId="32598D21" w14:textId="77777777" w:rsidR="002249C8" w:rsidRDefault="002249C8" w:rsidP="00C77590">
            <w:pPr>
              <w:spacing w:line="276" w:lineRule="auto"/>
              <w:ind w:firstLine="0"/>
              <w:jc w:val="center"/>
            </w:pPr>
            <m:oMathPara>
              <m:oMath>
                <m:r>
                  <w:rPr>
                    <w:rFonts w:ascii="Cambria Math" w:hAnsi="Cambria Math"/>
                  </w:rPr>
                  <m:t>J mo</m:t>
                </m:r>
                <m:sSup>
                  <m:sSupPr>
                    <m:ctrlPr>
                      <w:rPr>
                        <w:rFonts w:ascii="Cambria Math" w:hAnsi="Cambria Math"/>
                        <w:i/>
                      </w:rPr>
                    </m:ctrlPr>
                  </m:sSupPr>
                  <m:e>
                    <m:r>
                      <w:rPr>
                        <w:rFonts w:ascii="Cambria Math" w:hAnsi="Cambria Math"/>
                      </w:rPr>
                      <m:t>l</m:t>
                    </m:r>
                  </m:e>
                  <m:sup>
                    <m:r>
                      <w:rPr>
                        <w:rFonts w:ascii="Cambria Math" w:hAnsi="Cambria Math"/>
                      </w:rPr>
                      <m:t>-1</m:t>
                    </m:r>
                  </m:sup>
                </m:sSup>
                <m:r>
                  <w:rPr>
                    <w:rFonts w:ascii="Cambria Math" w:hAnsi="Cambria Math"/>
                  </w:rPr>
                  <m:t xml:space="preserve"> </m:t>
                </m:r>
                <m:sSup>
                  <m:sSupPr>
                    <m:ctrlPr>
                      <w:rPr>
                        <w:rFonts w:ascii="Cambria Math" w:hAnsi="Cambria Math"/>
                        <w:i/>
                      </w:rPr>
                    </m:ctrlPr>
                  </m:sSupPr>
                  <m:e>
                    <m:r>
                      <w:rPr>
                        <w:rFonts w:ascii="Cambria Math" w:hAnsi="Cambria Math"/>
                      </w:rPr>
                      <m:t>K</m:t>
                    </m:r>
                  </m:e>
                  <m:sup>
                    <m:r>
                      <w:rPr>
                        <w:rFonts w:ascii="Cambria Math" w:hAnsi="Cambria Math"/>
                      </w:rPr>
                      <m:t>-1</m:t>
                    </m:r>
                  </m:sup>
                </m:sSup>
              </m:oMath>
            </m:oMathPara>
          </w:p>
        </w:tc>
      </w:tr>
      <w:tr w:rsidR="002249C8" w14:paraId="7E19E98E" w14:textId="77777777" w:rsidTr="00C77590">
        <w:trPr>
          <w:cantSplit/>
          <w:jc w:val="center"/>
        </w:trPr>
        <w:tc>
          <w:tcPr>
            <w:tcW w:w="3116" w:type="dxa"/>
            <w:vAlign w:val="center"/>
          </w:tcPr>
          <w:p w14:paraId="6BEEF90A" w14:textId="77777777" w:rsidR="002249C8" w:rsidRDefault="002249C8" w:rsidP="00C77590">
            <w:pPr>
              <w:spacing w:line="276" w:lineRule="auto"/>
              <w:ind w:firstLine="0"/>
              <w:jc w:val="center"/>
            </w:pPr>
            <w:r>
              <w:t>Stefan-Boltzmann constant</w:t>
            </w:r>
          </w:p>
        </w:tc>
        <w:tc>
          <w:tcPr>
            <w:tcW w:w="1919" w:type="dxa"/>
            <w:vAlign w:val="center"/>
          </w:tcPr>
          <w:p w14:paraId="49D4F177" w14:textId="77777777" w:rsidR="002249C8" w:rsidRPr="003208AF" w:rsidRDefault="002249C8" w:rsidP="00C77590">
            <w:pPr>
              <w:spacing w:line="276" w:lineRule="auto"/>
              <w:ind w:firstLine="0"/>
              <w:jc w:val="center"/>
              <w:rPr>
                <w:vertAlign w:val="superscript"/>
              </w:rPr>
            </w:pPr>
            <w:r>
              <w:t>5.67</w:t>
            </w:r>
            <w:r>
              <w:rPr>
                <w:rFonts w:eastAsiaTheme="minorEastAsia"/>
              </w:rPr>
              <w:t xml:space="preserve"> </w:t>
            </w:r>
            <m:oMath>
              <m:r>
                <w:rPr>
                  <w:rFonts w:ascii="Cambria Math" w:hAnsi="Cambria Math"/>
                </w:rPr>
                <m:t>∙</m:t>
              </m:r>
            </m:oMath>
            <w:r>
              <w:rPr>
                <w:rFonts w:eastAsiaTheme="minorEastAsia"/>
              </w:rPr>
              <w:t xml:space="preserve"> 10</w:t>
            </w:r>
            <w:r>
              <w:rPr>
                <w:rFonts w:eastAsiaTheme="minorEastAsia"/>
                <w:vertAlign w:val="superscript"/>
              </w:rPr>
              <w:t>-8</w:t>
            </w:r>
          </w:p>
        </w:tc>
        <w:tc>
          <w:tcPr>
            <w:tcW w:w="1890" w:type="dxa"/>
            <w:vAlign w:val="center"/>
          </w:tcPr>
          <w:p w14:paraId="09402D63" w14:textId="77777777" w:rsidR="002249C8" w:rsidRPr="002202D2" w:rsidRDefault="002249C8" w:rsidP="00C77590">
            <w:pPr>
              <w:spacing w:line="276" w:lineRule="auto"/>
              <w:ind w:firstLine="0"/>
              <w:jc w:val="center"/>
              <w:rPr>
                <w:rFonts w:ascii="Aptos" w:eastAsia="Aptos" w:hAnsi="Aptos" w:cs="Times New Roman"/>
              </w:rPr>
            </w:pPr>
            <m:oMathPara>
              <m:oMath>
                <m:r>
                  <w:rPr>
                    <w:rFonts w:ascii="Cambria Math" w:eastAsia="Aptos" w:hAnsi="Cambria Math" w:cs="Times New Roman"/>
                  </w:rPr>
                  <m:t xml:space="preserve">W </m:t>
                </m:r>
                <m:sSup>
                  <m:sSupPr>
                    <m:ctrlPr>
                      <w:rPr>
                        <w:rFonts w:ascii="Cambria Math" w:eastAsia="Aptos" w:hAnsi="Cambria Math" w:cs="Times New Roman"/>
                        <w:i/>
                      </w:rPr>
                    </m:ctrlPr>
                  </m:sSupPr>
                  <m:e>
                    <m:r>
                      <w:rPr>
                        <w:rFonts w:ascii="Cambria Math" w:eastAsia="Aptos" w:hAnsi="Cambria Math" w:cs="Times New Roman"/>
                      </w:rPr>
                      <m:t>m</m:t>
                    </m:r>
                  </m:e>
                  <m:sup>
                    <m:r>
                      <w:rPr>
                        <w:rFonts w:ascii="Cambria Math" w:eastAsia="Aptos" w:hAnsi="Cambria Math" w:cs="Times New Roman"/>
                      </w:rPr>
                      <m:t>-2</m:t>
                    </m:r>
                  </m:sup>
                </m:sSup>
                <m:r>
                  <w:rPr>
                    <w:rFonts w:ascii="Cambria Math" w:eastAsia="Aptos" w:hAnsi="Cambria Math" w:cs="Times New Roman"/>
                  </w:rPr>
                  <m:t xml:space="preserve"> </m:t>
                </m:r>
                <m:sSup>
                  <m:sSupPr>
                    <m:ctrlPr>
                      <w:rPr>
                        <w:rFonts w:ascii="Cambria Math" w:eastAsia="Aptos" w:hAnsi="Cambria Math" w:cs="Times New Roman"/>
                        <w:i/>
                      </w:rPr>
                    </m:ctrlPr>
                  </m:sSupPr>
                  <m:e>
                    <m:r>
                      <w:rPr>
                        <w:rFonts w:ascii="Cambria Math" w:eastAsia="Aptos" w:hAnsi="Cambria Math" w:cs="Times New Roman"/>
                      </w:rPr>
                      <m:t>K</m:t>
                    </m:r>
                  </m:e>
                  <m:sup>
                    <m:r>
                      <w:rPr>
                        <w:rFonts w:ascii="Cambria Math" w:eastAsia="Aptos" w:hAnsi="Cambria Math" w:cs="Times New Roman"/>
                      </w:rPr>
                      <m:t>-4</m:t>
                    </m:r>
                  </m:sup>
                </m:sSup>
              </m:oMath>
            </m:oMathPara>
          </w:p>
        </w:tc>
      </w:tr>
      <w:tr w:rsidR="002249C8" w14:paraId="0027F9E7" w14:textId="77777777" w:rsidTr="00C77590">
        <w:trPr>
          <w:cantSplit/>
          <w:jc w:val="center"/>
        </w:trPr>
        <w:tc>
          <w:tcPr>
            <w:tcW w:w="3116" w:type="dxa"/>
            <w:vAlign w:val="center"/>
          </w:tcPr>
          <w:p w14:paraId="4321EE70" w14:textId="77777777" w:rsidR="002249C8" w:rsidRDefault="002249C8" w:rsidP="00C77590">
            <w:pPr>
              <w:spacing w:line="276" w:lineRule="auto"/>
              <w:ind w:firstLine="0"/>
              <w:jc w:val="center"/>
            </w:pPr>
            <w:r>
              <w:t>Cell length</w:t>
            </w:r>
          </w:p>
        </w:tc>
        <w:tc>
          <w:tcPr>
            <w:tcW w:w="1919" w:type="dxa"/>
            <w:vAlign w:val="center"/>
          </w:tcPr>
          <w:p w14:paraId="07C5104A" w14:textId="77777777" w:rsidR="002249C8" w:rsidRDefault="002249C8" w:rsidP="00C77590">
            <w:pPr>
              <w:spacing w:line="276" w:lineRule="auto"/>
              <w:ind w:firstLine="0"/>
              <w:jc w:val="center"/>
            </w:pPr>
            <w:r>
              <w:t>0.125</w:t>
            </w:r>
          </w:p>
        </w:tc>
        <w:tc>
          <w:tcPr>
            <w:tcW w:w="1890" w:type="dxa"/>
            <w:vAlign w:val="center"/>
          </w:tcPr>
          <w:p w14:paraId="2E0E92F1" w14:textId="77777777" w:rsidR="002249C8" w:rsidRDefault="002249C8" w:rsidP="00C77590">
            <w:pPr>
              <w:spacing w:line="276" w:lineRule="auto"/>
              <w:ind w:firstLine="0"/>
              <w:jc w:val="center"/>
            </w:pPr>
            <m:oMathPara>
              <m:oMath>
                <m:r>
                  <w:rPr>
                    <w:rFonts w:ascii="Cambria Math" w:hAnsi="Cambria Math"/>
                  </w:rPr>
                  <m:t>m</m:t>
                </m:r>
              </m:oMath>
            </m:oMathPara>
          </w:p>
        </w:tc>
      </w:tr>
      <w:tr w:rsidR="002249C8" w14:paraId="035FBBAA" w14:textId="77777777" w:rsidTr="00C77590">
        <w:trPr>
          <w:cantSplit/>
          <w:jc w:val="center"/>
        </w:trPr>
        <w:tc>
          <w:tcPr>
            <w:tcW w:w="3116" w:type="dxa"/>
            <w:vAlign w:val="center"/>
          </w:tcPr>
          <w:p w14:paraId="18AAB7EF" w14:textId="77777777" w:rsidR="002249C8" w:rsidRDefault="002249C8" w:rsidP="00C77590">
            <w:pPr>
              <w:spacing w:line="276" w:lineRule="auto"/>
              <w:ind w:firstLine="0"/>
              <w:jc w:val="center"/>
            </w:pPr>
            <w:r>
              <w:t>Anode thickness</w:t>
            </w:r>
          </w:p>
        </w:tc>
        <w:tc>
          <w:tcPr>
            <w:tcW w:w="1919" w:type="dxa"/>
            <w:vAlign w:val="center"/>
          </w:tcPr>
          <w:p w14:paraId="685F1B53" w14:textId="77777777" w:rsidR="002249C8" w:rsidRDefault="002249C8" w:rsidP="00C77590">
            <w:pPr>
              <w:spacing w:line="276" w:lineRule="auto"/>
              <w:ind w:firstLine="0"/>
              <w:jc w:val="center"/>
            </w:pPr>
            <w:r>
              <w:t>500</w:t>
            </w:r>
          </w:p>
        </w:tc>
        <w:tc>
          <w:tcPr>
            <w:tcW w:w="1890" w:type="dxa"/>
            <w:vAlign w:val="center"/>
          </w:tcPr>
          <w:p w14:paraId="23A81CA5" w14:textId="77777777" w:rsidR="002249C8" w:rsidRDefault="002249C8" w:rsidP="00C77590">
            <w:pPr>
              <w:spacing w:line="276" w:lineRule="auto"/>
              <w:ind w:firstLine="0"/>
              <w:jc w:val="center"/>
            </w:pPr>
            <m:oMathPara>
              <m:oMath>
                <m:r>
                  <w:rPr>
                    <w:rFonts w:ascii="Cambria Math" w:hAnsi="Cambria Math"/>
                  </w:rPr>
                  <m:t>μm</m:t>
                </m:r>
              </m:oMath>
            </m:oMathPara>
          </w:p>
        </w:tc>
      </w:tr>
      <w:tr w:rsidR="002249C8" w14:paraId="181B13C3" w14:textId="77777777" w:rsidTr="00C77590">
        <w:trPr>
          <w:cantSplit/>
          <w:jc w:val="center"/>
        </w:trPr>
        <w:tc>
          <w:tcPr>
            <w:tcW w:w="3116" w:type="dxa"/>
            <w:vAlign w:val="center"/>
          </w:tcPr>
          <w:p w14:paraId="0AAF1472" w14:textId="77777777" w:rsidR="002249C8" w:rsidRDefault="002249C8" w:rsidP="00C77590">
            <w:pPr>
              <w:spacing w:line="276" w:lineRule="auto"/>
              <w:ind w:firstLine="0"/>
              <w:jc w:val="center"/>
            </w:pPr>
            <w:r>
              <w:t>Cathode thickness</w:t>
            </w:r>
          </w:p>
        </w:tc>
        <w:tc>
          <w:tcPr>
            <w:tcW w:w="1919" w:type="dxa"/>
            <w:vAlign w:val="center"/>
          </w:tcPr>
          <w:p w14:paraId="79B008EA" w14:textId="77777777" w:rsidR="002249C8" w:rsidRDefault="002249C8" w:rsidP="00C77590">
            <w:pPr>
              <w:spacing w:line="276" w:lineRule="auto"/>
              <w:ind w:firstLine="0"/>
              <w:jc w:val="center"/>
            </w:pPr>
            <w:r>
              <w:t>20</w:t>
            </w:r>
          </w:p>
        </w:tc>
        <w:tc>
          <w:tcPr>
            <w:tcW w:w="1890" w:type="dxa"/>
            <w:vAlign w:val="center"/>
          </w:tcPr>
          <w:p w14:paraId="7152FF5A" w14:textId="77777777" w:rsidR="002249C8" w:rsidRDefault="002249C8" w:rsidP="00C77590">
            <w:pPr>
              <w:spacing w:line="276" w:lineRule="auto"/>
              <w:ind w:firstLine="0"/>
              <w:jc w:val="center"/>
            </w:pPr>
            <m:oMathPara>
              <m:oMath>
                <m:r>
                  <w:rPr>
                    <w:rFonts w:ascii="Cambria Math" w:hAnsi="Cambria Math"/>
                  </w:rPr>
                  <m:t>μm</m:t>
                </m:r>
              </m:oMath>
            </m:oMathPara>
          </w:p>
        </w:tc>
      </w:tr>
      <w:tr w:rsidR="002249C8" w14:paraId="0992E9E6" w14:textId="77777777" w:rsidTr="00C77590">
        <w:trPr>
          <w:cantSplit/>
          <w:jc w:val="center"/>
        </w:trPr>
        <w:tc>
          <w:tcPr>
            <w:tcW w:w="3116" w:type="dxa"/>
            <w:vAlign w:val="center"/>
          </w:tcPr>
          <w:p w14:paraId="61D1E140" w14:textId="77777777" w:rsidR="002249C8" w:rsidRDefault="002249C8" w:rsidP="00C77590">
            <w:pPr>
              <w:spacing w:line="276" w:lineRule="auto"/>
              <w:ind w:firstLine="0"/>
              <w:jc w:val="center"/>
            </w:pPr>
            <w:r>
              <w:t>Electrolyte thickness</w:t>
            </w:r>
          </w:p>
        </w:tc>
        <w:tc>
          <w:tcPr>
            <w:tcW w:w="1919" w:type="dxa"/>
            <w:vAlign w:val="center"/>
          </w:tcPr>
          <w:p w14:paraId="4BBB440B" w14:textId="77777777" w:rsidR="002249C8" w:rsidRDefault="002249C8" w:rsidP="00C77590">
            <w:pPr>
              <w:spacing w:line="276" w:lineRule="auto"/>
              <w:ind w:firstLine="0"/>
              <w:jc w:val="center"/>
            </w:pPr>
            <w:r>
              <w:t>3.6</w:t>
            </w:r>
          </w:p>
        </w:tc>
        <w:tc>
          <w:tcPr>
            <w:tcW w:w="1890" w:type="dxa"/>
            <w:vAlign w:val="center"/>
          </w:tcPr>
          <w:p w14:paraId="6A2E3422" w14:textId="77777777" w:rsidR="002249C8" w:rsidRDefault="002249C8" w:rsidP="00C77590">
            <w:pPr>
              <w:spacing w:line="276" w:lineRule="auto"/>
              <w:ind w:firstLine="0"/>
              <w:jc w:val="center"/>
            </w:pPr>
            <m:oMathPara>
              <m:oMath>
                <m:r>
                  <w:rPr>
                    <w:rFonts w:ascii="Cambria Math" w:hAnsi="Cambria Math"/>
                  </w:rPr>
                  <m:t>μm</m:t>
                </m:r>
              </m:oMath>
            </m:oMathPara>
          </w:p>
        </w:tc>
      </w:tr>
      <w:tr w:rsidR="002249C8" w14:paraId="4B4025BF" w14:textId="77777777" w:rsidTr="00C77590">
        <w:trPr>
          <w:cantSplit/>
          <w:jc w:val="center"/>
        </w:trPr>
        <w:tc>
          <w:tcPr>
            <w:tcW w:w="3116" w:type="dxa"/>
            <w:vAlign w:val="center"/>
          </w:tcPr>
          <w:p w14:paraId="6423E575" w14:textId="77777777" w:rsidR="002249C8" w:rsidRDefault="002249C8" w:rsidP="00C77590">
            <w:pPr>
              <w:spacing w:line="276" w:lineRule="auto"/>
              <w:ind w:firstLine="0"/>
              <w:jc w:val="center"/>
            </w:pPr>
            <w:r>
              <w:t>FDT thickness</w:t>
            </w:r>
          </w:p>
        </w:tc>
        <w:tc>
          <w:tcPr>
            <w:tcW w:w="1919" w:type="dxa"/>
            <w:vAlign w:val="center"/>
          </w:tcPr>
          <w:p w14:paraId="5026AF97" w14:textId="77777777" w:rsidR="002249C8" w:rsidRDefault="002249C8" w:rsidP="00C77590">
            <w:pPr>
              <w:spacing w:line="276" w:lineRule="auto"/>
              <w:ind w:firstLine="0"/>
              <w:jc w:val="center"/>
            </w:pPr>
            <w:r>
              <w:t>1</w:t>
            </w:r>
          </w:p>
        </w:tc>
        <w:tc>
          <w:tcPr>
            <w:tcW w:w="1890" w:type="dxa"/>
            <w:vAlign w:val="center"/>
          </w:tcPr>
          <w:p w14:paraId="772B17E2" w14:textId="77777777" w:rsidR="002249C8" w:rsidRDefault="002249C8" w:rsidP="00C77590">
            <w:pPr>
              <w:spacing w:line="276" w:lineRule="auto"/>
              <w:ind w:firstLine="0"/>
              <w:jc w:val="center"/>
            </w:pPr>
            <m:oMathPara>
              <m:oMath>
                <m:r>
                  <w:rPr>
                    <w:rFonts w:ascii="Cambria Math" w:hAnsi="Cambria Math"/>
                  </w:rPr>
                  <m:t>mm</m:t>
                </m:r>
              </m:oMath>
            </m:oMathPara>
          </w:p>
        </w:tc>
      </w:tr>
      <w:tr w:rsidR="002249C8" w14:paraId="4C344637" w14:textId="77777777" w:rsidTr="00C77590">
        <w:trPr>
          <w:cantSplit/>
          <w:jc w:val="center"/>
        </w:trPr>
        <w:tc>
          <w:tcPr>
            <w:tcW w:w="3116" w:type="dxa"/>
            <w:vAlign w:val="center"/>
          </w:tcPr>
          <w:p w14:paraId="76F4F8E9" w14:textId="77777777" w:rsidR="002249C8" w:rsidRDefault="002249C8" w:rsidP="00C77590">
            <w:pPr>
              <w:spacing w:line="276" w:lineRule="auto"/>
              <w:ind w:firstLine="0"/>
              <w:jc w:val="center"/>
            </w:pPr>
            <w:r>
              <w:t>FDT inner radius</w:t>
            </w:r>
          </w:p>
        </w:tc>
        <w:tc>
          <w:tcPr>
            <w:tcW w:w="1919" w:type="dxa"/>
            <w:vAlign w:val="center"/>
          </w:tcPr>
          <w:p w14:paraId="2EFDEB65" w14:textId="77777777" w:rsidR="002249C8" w:rsidRDefault="002249C8" w:rsidP="00C77590">
            <w:pPr>
              <w:spacing w:line="276" w:lineRule="auto"/>
              <w:ind w:firstLine="0"/>
              <w:jc w:val="center"/>
            </w:pPr>
            <w:r>
              <w:t>1.5</w:t>
            </w:r>
          </w:p>
        </w:tc>
        <w:tc>
          <w:tcPr>
            <w:tcW w:w="1890" w:type="dxa"/>
            <w:vAlign w:val="center"/>
          </w:tcPr>
          <w:p w14:paraId="5E3C5922" w14:textId="77777777" w:rsidR="002249C8" w:rsidRDefault="002249C8" w:rsidP="00C77590">
            <w:pPr>
              <w:spacing w:line="276" w:lineRule="auto"/>
              <w:ind w:firstLine="0"/>
              <w:jc w:val="center"/>
            </w:pPr>
            <m:oMathPara>
              <m:oMath>
                <m:r>
                  <w:rPr>
                    <w:rFonts w:ascii="Cambria Math" w:hAnsi="Cambria Math"/>
                  </w:rPr>
                  <m:t>mm</m:t>
                </m:r>
              </m:oMath>
            </m:oMathPara>
          </w:p>
        </w:tc>
      </w:tr>
      <w:tr w:rsidR="002249C8" w14:paraId="201C34E8" w14:textId="77777777" w:rsidTr="00C77590">
        <w:trPr>
          <w:cantSplit/>
          <w:jc w:val="center"/>
        </w:trPr>
        <w:tc>
          <w:tcPr>
            <w:tcW w:w="3116" w:type="dxa"/>
            <w:vAlign w:val="center"/>
          </w:tcPr>
          <w:p w14:paraId="0C769628" w14:textId="77777777" w:rsidR="002249C8" w:rsidRDefault="002249C8" w:rsidP="00C77590">
            <w:pPr>
              <w:spacing w:line="276" w:lineRule="auto"/>
              <w:ind w:firstLine="0"/>
              <w:jc w:val="center"/>
            </w:pPr>
            <w:r>
              <w:t>Channel height, fuel</w:t>
            </w:r>
          </w:p>
        </w:tc>
        <w:tc>
          <w:tcPr>
            <w:tcW w:w="1919" w:type="dxa"/>
            <w:vAlign w:val="center"/>
          </w:tcPr>
          <w:p w14:paraId="3C6B3EC5" w14:textId="77777777" w:rsidR="002249C8" w:rsidRDefault="002249C8" w:rsidP="00C77590">
            <w:pPr>
              <w:spacing w:line="276" w:lineRule="auto"/>
              <w:ind w:firstLine="0"/>
              <w:jc w:val="center"/>
            </w:pPr>
            <w:r>
              <w:t>1</w:t>
            </w:r>
          </w:p>
        </w:tc>
        <w:tc>
          <w:tcPr>
            <w:tcW w:w="1890" w:type="dxa"/>
            <w:vAlign w:val="center"/>
          </w:tcPr>
          <w:p w14:paraId="7953D4EB" w14:textId="77777777" w:rsidR="002249C8" w:rsidRDefault="002249C8" w:rsidP="00C77590">
            <w:pPr>
              <w:spacing w:line="276" w:lineRule="auto"/>
              <w:ind w:firstLine="0"/>
              <w:jc w:val="center"/>
            </w:pPr>
            <m:oMathPara>
              <m:oMath>
                <m:r>
                  <w:rPr>
                    <w:rFonts w:ascii="Cambria Math" w:hAnsi="Cambria Math"/>
                  </w:rPr>
                  <m:t>mm</m:t>
                </m:r>
              </m:oMath>
            </m:oMathPara>
          </w:p>
        </w:tc>
      </w:tr>
      <w:tr w:rsidR="002249C8" w14:paraId="6FEC9703" w14:textId="77777777" w:rsidTr="00C77590">
        <w:trPr>
          <w:cantSplit/>
          <w:jc w:val="center"/>
        </w:trPr>
        <w:tc>
          <w:tcPr>
            <w:tcW w:w="3116" w:type="dxa"/>
            <w:vAlign w:val="center"/>
          </w:tcPr>
          <w:p w14:paraId="752673BB" w14:textId="77777777" w:rsidR="002249C8" w:rsidRDefault="002249C8" w:rsidP="00C77590">
            <w:pPr>
              <w:spacing w:line="276" w:lineRule="auto"/>
              <w:ind w:firstLine="0"/>
              <w:jc w:val="center"/>
            </w:pPr>
            <w:r>
              <w:t>Channel height, air</w:t>
            </w:r>
          </w:p>
        </w:tc>
        <w:tc>
          <w:tcPr>
            <w:tcW w:w="1919" w:type="dxa"/>
            <w:vAlign w:val="center"/>
          </w:tcPr>
          <w:p w14:paraId="5F32C9C3" w14:textId="77777777" w:rsidR="002249C8" w:rsidRDefault="002249C8" w:rsidP="00C77590">
            <w:pPr>
              <w:spacing w:line="276" w:lineRule="auto"/>
              <w:ind w:firstLine="0"/>
              <w:jc w:val="center"/>
            </w:pPr>
            <w:r>
              <w:t>1</w:t>
            </w:r>
          </w:p>
        </w:tc>
        <w:tc>
          <w:tcPr>
            <w:tcW w:w="1890" w:type="dxa"/>
            <w:vAlign w:val="center"/>
          </w:tcPr>
          <w:p w14:paraId="3A732F5B" w14:textId="77777777" w:rsidR="002249C8" w:rsidRDefault="002249C8" w:rsidP="00C77590">
            <w:pPr>
              <w:spacing w:line="276" w:lineRule="auto"/>
              <w:ind w:firstLine="0"/>
              <w:jc w:val="center"/>
            </w:pPr>
            <m:oMathPara>
              <m:oMath>
                <m:r>
                  <w:rPr>
                    <w:rFonts w:ascii="Cambria Math" w:hAnsi="Cambria Math"/>
                  </w:rPr>
                  <m:t>mm</m:t>
                </m:r>
              </m:oMath>
            </m:oMathPara>
          </w:p>
        </w:tc>
      </w:tr>
      <w:tr w:rsidR="002249C8" w14:paraId="1211A96B" w14:textId="77777777" w:rsidTr="00C77590">
        <w:trPr>
          <w:cantSplit/>
          <w:jc w:val="center"/>
        </w:trPr>
        <w:tc>
          <w:tcPr>
            <w:tcW w:w="3116" w:type="dxa"/>
            <w:vAlign w:val="center"/>
          </w:tcPr>
          <w:p w14:paraId="626A4FF0" w14:textId="77777777" w:rsidR="002249C8" w:rsidRDefault="002249C8" w:rsidP="00C77590">
            <w:pPr>
              <w:spacing w:line="276" w:lineRule="auto"/>
              <w:ind w:firstLine="0"/>
              <w:jc w:val="center"/>
            </w:pPr>
            <w:r>
              <w:t>Steam reforming coefficient</w:t>
            </w:r>
          </w:p>
        </w:tc>
        <w:tc>
          <w:tcPr>
            <w:tcW w:w="1919" w:type="dxa"/>
            <w:vAlign w:val="center"/>
          </w:tcPr>
          <w:p w14:paraId="2389A226" w14:textId="77777777" w:rsidR="002249C8" w:rsidRDefault="002249C8" w:rsidP="00C77590">
            <w:pPr>
              <w:spacing w:line="276" w:lineRule="auto"/>
              <w:ind w:firstLine="0"/>
              <w:jc w:val="center"/>
            </w:pPr>
            <w:r>
              <w:t>0.3</w:t>
            </w:r>
          </w:p>
        </w:tc>
        <w:tc>
          <w:tcPr>
            <w:tcW w:w="1890" w:type="dxa"/>
            <w:vAlign w:val="center"/>
          </w:tcPr>
          <w:p w14:paraId="721E5E39" w14:textId="77777777" w:rsidR="002249C8" w:rsidRDefault="002249C8" w:rsidP="00C77590">
            <w:pPr>
              <w:spacing w:line="276" w:lineRule="auto"/>
              <w:ind w:firstLine="0"/>
              <w:jc w:val="center"/>
            </w:pPr>
            <w:r>
              <w:t>-</w:t>
            </w:r>
          </w:p>
        </w:tc>
      </w:tr>
      <w:tr w:rsidR="002249C8" w14:paraId="550BAB39" w14:textId="77777777" w:rsidTr="00C77590">
        <w:trPr>
          <w:cantSplit/>
          <w:jc w:val="center"/>
        </w:trPr>
        <w:tc>
          <w:tcPr>
            <w:tcW w:w="3116" w:type="dxa"/>
            <w:vAlign w:val="center"/>
          </w:tcPr>
          <w:p w14:paraId="4A9D3953" w14:textId="77777777" w:rsidR="002249C8" w:rsidRDefault="002249C8" w:rsidP="00C77590">
            <w:pPr>
              <w:spacing w:line="276" w:lineRule="auto"/>
              <w:ind w:firstLine="0"/>
              <w:jc w:val="center"/>
            </w:pPr>
            <w:r>
              <w:t>WGS coefficient</w:t>
            </w:r>
          </w:p>
        </w:tc>
        <w:tc>
          <w:tcPr>
            <w:tcW w:w="1919" w:type="dxa"/>
            <w:vAlign w:val="center"/>
          </w:tcPr>
          <w:p w14:paraId="0CACFBA0" w14:textId="77777777" w:rsidR="002249C8" w:rsidRDefault="002249C8" w:rsidP="00C77590">
            <w:pPr>
              <w:spacing w:line="276" w:lineRule="auto"/>
              <w:ind w:firstLine="0"/>
              <w:jc w:val="center"/>
            </w:pPr>
            <w:r>
              <w:t>0.4</w:t>
            </w:r>
          </w:p>
        </w:tc>
        <w:tc>
          <w:tcPr>
            <w:tcW w:w="1890" w:type="dxa"/>
            <w:vAlign w:val="center"/>
          </w:tcPr>
          <w:p w14:paraId="633DCDC3" w14:textId="77777777" w:rsidR="002249C8" w:rsidRDefault="002249C8" w:rsidP="00C77590">
            <w:pPr>
              <w:spacing w:line="276" w:lineRule="auto"/>
              <w:ind w:firstLine="0"/>
              <w:jc w:val="center"/>
            </w:pPr>
            <w:r>
              <w:t>-</w:t>
            </w:r>
          </w:p>
        </w:tc>
      </w:tr>
      <w:tr w:rsidR="002249C8" w14:paraId="3736881A" w14:textId="77777777" w:rsidTr="00C77590">
        <w:trPr>
          <w:cantSplit/>
          <w:jc w:val="center"/>
        </w:trPr>
        <w:tc>
          <w:tcPr>
            <w:tcW w:w="3116" w:type="dxa"/>
            <w:vAlign w:val="center"/>
          </w:tcPr>
          <w:p w14:paraId="3BB48D70" w14:textId="77777777" w:rsidR="002249C8" w:rsidRDefault="002249C8" w:rsidP="00C77590">
            <w:pPr>
              <w:spacing w:line="276" w:lineRule="auto"/>
              <w:ind w:firstLine="0"/>
              <w:jc w:val="center"/>
            </w:pPr>
            <w:r>
              <w:t>PEN density</w:t>
            </w:r>
          </w:p>
        </w:tc>
        <w:tc>
          <w:tcPr>
            <w:tcW w:w="1919" w:type="dxa"/>
            <w:vAlign w:val="center"/>
          </w:tcPr>
          <w:p w14:paraId="18A2D277" w14:textId="77777777" w:rsidR="002249C8" w:rsidRDefault="002249C8" w:rsidP="00C77590">
            <w:pPr>
              <w:spacing w:line="276" w:lineRule="auto"/>
              <w:ind w:firstLine="0"/>
              <w:jc w:val="center"/>
            </w:pPr>
            <w:r>
              <w:t>500</w:t>
            </w:r>
          </w:p>
        </w:tc>
        <w:tc>
          <w:tcPr>
            <w:tcW w:w="1890" w:type="dxa"/>
            <w:vAlign w:val="center"/>
          </w:tcPr>
          <w:p w14:paraId="3970CB5D" w14:textId="77777777" w:rsidR="002249C8" w:rsidRDefault="002249C8" w:rsidP="00C77590">
            <w:pPr>
              <w:spacing w:line="276" w:lineRule="auto"/>
              <w:ind w:firstLine="0"/>
              <w:jc w:val="center"/>
            </w:pPr>
            <m:oMathPara>
              <m:oMath>
                <m:r>
                  <w:rPr>
                    <w:rFonts w:ascii="Cambria Math" w:hAnsi="Cambria Math"/>
                  </w:rPr>
                  <m:t xml:space="preserve">kg </m:t>
                </m:r>
                <m:sSup>
                  <m:sSupPr>
                    <m:ctrlPr>
                      <w:rPr>
                        <w:rFonts w:ascii="Cambria Math" w:hAnsi="Cambria Math"/>
                        <w:i/>
                      </w:rPr>
                    </m:ctrlPr>
                  </m:sSupPr>
                  <m:e>
                    <m:r>
                      <w:rPr>
                        <w:rFonts w:ascii="Cambria Math" w:hAnsi="Cambria Math"/>
                      </w:rPr>
                      <m:t>m</m:t>
                    </m:r>
                  </m:e>
                  <m:sup>
                    <m:r>
                      <w:rPr>
                        <w:rFonts w:ascii="Cambria Math" w:hAnsi="Cambria Math"/>
                      </w:rPr>
                      <m:t>-3</m:t>
                    </m:r>
                  </m:sup>
                </m:sSup>
              </m:oMath>
            </m:oMathPara>
          </w:p>
        </w:tc>
      </w:tr>
      <w:tr w:rsidR="002249C8" w14:paraId="5A6C55D0" w14:textId="77777777" w:rsidTr="00C77590">
        <w:trPr>
          <w:cantSplit/>
          <w:jc w:val="center"/>
        </w:trPr>
        <w:tc>
          <w:tcPr>
            <w:tcW w:w="3116" w:type="dxa"/>
            <w:vAlign w:val="center"/>
          </w:tcPr>
          <w:p w14:paraId="421014B4" w14:textId="77777777" w:rsidR="002249C8" w:rsidRDefault="002249C8" w:rsidP="00C77590">
            <w:pPr>
              <w:spacing w:line="276" w:lineRule="auto"/>
              <w:ind w:firstLine="0"/>
              <w:jc w:val="center"/>
            </w:pPr>
            <w:r>
              <w:t>PEN thermal conductivity</w:t>
            </w:r>
          </w:p>
        </w:tc>
        <w:tc>
          <w:tcPr>
            <w:tcW w:w="1919" w:type="dxa"/>
            <w:vAlign w:val="center"/>
          </w:tcPr>
          <w:p w14:paraId="7DF70D43" w14:textId="77777777" w:rsidR="002249C8" w:rsidRDefault="002249C8" w:rsidP="00C77590">
            <w:pPr>
              <w:spacing w:line="276" w:lineRule="auto"/>
              <w:ind w:firstLine="0"/>
              <w:jc w:val="center"/>
            </w:pPr>
            <w:r>
              <w:t>2.16</w:t>
            </w:r>
          </w:p>
        </w:tc>
        <w:tc>
          <w:tcPr>
            <w:tcW w:w="1890" w:type="dxa"/>
            <w:vAlign w:val="center"/>
          </w:tcPr>
          <w:p w14:paraId="09C4B54F" w14:textId="77777777" w:rsidR="002249C8" w:rsidRDefault="002249C8" w:rsidP="00C77590">
            <w:pPr>
              <w:spacing w:line="276" w:lineRule="auto"/>
              <w:ind w:firstLine="0"/>
              <w:jc w:val="center"/>
            </w:pPr>
            <m:oMathPara>
              <m:oMath>
                <m:r>
                  <w:rPr>
                    <w:rFonts w:ascii="Cambria Math" w:hAnsi="Cambria Math"/>
                  </w:rPr>
                  <m:t xml:space="preserve">W </m:t>
                </m:r>
                <m:sSup>
                  <m:sSupPr>
                    <m:ctrlPr>
                      <w:rPr>
                        <w:rFonts w:ascii="Cambria Math" w:hAnsi="Cambria Math"/>
                        <w:i/>
                      </w:rPr>
                    </m:ctrlPr>
                  </m:sSupPr>
                  <m:e>
                    <m:r>
                      <w:rPr>
                        <w:rFonts w:ascii="Cambria Math" w:hAnsi="Cambria Math"/>
                      </w:rPr>
                      <m:t>m</m:t>
                    </m:r>
                  </m:e>
                  <m:sup>
                    <m:r>
                      <w:rPr>
                        <w:rFonts w:ascii="Cambria Math" w:hAnsi="Cambria Math"/>
                      </w:rPr>
                      <m:t>-1</m:t>
                    </m:r>
                  </m:sup>
                </m:sSup>
                <m:r>
                  <w:rPr>
                    <w:rFonts w:ascii="Cambria Math" w:hAnsi="Cambria Math"/>
                  </w:rPr>
                  <m:t xml:space="preserve"> </m:t>
                </m:r>
                <m:sSup>
                  <m:sSupPr>
                    <m:ctrlPr>
                      <w:rPr>
                        <w:rFonts w:ascii="Cambria Math" w:hAnsi="Cambria Math"/>
                        <w:i/>
                      </w:rPr>
                    </m:ctrlPr>
                  </m:sSupPr>
                  <m:e>
                    <m:r>
                      <w:rPr>
                        <w:rFonts w:ascii="Cambria Math" w:hAnsi="Cambria Math"/>
                      </w:rPr>
                      <m:t>K</m:t>
                    </m:r>
                  </m:e>
                  <m:sup>
                    <m:r>
                      <w:rPr>
                        <w:rFonts w:ascii="Cambria Math" w:hAnsi="Cambria Math"/>
                      </w:rPr>
                      <m:t>-1</m:t>
                    </m:r>
                  </m:sup>
                </m:sSup>
              </m:oMath>
            </m:oMathPara>
          </w:p>
        </w:tc>
      </w:tr>
      <w:tr w:rsidR="002249C8" w14:paraId="66543FFB" w14:textId="77777777" w:rsidTr="00C77590">
        <w:trPr>
          <w:cantSplit/>
          <w:jc w:val="center"/>
        </w:trPr>
        <w:tc>
          <w:tcPr>
            <w:tcW w:w="3116" w:type="dxa"/>
            <w:vAlign w:val="center"/>
          </w:tcPr>
          <w:p w14:paraId="0924FCA9" w14:textId="77777777" w:rsidR="002249C8" w:rsidRDefault="002249C8" w:rsidP="00C77590">
            <w:pPr>
              <w:spacing w:line="276" w:lineRule="auto"/>
              <w:ind w:firstLine="0"/>
              <w:jc w:val="center"/>
            </w:pPr>
            <w:r>
              <w:t>Interconnect thermal cond.</w:t>
            </w:r>
          </w:p>
        </w:tc>
        <w:tc>
          <w:tcPr>
            <w:tcW w:w="1919" w:type="dxa"/>
            <w:vAlign w:val="center"/>
          </w:tcPr>
          <w:p w14:paraId="6AFD88AD" w14:textId="77777777" w:rsidR="002249C8" w:rsidRDefault="002249C8" w:rsidP="00C77590">
            <w:pPr>
              <w:spacing w:line="276" w:lineRule="auto"/>
              <w:ind w:firstLine="0"/>
              <w:jc w:val="center"/>
            </w:pPr>
            <w:r>
              <w:t>27</w:t>
            </w:r>
          </w:p>
        </w:tc>
        <w:tc>
          <w:tcPr>
            <w:tcW w:w="1890" w:type="dxa"/>
            <w:vAlign w:val="center"/>
          </w:tcPr>
          <w:p w14:paraId="1B715846" w14:textId="77777777" w:rsidR="002249C8" w:rsidRDefault="002249C8" w:rsidP="00C77590">
            <w:pPr>
              <w:spacing w:line="276" w:lineRule="auto"/>
              <w:ind w:firstLine="0"/>
              <w:jc w:val="center"/>
              <w:rPr>
                <w:rFonts w:ascii="Aptos" w:eastAsia="Aptos" w:hAnsi="Aptos" w:cs="Times New Roman"/>
              </w:rPr>
            </w:pPr>
            <m:oMathPara>
              <m:oMath>
                <m:r>
                  <w:rPr>
                    <w:rFonts w:ascii="Cambria Math" w:hAnsi="Cambria Math"/>
                  </w:rPr>
                  <m:t xml:space="preserve">W </m:t>
                </m:r>
                <m:sSup>
                  <m:sSupPr>
                    <m:ctrlPr>
                      <w:rPr>
                        <w:rFonts w:ascii="Cambria Math" w:hAnsi="Cambria Math"/>
                        <w:i/>
                      </w:rPr>
                    </m:ctrlPr>
                  </m:sSupPr>
                  <m:e>
                    <m:r>
                      <w:rPr>
                        <w:rFonts w:ascii="Cambria Math" w:hAnsi="Cambria Math"/>
                      </w:rPr>
                      <m:t>m</m:t>
                    </m:r>
                  </m:e>
                  <m:sup>
                    <m:r>
                      <w:rPr>
                        <w:rFonts w:ascii="Cambria Math" w:hAnsi="Cambria Math"/>
                      </w:rPr>
                      <m:t>-1</m:t>
                    </m:r>
                  </m:sup>
                </m:sSup>
                <m:r>
                  <w:rPr>
                    <w:rFonts w:ascii="Cambria Math" w:hAnsi="Cambria Math"/>
                  </w:rPr>
                  <m:t xml:space="preserve"> </m:t>
                </m:r>
                <m:sSup>
                  <m:sSupPr>
                    <m:ctrlPr>
                      <w:rPr>
                        <w:rFonts w:ascii="Cambria Math" w:hAnsi="Cambria Math"/>
                        <w:i/>
                      </w:rPr>
                    </m:ctrlPr>
                  </m:sSupPr>
                  <m:e>
                    <m:r>
                      <w:rPr>
                        <w:rFonts w:ascii="Cambria Math" w:hAnsi="Cambria Math"/>
                      </w:rPr>
                      <m:t>K</m:t>
                    </m:r>
                  </m:e>
                  <m:sup>
                    <m:r>
                      <w:rPr>
                        <w:rFonts w:ascii="Cambria Math" w:hAnsi="Cambria Math"/>
                      </w:rPr>
                      <m:t>-1</m:t>
                    </m:r>
                  </m:sup>
                </m:sSup>
              </m:oMath>
            </m:oMathPara>
          </w:p>
        </w:tc>
      </w:tr>
      <w:tr w:rsidR="002249C8" w14:paraId="520229C1" w14:textId="77777777" w:rsidTr="00C77590">
        <w:trPr>
          <w:cantSplit/>
          <w:jc w:val="center"/>
        </w:trPr>
        <w:tc>
          <w:tcPr>
            <w:tcW w:w="3116" w:type="dxa"/>
            <w:vAlign w:val="center"/>
          </w:tcPr>
          <w:p w14:paraId="4927761F" w14:textId="77777777" w:rsidR="002249C8" w:rsidRDefault="002249C8" w:rsidP="00C77590">
            <w:pPr>
              <w:spacing w:line="276" w:lineRule="auto"/>
              <w:ind w:firstLine="0"/>
              <w:jc w:val="center"/>
            </w:pPr>
            <w:r>
              <w:t>FDT thermal conductivity</w:t>
            </w:r>
          </w:p>
        </w:tc>
        <w:tc>
          <w:tcPr>
            <w:tcW w:w="1919" w:type="dxa"/>
            <w:vAlign w:val="center"/>
          </w:tcPr>
          <w:p w14:paraId="09EB595C" w14:textId="77777777" w:rsidR="002249C8" w:rsidRDefault="002249C8" w:rsidP="00C77590">
            <w:pPr>
              <w:spacing w:line="276" w:lineRule="auto"/>
              <w:ind w:firstLine="0"/>
              <w:jc w:val="center"/>
            </w:pPr>
            <w:r>
              <w:t>355</w:t>
            </w:r>
          </w:p>
        </w:tc>
        <w:tc>
          <w:tcPr>
            <w:tcW w:w="1890" w:type="dxa"/>
            <w:vAlign w:val="center"/>
          </w:tcPr>
          <w:p w14:paraId="24CFC696" w14:textId="77777777" w:rsidR="002249C8" w:rsidRDefault="002249C8" w:rsidP="00C77590">
            <w:pPr>
              <w:spacing w:line="276" w:lineRule="auto"/>
              <w:ind w:firstLine="0"/>
              <w:jc w:val="center"/>
              <w:rPr>
                <w:rFonts w:ascii="Aptos" w:eastAsia="Aptos" w:hAnsi="Aptos" w:cs="Times New Roman"/>
              </w:rPr>
            </w:pPr>
            <m:oMathPara>
              <m:oMath>
                <m:r>
                  <w:rPr>
                    <w:rFonts w:ascii="Cambria Math" w:hAnsi="Cambria Math"/>
                  </w:rPr>
                  <m:t xml:space="preserve">W </m:t>
                </m:r>
                <m:sSup>
                  <m:sSupPr>
                    <m:ctrlPr>
                      <w:rPr>
                        <w:rFonts w:ascii="Cambria Math" w:hAnsi="Cambria Math"/>
                        <w:i/>
                      </w:rPr>
                    </m:ctrlPr>
                  </m:sSupPr>
                  <m:e>
                    <m:r>
                      <w:rPr>
                        <w:rFonts w:ascii="Cambria Math" w:hAnsi="Cambria Math"/>
                      </w:rPr>
                      <m:t>m</m:t>
                    </m:r>
                  </m:e>
                  <m:sup>
                    <m:r>
                      <w:rPr>
                        <w:rFonts w:ascii="Cambria Math" w:hAnsi="Cambria Math"/>
                      </w:rPr>
                      <m:t>-1</m:t>
                    </m:r>
                  </m:sup>
                </m:sSup>
                <m:r>
                  <w:rPr>
                    <w:rFonts w:ascii="Cambria Math" w:hAnsi="Cambria Math"/>
                  </w:rPr>
                  <m:t xml:space="preserve"> </m:t>
                </m:r>
                <m:sSup>
                  <m:sSupPr>
                    <m:ctrlPr>
                      <w:rPr>
                        <w:rFonts w:ascii="Cambria Math" w:hAnsi="Cambria Math"/>
                        <w:i/>
                      </w:rPr>
                    </m:ctrlPr>
                  </m:sSupPr>
                  <m:e>
                    <m:r>
                      <w:rPr>
                        <w:rFonts w:ascii="Cambria Math" w:hAnsi="Cambria Math"/>
                      </w:rPr>
                      <m:t>K</m:t>
                    </m:r>
                  </m:e>
                  <m:sup>
                    <m:r>
                      <w:rPr>
                        <w:rFonts w:ascii="Cambria Math" w:hAnsi="Cambria Math"/>
                      </w:rPr>
                      <m:t>-1</m:t>
                    </m:r>
                  </m:sup>
                </m:sSup>
              </m:oMath>
            </m:oMathPara>
          </w:p>
        </w:tc>
      </w:tr>
      <w:tr w:rsidR="002249C8" w14:paraId="6BE8B80F" w14:textId="77777777" w:rsidTr="00C77590">
        <w:trPr>
          <w:cantSplit/>
          <w:jc w:val="center"/>
        </w:trPr>
        <w:tc>
          <w:tcPr>
            <w:tcW w:w="3116" w:type="dxa"/>
            <w:vAlign w:val="center"/>
          </w:tcPr>
          <w:p w14:paraId="3808B2F8" w14:textId="77777777" w:rsidR="002249C8" w:rsidRDefault="002249C8" w:rsidP="00C77590">
            <w:pPr>
              <w:spacing w:line="276" w:lineRule="auto"/>
              <w:ind w:firstLine="0"/>
              <w:jc w:val="center"/>
            </w:pPr>
            <w:r>
              <w:t>FDT emissivity</w:t>
            </w:r>
          </w:p>
        </w:tc>
        <w:tc>
          <w:tcPr>
            <w:tcW w:w="1919" w:type="dxa"/>
            <w:vAlign w:val="center"/>
          </w:tcPr>
          <w:p w14:paraId="40C6B67A" w14:textId="77777777" w:rsidR="002249C8" w:rsidRDefault="002249C8" w:rsidP="00C77590">
            <w:pPr>
              <w:spacing w:line="276" w:lineRule="auto"/>
              <w:ind w:firstLine="0"/>
              <w:jc w:val="center"/>
            </w:pPr>
            <w:r>
              <w:t>0.1</w:t>
            </w:r>
          </w:p>
        </w:tc>
        <w:tc>
          <w:tcPr>
            <w:tcW w:w="1890" w:type="dxa"/>
            <w:vAlign w:val="center"/>
          </w:tcPr>
          <w:p w14:paraId="22532CC1" w14:textId="77777777" w:rsidR="002249C8" w:rsidRDefault="002249C8" w:rsidP="00C77590">
            <w:pPr>
              <w:spacing w:line="276" w:lineRule="auto"/>
              <w:ind w:firstLine="0"/>
              <w:jc w:val="center"/>
              <w:rPr>
                <w:rFonts w:ascii="Aptos" w:eastAsia="Aptos" w:hAnsi="Aptos" w:cs="Times New Roman"/>
              </w:rPr>
            </w:pPr>
            <w:r>
              <w:rPr>
                <w:rFonts w:ascii="Aptos" w:eastAsia="Aptos" w:hAnsi="Aptos" w:cs="Times New Roman"/>
              </w:rPr>
              <w:t>-</w:t>
            </w:r>
          </w:p>
        </w:tc>
      </w:tr>
      <w:tr w:rsidR="002249C8" w14:paraId="698199F9" w14:textId="77777777" w:rsidTr="00C77590">
        <w:trPr>
          <w:cantSplit/>
          <w:jc w:val="center"/>
        </w:trPr>
        <w:tc>
          <w:tcPr>
            <w:tcW w:w="3116" w:type="dxa"/>
            <w:vAlign w:val="center"/>
          </w:tcPr>
          <w:p w14:paraId="59EA1062" w14:textId="77777777" w:rsidR="002249C8" w:rsidRDefault="002249C8" w:rsidP="00C77590">
            <w:pPr>
              <w:spacing w:line="276" w:lineRule="auto"/>
              <w:ind w:firstLine="0"/>
              <w:jc w:val="center"/>
            </w:pPr>
            <w:r>
              <w:t>PEN emissivity</w:t>
            </w:r>
          </w:p>
        </w:tc>
        <w:tc>
          <w:tcPr>
            <w:tcW w:w="1919" w:type="dxa"/>
            <w:vAlign w:val="center"/>
          </w:tcPr>
          <w:p w14:paraId="0383600A" w14:textId="77777777" w:rsidR="002249C8" w:rsidRDefault="002249C8" w:rsidP="00C77590">
            <w:pPr>
              <w:spacing w:line="276" w:lineRule="auto"/>
              <w:ind w:firstLine="0"/>
              <w:jc w:val="center"/>
            </w:pPr>
            <w:r>
              <w:t>0.3</w:t>
            </w:r>
          </w:p>
        </w:tc>
        <w:tc>
          <w:tcPr>
            <w:tcW w:w="1890" w:type="dxa"/>
            <w:vAlign w:val="center"/>
          </w:tcPr>
          <w:p w14:paraId="62080A57" w14:textId="77777777" w:rsidR="002249C8" w:rsidRDefault="002249C8" w:rsidP="00C77590">
            <w:pPr>
              <w:spacing w:line="276" w:lineRule="auto"/>
              <w:ind w:firstLine="0"/>
              <w:jc w:val="center"/>
              <w:rPr>
                <w:rFonts w:ascii="Aptos" w:eastAsia="Aptos" w:hAnsi="Aptos" w:cs="Times New Roman"/>
              </w:rPr>
            </w:pPr>
            <w:r>
              <w:rPr>
                <w:rFonts w:ascii="Aptos" w:eastAsia="Aptos" w:hAnsi="Aptos" w:cs="Times New Roman"/>
              </w:rPr>
              <w:t>-</w:t>
            </w:r>
          </w:p>
        </w:tc>
      </w:tr>
    </w:tbl>
    <w:p w14:paraId="2BFCD4A7" w14:textId="77777777" w:rsidR="002249C8" w:rsidRPr="00640A81" w:rsidRDefault="002249C8" w:rsidP="002249C8"/>
    <w:p w14:paraId="1D76D36D" w14:textId="77777777" w:rsidR="002249C8" w:rsidRDefault="002249C8" w:rsidP="002249C8">
      <w:r>
        <w:t xml:space="preserve">In total, there are over 5400 individual equations calculated by the model as it solves 21 discretized units along the cell. Due to the complex reaction system in the model and the model’s reliance on updating guess values and boundary conditions for these equations, this setup can be relatively constraining. For example, the model does not converge when the current density gets too close to zero or so high that all the hydrogen is depleted. This is due to the reaction system calling for changes to the adjustable primary parameters that exceed tolerance values at extreme current densities. However, this does not invalidate the model’s ability to accurately reflect outcomes for </w:t>
      </w:r>
      <w:proofErr w:type="gramStart"/>
      <w:r>
        <w:t>the vast majority of</w:t>
      </w:r>
      <w:proofErr w:type="gramEnd"/>
      <w:r>
        <w:t xml:space="preserve"> usable current densities.</w:t>
      </w:r>
    </w:p>
    <w:p w14:paraId="7299BE62" w14:textId="77777777" w:rsidR="002249C8" w:rsidRDefault="002249C8" w:rsidP="002249C8">
      <w:pPr>
        <w:pStyle w:val="Heading3"/>
      </w:pPr>
      <w:bookmarkStart w:id="106" w:name="_Toc165641091"/>
      <w:r>
        <w:t>4.2.2 Combining MDA and PCFCs</w:t>
      </w:r>
      <w:bookmarkEnd w:id="106"/>
    </w:p>
    <w:p w14:paraId="0F29A1E0" w14:textId="74FF65DC" w:rsidR="002249C8" w:rsidRDefault="002249C8" w:rsidP="002249C8">
      <w:pPr>
        <w:rPr>
          <w:rFonts w:eastAsiaTheme="minorEastAsia"/>
        </w:rPr>
      </w:pPr>
      <w:r>
        <w:t xml:space="preserve">The great benefit that PCFCs can provide to MDA is the hydrogen removal. However, the hindrance for PCFCs is that MDA reactions cannot produce hydrogen as quickly as methane reforming reactions, which are more commonly utilized when methane is the primary feedstock in PCFCs. This is highlighted in the disparity in flowrates used by the validation models. In the reaction kinetics validation model, a space velocity of 1.272 </w:t>
      </w:r>
      <w:r>
        <w:rPr>
          <w:rFonts w:eastAsiaTheme="minorEastAsia"/>
        </w:rPr>
        <w:t>Lg</w:t>
      </w:r>
      <w:r>
        <w:rPr>
          <w:rFonts w:eastAsiaTheme="minorEastAsia"/>
          <w:vertAlign w:val="subscript"/>
        </w:rPr>
        <w:t>cat</w:t>
      </w:r>
      <w:r>
        <w:rPr>
          <w:rFonts w:eastAsiaTheme="minorEastAsia"/>
          <w:vertAlign w:val="superscript"/>
        </w:rPr>
        <w:t>-1</w:t>
      </w:r>
      <w:r>
        <w:rPr>
          <w:rFonts w:eastAsiaTheme="minorEastAsia"/>
        </w:rPr>
        <w:t>h</w:t>
      </w:r>
      <w:r>
        <w:rPr>
          <w:rFonts w:eastAsiaTheme="minorEastAsia"/>
          <w:vertAlign w:val="superscript"/>
        </w:rPr>
        <w:t>-1</w:t>
      </w:r>
      <w:r>
        <w:rPr>
          <w:rFonts w:eastAsiaTheme="minorEastAsia"/>
        </w:rPr>
        <w:t xml:space="preserve"> is used to match the kinetic validation data </w:t>
      </w:r>
      <w:r>
        <w:rPr>
          <w:rFonts w:eastAsiaTheme="minorEastAsia"/>
        </w:rPr>
        <w:fldChar w:fldCharType="begin"/>
      </w:r>
      <w:r w:rsidR="00CA7A9D">
        <w:rPr>
          <w:rFonts w:eastAsiaTheme="minorEastAsia"/>
        </w:rPr>
        <w:instrText xml:space="preserve"> ADDIN ZOTERO_ITEM CSL_CITATION {"citationID":"a8votgvvp5","properties":{"formattedCitation":"[65]","plainCitation":"[65]","noteIndex":0},"citationItems":[{"id":851,"uris":["http://zotero.org/users/12063231/items/HXBJX4RZ"],"itemData":{"id":851,"type":"article-journal","container-title":"Nature Communications","title":"Direct conversion of methane to aromatics and hydrogen via a heterogeneous trimetallic synergistic catalyst","volume":"Accepted","author":[{"family":"Zhu","given":"P"},{"family":"Bian","given":"W"},{"family":"Liu","given":"B"},{"family":"Deng","given":"H"},{"family":"Wang","given":"L"},{"family":"Huang","given":"X"},{"family":"Spence","given":"S"},{"family":"Lin","given":"F"},{"family":"Duan","given":"C"},{"family":"Ding","given":"P"},{"family":"Dong","given":"P"},{"family":"Ding H","given":""}],"issued":{"date-parts":[["2024"]]}}}],"schema":"https://github.com/citation-style-language/schema/raw/master/csl-citation.json"} </w:instrText>
      </w:r>
      <w:r>
        <w:rPr>
          <w:rFonts w:eastAsiaTheme="minorEastAsia"/>
        </w:rPr>
        <w:fldChar w:fldCharType="separate"/>
      </w:r>
      <w:r w:rsidR="00CA7A9D" w:rsidRPr="00CA7A9D">
        <w:rPr>
          <w:rFonts w:ascii="Aptos" w:hAnsi="Aptos"/>
        </w:rPr>
        <w:t>[65]</w:t>
      </w:r>
      <w:r>
        <w:rPr>
          <w:rFonts w:eastAsiaTheme="minorEastAsia"/>
        </w:rPr>
        <w:fldChar w:fldCharType="end"/>
      </w:r>
      <w:r>
        <w:rPr>
          <w:rFonts w:eastAsiaTheme="minorEastAsia"/>
        </w:rPr>
        <w:t xml:space="preserve">, while 80 ml/min is used in the electrochemical model to match the electrochemical validation data </w:t>
      </w:r>
      <w:r>
        <w:rPr>
          <w:rFonts w:eastAsiaTheme="minorEastAsia"/>
        </w:rPr>
        <w:fldChar w:fldCharType="begin"/>
      </w:r>
      <w:r w:rsidR="00CA7A9D">
        <w:rPr>
          <w:rFonts w:eastAsiaTheme="minorEastAsia"/>
        </w:rPr>
        <w:instrText xml:space="preserve"> ADDIN ZOTERO_ITEM CSL_CITATION {"citationID":"a1eehnkhlbf","properties":{"formattedCitation":"[33]","plainCitation":"[33]","noteIndex":0},"citationItems":[{"id":591,"uris":["http://zotero.org/users/12063231/items/BE5BSF4A"],"itemData":{"id":591,"type":"article-journal","abstract":"The typically high temperatures (≥500</w:instrText>
      </w:r>
      <w:r w:rsidR="00CA7A9D">
        <w:rPr>
          <w:rFonts w:ascii="Arial" w:eastAsiaTheme="minorEastAsia" w:hAnsi="Arial" w:cs="Arial"/>
        </w:rPr>
        <w:instrText> </w:instrText>
      </w:r>
      <w:r w:rsidR="00CA7A9D">
        <w:rPr>
          <w:rFonts w:ascii="Aptos" w:eastAsiaTheme="minorEastAsia" w:hAnsi="Aptos" w:cs="Aptos"/>
        </w:rPr>
        <w:instrText>°</w:instrText>
      </w:r>
      <w:r w:rsidR="00CA7A9D">
        <w:rPr>
          <w:rFonts w:eastAsiaTheme="minorEastAsia"/>
        </w:rPr>
        <w:instrText>C) at which ceramic electrochemical cells operate place constraints on device materials and construction. Here Liu and colleagues design reversible proton-conducting electrochemical cells that can operate with high performance at temperatures of 450</w:instrText>
      </w:r>
      <w:r w:rsidR="00CA7A9D">
        <w:rPr>
          <w:rFonts w:ascii="Arial" w:eastAsiaTheme="minorEastAsia" w:hAnsi="Arial" w:cs="Arial"/>
        </w:rPr>
        <w:instrText> </w:instrText>
      </w:r>
      <w:r w:rsidR="00CA7A9D">
        <w:rPr>
          <w:rFonts w:ascii="Aptos" w:eastAsiaTheme="minorEastAsia" w:hAnsi="Aptos" w:cs="Aptos"/>
        </w:rPr>
        <w:instrText>°</w:instrText>
      </w:r>
      <w:r w:rsidR="00CA7A9D">
        <w:rPr>
          <w:rFonts w:eastAsiaTheme="minorEastAsia"/>
        </w:rPr>
        <w:instrText xml:space="preserve">C and below.","container-title":"Nature Energy","DOI":"10.1038/s41560-023-01350-4","ISSN":"2058-7546","issue":"10","journalAbbreviation":"Nat Energy","language":"en","license":"2023 The Author(s), under exclusive licence to Springer Nature Limited","note":"number: 10\npublisher: Nature Publishing Group","page":"1145-1157","source":"www.nature.com","title":"Lowering the operating temperature of protonic ceramic electrochemical cells to &lt;450 </w:instrText>
      </w:r>
      <w:r w:rsidR="00CA7A9D">
        <w:rPr>
          <w:rFonts w:ascii="Aptos" w:eastAsiaTheme="minorEastAsia" w:hAnsi="Aptos" w:cs="Aptos"/>
        </w:rPr>
        <w:instrText>°</w:instrText>
      </w:r>
      <w:r w:rsidR="00CA7A9D">
        <w:rPr>
          <w:rFonts w:eastAsiaTheme="minorEastAsia"/>
        </w:rPr>
        <w:instrText xml:space="preserve">C","volume":"8","author":[{"family":"Liu","given":"Fan"},{"family":"Deng","given":"Hao"},{"family":"Diercks","given":"David"},{"family":"Kumar","given":"Praveen"},{"family":"Jabbar","given":"Mohammed Hussain Abdul"},{"family":"Gumeci","given":"Cenk"},{"family":"Furuya","given":"Yoshihisa"},{"family":"Dale","given":"Nilesh"},{"family":"Oku","given":"Takanori"},{"family":"Usuda","given":"Masahiro"},{"family":"Kazempoor","given":"Pejman"},{"family":"Fang","given":"Liyang"},{"family":"Chen","given":"Di"},{"family":"Liu","given":"Bin"},{"family":"Duan","given":"Chuancheng"}],"issued":{"date-parts":[["2023",10]]}}}],"schema":"https://github.com/citation-style-language/schema/raw/master/csl-citation.json"} </w:instrText>
      </w:r>
      <w:r>
        <w:rPr>
          <w:rFonts w:eastAsiaTheme="minorEastAsia"/>
        </w:rPr>
        <w:fldChar w:fldCharType="separate"/>
      </w:r>
      <w:r w:rsidR="00CA7A9D" w:rsidRPr="00CA7A9D">
        <w:rPr>
          <w:rFonts w:ascii="Aptos" w:hAnsi="Aptos"/>
        </w:rPr>
        <w:t>[33]</w:t>
      </w:r>
      <w:r>
        <w:rPr>
          <w:rFonts w:eastAsiaTheme="minorEastAsia"/>
        </w:rPr>
        <w:fldChar w:fldCharType="end"/>
      </w:r>
      <w:r>
        <w:rPr>
          <w:rFonts w:eastAsiaTheme="minorEastAsia"/>
        </w:rPr>
        <w:t xml:space="preserve">. Assuming an anode thickness of 0.5 mm, combined with the active area of </w:t>
      </w:r>
      <w:r>
        <w:t>0.5 cm</w:t>
      </w:r>
      <w:r>
        <w:rPr>
          <w:vertAlign w:val="superscript"/>
        </w:rPr>
        <w:t>2</w:t>
      </w:r>
      <w:r>
        <w:t xml:space="preserve"> </w:t>
      </w:r>
      <w:r>
        <w:rPr>
          <w:rFonts w:eastAsiaTheme="minorEastAsia"/>
        </w:rPr>
        <w:fldChar w:fldCharType="begin"/>
      </w:r>
      <w:r w:rsidR="00CA7A9D">
        <w:rPr>
          <w:rFonts w:eastAsiaTheme="minorEastAsia"/>
        </w:rPr>
        <w:instrText xml:space="preserve"> ADDIN ZOTERO_ITEM CSL_CITATION {"citationID":"LmFSAkOz","properties":{"formattedCitation":"[33]","plainCitation":"[33]","noteIndex":0},"citationItems":[{"id":591,"uris":["http://zotero.org/users/12063231/items/BE5BSF4A"],"itemData":{"id":591,"type":"article-journal","abstract":"The typically high temperatures (≥500</w:instrText>
      </w:r>
      <w:r w:rsidR="00CA7A9D">
        <w:rPr>
          <w:rFonts w:ascii="Arial" w:eastAsiaTheme="minorEastAsia" w:hAnsi="Arial" w:cs="Arial"/>
        </w:rPr>
        <w:instrText> </w:instrText>
      </w:r>
      <w:r w:rsidR="00CA7A9D">
        <w:rPr>
          <w:rFonts w:ascii="Aptos" w:eastAsiaTheme="minorEastAsia" w:hAnsi="Aptos" w:cs="Aptos"/>
        </w:rPr>
        <w:instrText>°</w:instrText>
      </w:r>
      <w:r w:rsidR="00CA7A9D">
        <w:rPr>
          <w:rFonts w:eastAsiaTheme="minorEastAsia"/>
        </w:rPr>
        <w:instrText>C) at which ceramic electrochemical cells operate place constraints on device materials and construction. Here Liu and colleagues design reversible proton-conducting electrochemical cells that can operate with high performance at temperatures of 450</w:instrText>
      </w:r>
      <w:r w:rsidR="00CA7A9D">
        <w:rPr>
          <w:rFonts w:ascii="Arial" w:eastAsiaTheme="minorEastAsia" w:hAnsi="Arial" w:cs="Arial"/>
        </w:rPr>
        <w:instrText> </w:instrText>
      </w:r>
      <w:r w:rsidR="00CA7A9D">
        <w:rPr>
          <w:rFonts w:ascii="Aptos" w:eastAsiaTheme="minorEastAsia" w:hAnsi="Aptos" w:cs="Aptos"/>
        </w:rPr>
        <w:instrText>°</w:instrText>
      </w:r>
      <w:r w:rsidR="00CA7A9D">
        <w:rPr>
          <w:rFonts w:eastAsiaTheme="minorEastAsia"/>
        </w:rPr>
        <w:instrText xml:space="preserve">C and below.","container-title":"Nature Energy","DOI":"10.1038/s41560-023-01350-4","ISSN":"2058-7546","issue":"10","journalAbbreviation":"Nat Energy","language":"en","license":"2023 The Author(s), under exclusive licence to Springer Nature Limited","note":"number: 10\npublisher: Nature Publishing Group","page":"1145-1157","source":"www.nature.com","title":"Lowering the operating temperature of protonic ceramic electrochemical cells to &lt;450 </w:instrText>
      </w:r>
      <w:r w:rsidR="00CA7A9D">
        <w:rPr>
          <w:rFonts w:ascii="Aptos" w:eastAsiaTheme="minorEastAsia" w:hAnsi="Aptos" w:cs="Aptos"/>
        </w:rPr>
        <w:instrText>°</w:instrText>
      </w:r>
      <w:r w:rsidR="00CA7A9D">
        <w:rPr>
          <w:rFonts w:eastAsiaTheme="minorEastAsia"/>
        </w:rPr>
        <w:instrText xml:space="preserve">C","volume":"8","author":[{"family":"Liu","given":"Fan"},{"family":"Deng","given":"Hao"},{"family":"Diercks","given":"David"},{"family":"Kumar","given":"Praveen"},{"family":"Jabbar","given":"Mohammed Hussain Abdul"},{"family":"Gumeci","given":"Cenk"},{"family":"Furuya","given":"Yoshihisa"},{"family":"Dale","given":"Nilesh"},{"family":"Oku","given":"Takanori"},{"family":"Usuda","given":"Masahiro"},{"family":"Kazempoor","given":"Pejman"},{"family":"Fang","given":"Liyang"},{"family":"Chen","given":"Di"},{"family":"Liu","given":"Bin"},{"family":"Duan","given":"Chuancheng"}],"issued":{"date-parts":[["2023",10]]}}}],"schema":"https://github.com/citation-style-language/schema/raw/master/csl-citation.json"} </w:instrText>
      </w:r>
      <w:r>
        <w:rPr>
          <w:rFonts w:eastAsiaTheme="minorEastAsia"/>
        </w:rPr>
        <w:fldChar w:fldCharType="separate"/>
      </w:r>
      <w:r w:rsidR="00CA7A9D" w:rsidRPr="00CA7A9D">
        <w:rPr>
          <w:rFonts w:ascii="Aptos" w:hAnsi="Aptos"/>
        </w:rPr>
        <w:t>[33]</w:t>
      </w:r>
      <w:r>
        <w:rPr>
          <w:rFonts w:eastAsiaTheme="minorEastAsia"/>
        </w:rPr>
        <w:fldChar w:fldCharType="end"/>
      </w:r>
      <w:r>
        <w:rPr>
          <w:rFonts w:eastAsiaTheme="minorEastAsia"/>
        </w:rPr>
        <w:t>,</w:t>
      </w:r>
      <w:r>
        <w:t xml:space="preserve"> this results in a space velocity of over 350 </w:t>
      </w:r>
      <w:r>
        <w:rPr>
          <w:rFonts w:eastAsiaTheme="minorEastAsia"/>
        </w:rPr>
        <w:t>Lg</w:t>
      </w:r>
      <w:r>
        <w:rPr>
          <w:rFonts w:eastAsiaTheme="minorEastAsia"/>
          <w:vertAlign w:val="subscript"/>
        </w:rPr>
        <w:t>cat</w:t>
      </w:r>
      <w:r>
        <w:rPr>
          <w:rFonts w:eastAsiaTheme="minorEastAsia"/>
          <w:vertAlign w:val="superscript"/>
        </w:rPr>
        <w:t>-1</w:t>
      </w:r>
      <w:r>
        <w:rPr>
          <w:rFonts w:eastAsiaTheme="minorEastAsia"/>
        </w:rPr>
        <w:t>h</w:t>
      </w:r>
      <w:r>
        <w:rPr>
          <w:rFonts w:eastAsiaTheme="minorEastAsia"/>
          <w:vertAlign w:val="superscript"/>
        </w:rPr>
        <w:t>-1</w:t>
      </w:r>
      <w:r>
        <w:rPr>
          <w:rFonts w:eastAsiaTheme="minorEastAsia"/>
        </w:rPr>
        <w:t xml:space="preserve">. This massive difference highlights the differing needs of MDA and PCFCs on their own. The high space velocity allows higher current densities to be employed, yielding higher peak power densities, while the low space velocity allows the MDA reaction to reach better completion. Therefore, when they are combined, the cell is forced into low flow rates and lower current densities, as shown in </w:t>
      </w:r>
      <w:r>
        <w:rPr>
          <w:rFonts w:eastAsiaTheme="minorEastAsia"/>
        </w:rPr>
        <w:fldChar w:fldCharType="begin"/>
      </w:r>
      <w:r>
        <w:rPr>
          <w:rFonts w:eastAsiaTheme="minorEastAsia"/>
        </w:rPr>
        <w:instrText xml:space="preserve"> REF _Ref164364339 \h </w:instrText>
      </w:r>
      <w:r>
        <w:rPr>
          <w:rFonts w:eastAsiaTheme="minorEastAsia"/>
        </w:rPr>
      </w:r>
      <w:r>
        <w:rPr>
          <w:rFonts w:eastAsiaTheme="minorEastAsia"/>
        </w:rPr>
        <w:fldChar w:fldCharType="separate"/>
      </w:r>
      <w:r>
        <w:t>Figure 4.</w:t>
      </w:r>
      <w:r>
        <w:rPr>
          <w:noProof/>
        </w:rPr>
        <w:t>3</w:t>
      </w:r>
      <w:r>
        <w:rPr>
          <w:rFonts w:eastAsiaTheme="minorEastAsia"/>
        </w:rPr>
        <w:fldChar w:fldCharType="end"/>
      </w:r>
    </w:p>
    <w:p w14:paraId="4B33D3FC" w14:textId="77777777" w:rsidR="002249C8" w:rsidRDefault="002249C8" w:rsidP="002249C8">
      <w:pPr>
        <w:keepNext/>
        <w:jc w:val="center"/>
      </w:pPr>
      <w:r>
        <w:rPr>
          <w:noProof/>
        </w:rPr>
        <w:drawing>
          <wp:inline distT="0" distB="0" distL="0" distR="0" wp14:anchorId="74142233" wp14:editId="4370E5A1">
            <wp:extent cx="4398264" cy="2569464"/>
            <wp:effectExtent l="0" t="0" r="2540" b="2540"/>
            <wp:docPr id="1939172338" name="Chart 1">
              <a:extLst xmlns:a="http://schemas.openxmlformats.org/drawingml/2006/main">
                <a:ext uri="{FF2B5EF4-FFF2-40B4-BE49-F238E27FC236}">
                  <a16:creationId xmlns:a16="http://schemas.microsoft.com/office/drawing/2014/main" id="{54CE94FD-7E9E-7E7C-D0C6-B36FD6B2DD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E583A93" w14:textId="77777777" w:rsidR="002249C8" w:rsidRDefault="002249C8" w:rsidP="002249C8">
      <w:pPr>
        <w:pStyle w:val="Caption"/>
      </w:pPr>
      <w:bookmarkStart w:id="107" w:name="_Ref164364339"/>
      <w:bookmarkStart w:id="108" w:name="_Toc165641140"/>
      <w:r>
        <w:t>Figure 4.</w:t>
      </w:r>
      <w:r>
        <w:fldChar w:fldCharType="begin"/>
      </w:r>
      <w:r>
        <w:instrText xml:space="preserve"> SEQ Figure \* ARABIC </w:instrText>
      </w:r>
      <w:r>
        <w:fldChar w:fldCharType="separate"/>
      </w:r>
      <w:r>
        <w:rPr>
          <w:noProof/>
        </w:rPr>
        <w:t>3</w:t>
      </w:r>
      <w:r>
        <w:fldChar w:fldCharType="end"/>
      </w:r>
      <w:bookmarkEnd w:id="107"/>
      <w:r>
        <w:t xml:space="preserve">: Current vs power density and conversion efficiency when operating at 1 </w:t>
      </w:r>
      <w:r>
        <w:rPr>
          <w:rFonts w:eastAsiaTheme="minorEastAsia"/>
        </w:rPr>
        <w:t>Lg</w:t>
      </w:r>
      <w:r>
        <w:rPr>
          <w:rFonts w:eastAsiaTheme="minorEastAsia"/>
          <w:vertAlign w:val="subscript"/>
        </w:rPr>
        <w:t>cat</w:t>
      </w:r>
      <w:r>
        <w:rPr>
          <w:rFonts w:eastAsiaTheme="minorEastAsia"/>
          <w:vertAlign w:val="superscript"/>
        </w:rPr>
        <w:t>-1</w:t>
      </w:r>
      <w:r>
        <w:rPr>
          <w:rFonts w:eastAsiaTheme="minorEastAsia"/>
        </w:rPr>
        <w:t>h</w:t>
      </w:r>
      <w:r>
        <w:rPr>
          <w:rFonts w:eastAsiaTheme="minorEastAsia"/>
          <w:vertAlign w:val="superscript"/>
        </w:rPr>
        <w:t>-1</w:t>
      </w:r>
      <w:bookmarkEnd w:id="108"/>
    </w:p>
    <w:p w14:paraId="39CBCC94" w14:textId="676FBFA4" w:rsidR="002249C8" w:rsidRDefault="002249C8" w:rsidP="002249C8">
      <w:pPr>
        <w:rPr>
          <w:rFonts w:eastAsiaTheme="minorEastAsia"/>
        </w:rPr>
      </w:pPr>
      <w:r>
        <w:t>The operational current density (and resulting power density) are significantly lower than the standard for PCFCs operating on methane, which can reach well beyond 1 Acm</w:t>
      </w:r>
      <w:r>
        <w:rPr>
          <w:vertAlign w:val="superscript"/>
        </w:rPr>
        <w:t>-2</w:t>
      </w:r>
      <w:r>
        <w:t xml:space="preserve"> when implemented with high levels of water for reforming </w:t>
      </w:r>
      <w:r>
        <w:fldChar w:fldCharType="begin"/>
      </w:r>
      <w:r w:rsidR="00CA7A9D">
        <w:instrText xml:space="preserve"> ADDIN ZOTERO_ITEM CSL_CITATION {"citationID":"a2qdgu2gdce","properties":{"formattedCitation":"[33]","plainCitation":"[33]","noteIndex":0},"citationItems":[{"id":591,"uris":["http://zotero.org/users/12063231/items/BE5BSF4A"],"itemData":{"id":591,"type":"article-journal","abstract":"The typically high temperatures (≥500</w:instrText>
      </w:r>
      <w:r w:rsidR="00CA7A9D">
        <w:rPr>
          <w:rFonts w:ascii="Arial" w:hAnsi="Arial" w:cs="Arial"/>
        </w:rPr>
        <w:instrText> </w:instrText>
      </w:r>
      <w:r w:rsidR="00CA7A9D">
        <w:rPr>
          <w:rFonts w:ascii="Aptos" w:hAnsi="Aptos" w:cs="Aptos"/>
        </w:rPr>
        <w:instrText>°</w:instrText>
      </w:r>
      <w:r w:rsidR="00CA7A9D">
        <w:instrText>C) at which ceramic electrochemical cells operate place constraints on device materials and construction. Here Liu and colleagues design reversible proton-conducting electrochemical cells that can operate with high performance at temperatures of 450</w:instrText>
      </w:r>
      <w:r w:rsidR="00CA7A9D">
        <w:rPr>
          <w:rFonts w:ascii="Arial" w:hAnsi="Arial" w:cs="Arial"/>
        </w:rPr>
        <w:instrText> </w:instrText>
      </w:r>
      <w:r w:rsidR="00CA7A9D">
        <w:rPr>
          <w:rFonts w:ascii="Aptos" w:hAnsi="Aptos" w:cs="Aptos"/>
        </w:rPr>
        <w:instrText>°</w:instrText>
      </w:r>
      <w:r w:rsidR="00CA7A9D">
        <w:instrText xml:space="preserve">C and below.","container-title":"Nature Energy","DOI":"10.1038/s41560-023-01350-4","ISSN":"2058-7546","issue":"10","journalAbbreviation":"Nat Energy","language":"en","license":"2023 The Author(s), under exclusive licence to Springer Nature Limited","note":"number: 10\npublisher: Nature Publishing Group","page":"1145-1157","source":"www.nature.com","title":"Lowering the operating temperature of protonic ceramic electrochemical cells to &lt;450 </w:instrText>
      </w:r>
      <w:r w:rsidR="00CA7A9D">
        <w:rPr>
          <w:rFonts w:ascii="Aptos" w:hAnsi="Aptos" w:cs="Aptos"/>
        </w:rPr>
        <w:instrText>°</w:instrText>
      </w:r>
      <w:r w:rsidR="00CA7A9D">
        <w:instrText xml:space="preserve">C","volume":"8","author":[{"family":"Liu","given":"Fan"},{"family":"Deng","given":"Hao"},{"family":"Diercks","given":"David"},{"family":"Kumar","given":"Praveen"},{"family":"Jabbar","given":"Mohammed Hussain Abdul"},{"family":"Gumeci","given":"Cenk"},{"family":"Furuya","given":"Yoshihisa"},{"family":"Dale","given":"Nilesh"},{"family":"Oku","given":"Takanori"},{"family":"Usuda","given":"Masahiro"},{"family":"Kazempoor","given":"Pejman"},{"family":"Fang","given":"Liyang"},{"family":"Chen","given":"Di"},{"family":"Liu","given":"Bin"},{"family":"Duan","given":"Chuancheng"}],"issued":{"date-parts":[["2023",10]]}}}],"schema":"https://github.com/citation-style-language/schema/raw/master/csl-citation.json"} </w:instrText>
      </w:r>
      <w:r>
        <w:fldChar w:fldCharType="separate"/>
      </w:r>
      <w:r w:rsidR="00CA7A9D" w:rsidRPr="00CA7A9D">
        <w:rPr>
          <w:rFonts w:ascii="Aptos" w:hAnsi="Aptos"/>
        </w:rPr>
        <w:t>[33]</w:t>
      </w:r>
      <w:r>
        <w:fldChar w:fldCharType="end"/>
      </w:r>
      <w:r>
        <w:t xml:space="preserve">. The maximum power produced in the cell at the operating flowrate of 1 </w:t>
      </w:r>
      <w:r>
        <w:rPr>
          <w:rFonts w:eastAsiaTheme="minorEastAsia"/>
        </w:rPr>
        <w:t>Lg</w:t>
      </w:r>
      <w:r>
        <w:rPr>
          <w:rFonts w:eastAsiaTheme="minorEastAsia"/>
          <w:vertAlign w:val="subscript"/>
        </w:rPr>
        <w:t>cat</w:t>
      </w:r>
      <w:r>
        <w:rPr>
          <w:rFonts w:eastAsiaTheme="minorEastAsia"/>
          <w:vertAlign w:val="superscript"/>
        </w:rPr>
        <w:t>-1</w:t>
      </w:r>
      <w:r>
        <w:rPr>
          <w:rFonts w:eastAsiaTheme="minorEastAsia"/>
        </w:rPr>
        <w:t>h</w:t>
      </w:r>
      <w:r>
        <w:rPr>
          <w:rFonts w:eastAsiaTheme="minorEastAsia"/>
          <w:vertAlign w:val="superscript"/>
        </w:rPr>
        <w:t>-1</w:t>
      </w:r>
      <w:r>
        <w:rPr>
          <w:rFonts w:eastAsiaTheme="minorEastAsia"/>
        </w:rPr>
        <w:t xml:space="preserve"> is around 0.2 W since the active area in the tubular cell is around 27.5 cm</w:t>
      </w:r>
      <w:r>
        <w:rPr>
          <w:rFonts w:eastAsiaTheme="minorEastAsia"/>
          <w:vertAlign w:val="superscript"/>
        </w:rPr>
        <w:t>2</w:t>
      </w:r>
      <w:r>
        <w:rPr>
          <w:rFonts w:eastAsiaTheme="minorEastAsia"/>
        </w:rPr>
        <w:t>.  The conversion efficiency is a measure of how well the cell produces power from the consumed fuel, and is represented by equation 4.2:</w:t>
      </w:r>
    </w:p>
    <w:p w14:paraId="5A7425ED" w14:textId="77777777" w:rsidR="002249C8" w:rsidRDefault="002249C8" w:rsidP="002249C8">
      <w:pPr>
        <w:jc w:val="right"/>
        <w:rPr>
          <w:rFonts w:eastAsiaTheme="minorEastAsia"/>
        </w:rPr>
      </w:pPr>
      <m:oMath>
        <m:r>
          <w:rPr>
            <w:rFonts w:ascii="Cambria Math" w:hAnsi="Cambria Math"/>
          </w:rPr>
          <m:t>CE=</m:t>
        </m:r>
        <m:f>
          <m:fPr>
            <m:ctrlPr>
              <w:rPr>
                <w:rFonts w:ascii="Cambria Math" w:hAnsi="Cambria Math"/>
                <w:i/>
              </w:rPr>
            </m:ctrlPr>
          </m:fPr>
          <m:num>
            <m:r>
              <w:rPr>
                <w:rFonts w:ascii="Cambria Math" w:hAnsi="Cambria Math"/>
              </w:rPr>
              <m:t>I∙V</m:t>
            </m:r>
          </m:num>
          <m:den>
            <m:sSub>
              <m:sSubPr>
                <m:ctrlPr>
                  <w:rPr>
                    <w:rFonts w:ascii="Cambria Math" w:hAnsi="Cambria Math"/>
                    <w:i/>
                  </w:rPr>
                </m:ctrlPr>
              </m:sSubPr>
              <m:e>
                <m:sSub>
                  <m:sSubPr>
                    <m:ctrlPr>
                      <w:rPr>
                        <w:rFonts w:ascii="Cambria Math" w:hAnsi="Cambria Math"/>
                        <w:i/>
                      </w:rPr>
                    </m:ctrlPr>
                  </m:sSubPr>
                  <m:e>
                    <m:r>
                      <w:rPr>
                        <w:rFonts w:ascii="Cambria Math" w:hAnsi="Cambria Math"/>
                      </w:rPr>
                      <m:t>H</m:t>
                    </m:r>
                  </m:e>
                  <m:sub>
                    <m:r>
                      <w:rPr>
                        <w:rFonts w:ascii="Cambria Math" w:hAnsi="Cambria Math"/>
                      </w:rPr>
                      <m:t>2</m:t>
                    </m:r>
                  </m:sub>
                </m:sSub>
              </m:e>
              <m:sub>
                <m:r>
                  <w:rPr>
                    <w:rFonts w:ascii="Cambria Math" w:hAnsi="Cambria Math"/>
                  </w:rPr>
                  <m:t>consumed</m:t>
                </m:r>
              </m:sub>
            </m:sSub>
            <m:r>
              <w:rPr>
                <w:rFonts w:ascii="Cambria Math" w:hAnsi="Cambria Math"/>
              </w:rPr>
              <m:t xml:space="preserve"> ∙ </m:t>
            </m:r>
            <m:r>
              <m:rPr>
                <m:sty m:val="p"/>
              </m:rPr>
              <w:rPr>
                <w:rFonts w:ascii="Cambria Math" w:hAnsi="Cambria Math"/>
              </w:rPr>
              <m:t>Δ</m:t>
            </m:r>
            <m:sSub>
              <m:sSubPr>
                <m:ctrlPr>
                  <w:rPr>
                    <w:rFonts w:ascii="Cambria Math" w:hAnsi="Cambria Math"/>
                  </w:rPr>
                </m:ctrlPr>
              </m:sSubPr>
              <m:e>
                <m:r>
                  <m:rPr>
                    <m:sty m:val="p"/>
                  </m:rPr>
                  <w:rPr>
                    <w:rFonts w:ascii="Cambria Math" w:hAnsi="Cambria Math"/>
                  </w:rPr>
                  <m:t>H</m:t>
                </m:r>
              </m:e>
              <m:sub>
                <m:r>
                  <w:rPr>
                    <w:rFonts w:ascii="Cambria Math" w:hAnsi="Cambria Math"/>
                  </w:rPr>
                  <m:t xml:space="preserve">LHV, </m:t>
                </m:r>
                <m:sSub>
                  <m:sSubPr>
                    <m:ctrlPr>
                      <w:rPr>
                        <w:rFonts w:ascii="Cambria Math" w:hAnsi="Cambria Math"/>
                        <w:i/>
                      </w:rPr>
                    </m:ctrlPr>
                  </m:sSubPr>
                  <m:e>
                    <m:r>
                      <w:rPr>
                        <w:rFonts w:ascii="Cambria Math" w:hAnsi="Cambria Math"/>
                      </w:rPr>
                      <m:t>H</m:t>
                    </m:r>
                  </m:e>
                  <m:sub>
                    <m:r>
                      <w:rPr>
                        <w:rFonts w:ascii="Cambria Math" w:hAnsi="Cambria Math"/>
                      </w:rPr>
                      <m:t>2</m:t>
                    </m:r>
                  </m:sub>
                </m:sSub>
              </m:sub>
            </m:sSub>
          </m:den>
        </m:f>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(4.2)</w:t>
      </w:r>
    </w:p>
    <w:p w14:paraId="34DFDEF9" w14:textId="77777777" w:rsidR="002249C8" w:rsidRDefault="002249C8" w:rsidP="002249C8">
      <w:pPr>
        <w:rPr>
          <w:rFonts w:eastAsiaTheme="minorEastAsia"/>
        </w:rPr>
      </w:pPr>
      <w:r>
        <w:rPr>
          <w:rFonts w:eastAsiaTheme="minorEastAsia"/>
        </w:rPr>
        <w:t xml:space="preserve">where CE is the conversion efficiency in %, </w:t>
      </w:r>
      <m:oMath>
        <m:r>
          <w:rPr>
            <w:rFonts w:ascii="Cambria Math" w:eastAsiaTheme="minorEastAsia" w:hAnsi="Cambria Math"/>
          </w:rPr>
          <m:t>I</m:t>
        </m:r>
      </m:oMath>
      <w:r>
        <w:rPr>
          <w:rFonts w:eastAsiaTheme="minorEastAsia"/>
        </w:rPr>
        <w:t xml:space="preserve"> is the applied current, </w:t>
      </w:r>
      <m:oMath>
        <m:r>
          <w:rPr>
            <w:rFonts w:ascii="Cambria Math" w:eastAsiaTheme="minorEastAsia" w:hAnsi="Cambria Math"/>
          </w:rPr>
          <m:t>V</m:t>
        </m:r>
      </m:oMath>
      <w:r>
        <w:rPr>
          <w:rFonts w:eastAsiaTheme="minorEastAsia"/>
        </w:rPr>
        <w:t xml:space="preserve"> is the output voltage, </w:t>
      </w:r>
      <m:oMath>
        <m:sSub>
          <m:sSubPr>
            <m:ctrlPr>
              <w:rPr>
                <w:rFonts w:ascii="Cambria Math" w:hAnsi="Cambria Math"/>
                <w:i/>
              </w:rPr>
            </m:ctrlPr>
          </m:sSubPr>
          <m:e>
            <m:sSub>
              <m:sSubPr>
                <m:ctrlPr>
                  <w:rPr>
                    <w:rFonts w:ascii="Cambria Math" w:hAnsi="Cambria Math"/>
                    <w:i/>
                  </w:rPr>
                </m:ctrlPr>
              </m:sSubPr>
              <m:e>
                <m:r>
                  <w:rPr>
                    <w:rFonts w:ascii="Cambria Math" w:hAnsi="Cambria Math"/>
                  </w:rPr>
                  <m:t>H</m:t>
                </m:r>
              </m:e>
              <m:sub>
                <m:r>
                  <w:rPr>
                    <w:rFonts w:ascii="Cambria Math" w:hAnsi="Cambria Math"/>
                  </w:rPr>
                  <m:t>2</m:t>
                </m:r>
              </m:sub>
            </m:sSub>
          </m:e>
          <m:sub>
            <m:r>
              <w:rPr>
                <w:rFonts w:ascii="Cambria Math" w:hAnsi="Cambria Math"/>
              </w:rPr>
              <m:t>consumed</m:t>
            </m:r>
          </m:sub>
        </m:sSub>
      </m:oMath>
      <w:r>
        <w:rPr>
          <w:rFonts w:eastAsiaTheme="minorEastAsia"/>
        </w:rPr>
        <w:t xml:space="preserve"> is the amount of consumed hydrogen in the model, and </w:t>
      </w:r>
      <m:oMath>
        <m:r>
          <m:rPr>
            <m:sty m:val="p"/>
          </m:rPr>
          <w:rPr>
            <w:rFonts w:ascii="Cambria Math" w:hAnsi="Cambria Math"/>
          </w:rPr>
          <m:t>Δ</m:t>
        </m:r>
        <m:sSub>
          <m:sSubPr>
            <m:ctrlPr>
              <w:rPr>
                <w:rFonts w:ascii="Cambria Math" w:hAnsi="Cambria Math"/>
              </w:rPr>
            </m:ctrlPr>
          </m:sSubPr>
          <m:e>
            <m:r>
              <m:rPr>
                <m:sty m:val="p"/>
              </m:rPr>
              <w:rPr>
                <w:rFonts w:ascii="Cambria Math" w:hAnsi="Cambria Math"/>
              </w:rPr>
              <m:t>H</m:t>
            </m:r>
          </m:e>
          <m:sub>
            <m:r>
              <w:rPr>
                <w:rFonts w:ascii="Cambria Math" w:hAnsi="Cambria Math"/>
              </w:rPr>
              <m:t xml:space="preserve">LHV, </m:t>
            </m:r>
            <m:sSub>
              <m:sSubPr>
                <m:ctrlPr>
                  <w:rPr>
                    <w:rFonts w:ascii="Cambria Math" w:hAnsi="Cambria Math"/>
                    <w:i/>
                  </w:rPr>
                </m:ctrlPr>
              </m:sSubPr>
              <m:e>
                <m:r>
                  <w:rPr>
                    <w:rFonts w:ascii="Cambria Math" w:hAnsi="Cambria Math"/>
                  </w:rPr>
                  <m:t>H</m:t>
                </m:r>
              </m:e>
              <m:sub>
                <m:r>
                  <w:rPr>
                    <w:rFonts w:ascii="Cambria Math" w:hAnsi="Cambria Math"/>
                  </w:rPr>
                  <m:t>2</m:t>
                </m:r>
              </m:sub>
            </m:sSub>
          </m:sub>
        </m:sSub>
      </m:oMath>
      <w:r>
        <w:rPr>
          <w:rFonts w:eastAsiaTheme="minorEastAsia"/>
        </w:rPr>
        <w:t>is the lower heating value of hydrogen. The CE starts at 90% at near zero, hits 75% at .007 Acm</w:t>
      </w:r>
      <w:r>
        <w:rPr>
          <w:rFonts w:eastAsiaTheme="minorEastAsia"/>
          <w:vertAlign w:val="superscript"/>
        </w:rPr>
        <w:t>-2</w:t>
      </w:r>
      <w:r>
        <w:rPr>
          <w:rFonts w:eastAsiaTheme="minorEastAsia"/>
        </w:rPr>
        <w:t>, and then drops at .0083 Acm</w:t>
      </w:r>
      <w:r>
        <w:rPr>
          <w:rFonts w:eastAsiaTheme="minorEastAsia"/>
          <w:vertAlign w:val="superscript"/>
        </w:rPr>
        <w:t>-2</w:t>
      </w:r>
      <w:r>
        <w:rPr>
          <w:rFonts w:eastAsiaTheme="minorEastAsia"/>
        </w:rPr>
        <w:t xml:space="preserve"> when the hydrogen availability is depleted.</w:t>
      </w:r>
    </w:p>
    <w:p w14:paraId="0B79C330" w14:textId="77777777" w:rsidR="002249C8" w:rsidRDefault="002249C8" w:rsidP="002249C8">
      <w:pPr>
        <w:rPr>
          <w:rFonts w:eastAsiaTheme="minorEastAsia"/>
        </w:rPr>
      </w:pPr>
      <w:r>
        <w:rPr>
          <w:rFonts w:eastAsiaTheme="minorEastAsia"/>
        </w:rPr>
        <w:t xml:space="preserve">As a result of </w:t>
      </w:r>
      <w:r>
        <w:rPr>
          <w:rFonts w:eastAsiaTheme="minorEastAsia"/>
        </w:rPr>
        <w:fldChar w:fldCharType="begin"/>
      </w:r>
      <w:r>
        <w:rPr>
          <w:rFonts w:eastAsiaTheme="minorEastAsia"/>
        </w:rPr>
        <w:instrText xml:space="preserve"> REF _Ref164364339 \h </w:instrText>
      </w:r>
      <w:r>
        <w:rPr>
          <w:rFonts w:eastAsiaTheme="minorEastAsia"/>
        </w:rPr>
      </w:r>
      <w:r>
        <w:rPr>
          <w:rFonts w:eastAsiaTheme="minorEastAsia"/>
        </w:rPr>
        <w:fldChar w:fldCharType="separate"/>
      </w:r>
      <w:r>
        <w:t>Figure 4.</w:t>
      </w:r>
      <w:r>
        <w:rPr>
          <w:noProof/>
        </w:rPr>
        <w:t>3</w:t>
      </w:r>
      <w:r>
        <w:rPr>
          <w:rFonts w:eastAsiaTheme="minorEastAsia"/>
        </w:rPr>
        <w:fldChar w:fldCharType="end"/>
      </w:r>
      <w:r>
        <w:rPr>
          <w:rFonts w:eastAsiaTheme="minorEastAsia"/>
        </w:rPr>
        <w:t>, the following critical points play a large role in the subsequent results of the model:</w:t>
      </w:r>
    </w:p>
    <w:p w14:paraId="5941BBE9" w14:textId="77777777" w:rsidR="002249C8" w:rsidRPr="008451CE" w:rsidRDefault="002249C8" w:rsidP="002249C8">
      <w:pPr>
        <w:pStyle w:val="ListParagraph"/>
        <w:numPr>
          <w:ilvl w:val="0"/>
          <w:numId w:val="20"/>
        </w:numPr>
        <w:jc w:val="left"/>
      </w:pPr>
      <w:r>
        <w:t>MDA reactions produce hydrogen much more slowly than methane reforming reactions</w:t>
      </w:r>
    </w:p>
    <w:p w14:paraId="49D2D1AE" w14:textId="77777777" w:rsidR="002249C8" w:rsidRPr="00191FA1" w:rsidRDefault="002249C8" w:rsidP="002249C8">
      <w:pPr>
        <w:pStyle w:val="ListParagraph"/>
        <w:numPr>
          <w:ilvl w:val="0"/>
          <w:numId w:val="20"/>
        </w:numPr>
        <w:jc w:val="left"/>
      </w:pPr>
      <w:r>
        <w:t>The 5% water concentration provides a significant amount of the initial hydrogen needed for the PCFC to operate</w:t>
      </w:r>
    </w:p>
    <w:p w14:paraId="37C2D99A" w14:textId="77777777" w:rsidR="002249C8" w:rsidRPr="00E75252" w:rsidRDefault="002249C8" w:rsidP="002249C8">
      <w:pPr>
        <w:pStyle w:val="ListParagraph"/>
        <w:numPr>
          <w:ilvl w:val="0"/>
          <w:numId w:val="20"/>
        </w:numPr>
        <w:jc w:val="left"/>
      </w:pPr>
      <w:r>
        <w:t>Extremely low current densities may be necessary for MDA to proceed within a PCFC</w:t>
      </w:r>
    </w:p>
    <w:p w14:paraId="4922B72C" w14:textId="77777777" w:rsidR="002249C8" w:rsidRPr="000C3C08" w:rsidRDefault="002249C8" w:rsidP="002249C8">
      <w:pPr>
        <w:pStyle w:val="ListParagraph"/>
        <w:numPr>
          <w:ilvl w:val="0"/>
          <w:numId w:val="20"/>
        </w:numPr>
        <w:jc w:val="left"/>
      </w:pPr>
      <w:r>
        <w:t>0.007 Acm</w:t>
      </w:r>
      <w:r>
        <w:rPr>
          <w:vertAlign w:val="superscript"/>
        </w:rPr>
        <w:t>-2</w:t>
      </w:r>
      <w:r>
        <w:t xml:space="preserve"> provides a safe and effective balance of hydrogen removal and CE</w:t>
      </w:r>
    </w:p>
    <w:p w14:paraId="53D9DEBC" w14:textId="77777777" w:rsidR="002249C8" w:rsidRDefault="002249C8" w:rsidP="002249C8">
      <w:pPr>
        <w:pStyle w:val="Heading3"/>
      </w:pPr>
      <w:bookmarkStart w:id="109" w:name="_Toc165641092"/>
      <w:r>
        <w:t>4.2.3 Achieving 30% Fuel Conversion</w:t>
      </w:r>
      <w:bookmarkEnd w:id="109"/>
    </w:p>
    <w:p w14:paraId="6842C4A3" w14:textId="77777777" w:rsidR="002249C8" w:rsidRPr="000459F2" w:rsidRDefault="002249C8" w:rsidP="002249C8">
      <w:r>
        <w:t xml:space="preserve">Per the goals outlined in chapter 1, achieving 30 % fuel conversion is the first goal considered here. Achieving a fuel conversion </w:t>
      </w:r>
      <w:proofErr w:type="gramStart"/>
      <w:r>
        <w:t>in excess of</w:t>
      </w:r>
      <w:proofErr w:type="gramEnd"/>
      <w:r>
        <w:t xml:space="preserve"> 30% is challenging, particularly because without hydrogen removal, conversion levels have been equilibrium limited.  Therefore, to achieve 30% conversion, slow flow rates to allow for additional contact time are combined with hydrogen removal. This proves to have a noticeable effect on the selectivity of the aromatic products as shown in </w:t>
      </w:r>
      <w:r>
        <w:fldChar w:fldCharType="begin"/>
      </w:r>
      <w:r>
        <w:instrText xml:space="preserve"> REF _Ref163756865 \h </w:instrText>
      </w:r>
      <w:r>
        <w:fldChar w:fldCharType="separate"/>
      </w:r>
      <w:r>
        <w:t>Figure 4.</w:t>
      </w:r>
      <w:r>
        <w:rPr>
          <w:noProof/>
        </w:rPr>
        <w:t>4</w:t>
      </w:r>
      <w:r>
        <w:fldChar w:fldCharType="end"/>
      </w:r>
      <w:r>
        <w:t>, where the conversion is held constant at 30% across operational current densities:</w:t>
      </w:r>
    </w:p>
    <w:p w14:paraId="647E8218" w14:textId="77777777" w:rsidR="002249C8" w:rsidRDefault="002249C8" w:rsidP="002249C8">
      <w:pPr>
        <w:keepNext/>
        <w:jc w:val="center"/>
      </w:pPr>
      <w:r>
        <w:rPr>
          <w:noProof/>
        </w:rPr>
        <w:drawing>
          <wp:inline distT="0" distB="0" distL="0" distR="0" wp14:anchorId="5D2628EE" wp14:editId="1BFD0B54">
            <wp:extent cx="4572000" cy="2743200"/>
            <wp:effectExtent l="0" t="0" r="0" b="0"/>
            <wp:docPr id="1035301805" name="Chart 1">
              <a:extLst xmlns:a="http://schemas.openxmlformats.org/drawingml/2006/main">
                <a:ext uri="{FF2B5EF4-FFF2-40B4-BE49-F238E27FC236}">
                  <a16:creationId xmlns:a16="http://schemas.microsoft.com/office/drawing/2014/main" id="{47E52939-E304-D3A1-B84E-767CCC8D4C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451CD99" w14:textId="77777777" w:rsidR="002249C8" w:rsidRDefault="002249C8" w:rsidP="002249C8">
      <w:pPr>
        <w:pStyle w:val="Caption"/>
      </w:pPr>
      <w:bookmarkStart w:id="110" w:name="_Ref163756865"/>
      <w:bookmarkStart w:id="111" w:name="_Toc165641141"/>
      <w:r>
        <w:t>Figure 4.</w:t>
      </w:r>
      <w:r>
        <w:fldChar w:fldCharType="begin"/>
      </w:r>
      <w:r>
        <w:instrText xml:space="preserve"> SEQ Figure \* ARABIC </w:instrText>
      </w:r>
      <w:r>
        <w:fldChar w:fldCharType="separate"/>
      </w:r>
      <w:r>
        <w:rPr>
          <w:noProof/>
        </w:rPr>
        <w:t>4</w:t>
      </w:r>
      <w:r>
        <w:fldChar w:fldCharType="end"/>
      </w:r>
      <w:bookmarkEnd w:id="110"/>
      <w:r>
        <w:t>: 30% natural gas conversion effect on flow rate and selectivity at rising current densities</w:t>
      </w:r>
      <w:bookmarkEnd w:id="111"/>
    </w:p>
    <w:p w14:paraId="31496297" w14:textId="77777777" w:rsidR="002249C8" w:rsidRPr="003B39BB" w:rsidRDefault="002249C8" w:rsidP="002249C8">
      <w:pPr>
        <w:rPr>
          <w:rFonts w:eastAsiaTheme="minorEastAsia"/>
        </w:rPr>
      </w:pPr>
      <w:r>
        <w:t xml:space="preserve">In </w:t>
      </w:r>
      <w:r>
        <w:fldChar w:fldCharType="begin"/>
      </w:r>
      <w:r>
        <w:instrText xml:space="preserve"> REF _Ref163756865 \h </w:instrText>
      </w:r>
      <w:r>
        <w:fldChar w:fldCharType="separate"/>
      </w:r>
      <w:r>
        <w:t>Figure 4.</w:t>
      </w:r>
      <w:r>
        <w:rPr>
          <w:noProof/>
        </w:rPr>
        <w:t>4</w:t>
      </w:r>
      <w:r>
        <w:fldChar w:fldCharType="end"/>
      </w:r>
      <w:r>
        <w:t>, a strong proportional relationship is shown between the flow rate and the current density when maintaining a 30% conversion. Conversely, there is an inverse relationship of the selectivity of benzene with the current density. This relationship is primarily due to the increase in toluene yield. Toluene is more equilibrium-constrained by hydrogen than its benzene counterpart, leading to its more drastic increase in selectivity at greater levels of hydrogen removal. The total aromatic selectivity steadily increases with current density and achieves 74.4% at the highest current density. However, b</w:t>
      </w:r>
      <w:r>
        <w:rPr>
          <w:rFonts w:eastAsiaTheme="minorEastAsia"/>
        </w:rPr>
        <w:t>enzene is a more valuable product than toluene with double the market size, thus the cell should ideally be operated at temperatures where benzene is encouraged over toluene. A current density of 0.007 Acm</w:t>
      </w:r>
      <w:r>
        <w:rPr>
          <w:rFonts w:eastAsiaTheme="minorEastAsia"/>
          <w:vertAlign w:val="superscript"/>
        </w:rPr>
        <w:t>-2</w:t>
      </w:r>
      <w:r>
        <w:rPr>
          <w:rFonts w:eastAsiaTheme="minorEastAsia"/>
        </w:rPr>
        <w:t xml:space="preserve"> once again serves as a balance point as the benzene is still over 66% and the toluene selectivity is only at 7% compared to the maximum current density where it is over 15%. </w:t>
      </w:r>
    </w:p>
    <w:p w14:paraId="675805EE" w14:textId="77777777" w:rsidR="002249C8" w:rsidRDefault="002249C8" w:rsidP="002249C8">
      <w:pPr>
        <w:rPr>
          <w:rFonts w:eastAsiaTheme="minorEastAsia"/>
        </w:rPr>
      </w:pPr>
      <w:r>
        <w:t xml:space="preserve">A decline in emissions from 21% down to 17.6% is also seen in </w:t>
      </w:r>
      <w:r>
        <w:fldChar w:fldCharType="begin"/>
      </w:r>
      <w:r>
        <w:instrText xml:space="preserve"> REF _Ref163756865 \h </w:instrText>
      </w:r>
      <w:r>
        <w:fldChar w:fldCharType="separate"/>
      </w:r>
      <w:r>
        <w:t>Figure 4.</w:t>
      </w:r>
      <w:r>
        <w:rPr>
          <w:noProof/>
        </w:rPr>
        <w:t>4</w:t>
      </w:r>
      <w:r>
        <w:fldChar w:fldCharType="end"/>
      </w:r>
      <w:r>
        <w:t xml:space="preserve">. The emissions selectivity decreases for two reasons: 1) the  reliance on hydrogen removal for steam reforming and water gas shift reactions is much less than that of MDA reactions, and 2) despite the </w:t>
      </w:r>
      <m:oMath>
        <m:sSub>
          <m:sSubPr>
            <m:ctrlPr>
              <w:rPr>
                <w:rFonts w:ascii="Cambria Math" w:hAnsi="Cambria Math"/>
                <w:i/>
              </w:rPr>
            </m:ctrlPr>
          </m:sSubPr>
          <m:e>
            <m:r>
              <w:rPr>
                <w:rFonts w:ascii="Cambria Math" w:hAnsi="Cambria Math"/>
              </w:rPr>
              <m:t>α</m:t>
            </m:r>
          </m:e>
          <m:sub>
            <m:r>
              <w:rPr>
                <w:rFonts w:ascii="Cambria Math" w:hAnsi="Cambria Math"/>
              </w:rPr>
              <m:t>sr</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wgs</m:t>
            </m:r>
          </m:sub>
        </m:sSub>
      </m:oMath>
      <w:r>
        <w:rPr>
          <w:rFonts w:eastAsiaTheme="minorEastAsia"/>
        </w:rPr>
        <w:t xml:space="preserve">  arbitrarily reducing the effectiveness of their reactions by 70 and 60% respectively, they completely exhaust the water very early on in the cell, as shown in </w:t>
      </w:r>
      <w:r>
        <w:rPr>
          <w:rFonts w:eastAsiaTheme="minorEastAsia"/>
        </w:rPr>
        <w:fldChar w:fldCharType="begin"/>
      </w:r>
      <w:r>
        <w:rPr>
          <w:rFonts w:eastAsiaTheme="minorEastAsia"/>
        </w:rPr>
        <w:instrText xml:space="preserve"> REF _Ref163772389 \h </w:instrText>
      </w:r>
      <w:r>
        <w:rPr>
          <w:rFonts w:eastAsiaTheme="minorEastAsia"/>
        </w:rPr>
      </w:r>
      <w:r>
        <w:rPr>
          <w:rFonts w:eastAsiaTheme="minorEastAsia"/>
        </w:rPr>
        <w:fldChar w:fldCharType="separate"/>
      </w:r>
      <w:r>
        <w:t>Figure 4.</w:t>
      </w:r>
      <w:r>
        <w:rPr>
          <w:noProof/>
        </w:rPr>
        <w:t>5</w:t>
      </w:r>
      <w:r>
        <w:rPr>
          <w:rFonts w:eastAsiaTheme="minorEastAsia"/>
        </w:rPr>
        <w:fldChar w:fldCharType="end"/>
      </w:r>
      <w:r>
        <w:rPr>
          <w:rFonts w:eastAsiaTheme="minorEastAsia"/>
        </w:rPr>
        <w:t>. This means that as aromatic reactions continue to improve with hydrogen removal, the methane reforming reactions are directly controlled and limited by the amount of water in the feed stream.</w:t>
      </w:r>
    </w:p>
    <w:p w14:paraId="36E87BD0" w14:textId="77777777" w:rsidR="002249C8" w:rsidRDefault="002249C8" w:rsidP="002249C8">
      <w:pPr>
        <w:keepNext/>
        <w:jc w:val="center"/>
      </w:pPr>
      <w:r w:rsidRPr="00D455D5">
        <w:rPr>
          <w:rFonts w:eastAsiaTheme="minorEastAsia"/>
          <w:noProof/>
        </w:rPr>
        <mc:AlternateContent>
          <mc:Choice Requires="wps">
            <w:drawing>
              <wp:anchor distT="45720" distB="45720" distL="114300" distR="114300" simplePos="0" relativeHeight="251678720" behindDoc="0" locked="0" layoutInCell="1" allowOverlap="1" wp14:anchorId="55A85953" wp14:editId="3677ADC1">
                <wp:simplePos x="0" y="0"/>
                <wp:positionH relativeFrom="margin">
                  <wp:posOffset>5135879</wp:posOffset>
                </wp:positionH>
                <wp:positionV relativeFrom="paragraph">
                  <wp:posOffset>1050925</wp:posOffset>
                </wp:positionV>
                <wp:extent cx="1371600" cy="1404620"/>
                <wp:effectExtent l="84137" t="0" r="179388" b="0"/>
                <wp:wrapNone/>
                <wp:docPr id="10908966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124300">
                          <a:off x="0" y="0"/>
                          <a:ext cx="1371600" cy="1404620"/>
                        </a:xfrm>
                        <a:prstGeom prst="rect">
                          <a:avLst/>
                        </a:prstGeom>
                        <a:noFill/>
                        <a:ln w="9525">
                          <a:noFill/>
                          <a:miter lim="800000"/>
                          <a:headEnd/>
                          <a:tailEnd/>
                        </a:ln>
                      </wps:spPr>
                      <wps:txbx>
                        <w:txbxContent>
                          <w:p w14:paraId="30568730" w14:textId="77777777" w:rsidR="002249C8" w:rsidRDefault="002249C8" w:rsidP="002249C8">
                            <w:r w:rsidRPr="00D455D5">
                              <w:t>Cell Profile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5A85953" id="_x0000_s1029" type="#_x0000_t202" style="position:absolute;left:0;text-align:left;margin-left:404.4pt;margin-top:82.75pt;width:108pt;height:110.6pt;rotation:-4888658fd;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bpnCQIAAOQDAAAOAAAAZHJzL2Uyb0RvYy54bWysU9uO2yAQfa/Uf0C8N7YTJ7trhay2u01V&#10;aXuRtv0AgnGMCgwFEjv9+h1IlETtW1U/IPAwZ845MyzvR6PJXvqgwDJaTUpKpBXQKrtl9Mf39btb&#10;SkLktuUarGT0IAO9X719sxxcI6fQg26lJwhiQzM4RvsYXVMUQfTS8DABJy0GO/CGRzz6bdF6PiC6&#10;0cW0LBfFAL51HoQMAf8+HYN0lfG7Tor4teuCjEQzitxiXn1eN2ktVkvebD13vRInGvwfWBiuLBY9&#10;Qz3xyMnOq7+gjBIeAnRxIsAU0HVKyKwB1VTlH2peeu5k1oLmBHe2Kfw/WPFl/+K+eRLH9zBiA7OI&#10;4J5B/AzEwmPP7VY+eA9DL3mLhatkWTG40JxSk9WhCQlkM3yGFpvMdxEy0Nh5Qzyg69VNNa1nZZl/&#10;o2yCxbAfh3MP5BiJSAxmN9UC7xGBsaou68U0d6ngTUJLHjsf4kcJhqQNox6bnGH5/jnExO5yJV23&#10;sFZa50ZrSwZG7+bTeU64ihgVcQ61Mozeluk7TkYS/cG2OTlypY97LKDtyYUk/GhBHDcjUS2js5Sb&#10;TNlAe0BbsgGoCJ8J0u3B/6ZkwJFjNPzacS8p0Z8sWntX1XWa0Xyo5zconPjryOY6wq1AKEYjJcft&#10;Y8xznSQH94AtWKvsxoXJiTKOUjbpNPZpVq/P+dblca5eAQAA//8DAFBLAwQUAAYACAAAACEALtdR&#10;v+IAAAAMAQAADwAAAGRycy9kb3ducmV2LnhtbEyPwU7DMBBE70j8g7VI3KiTtEqtNE5VFXFDQrRA&#10;r268TdLG6yh2k8DX457guJqnmbf5ejItG7B3jSUJ8SwChlRa3VAl4WP/8iSAOa9Iq9YSSvhGB+vi&#10;/i5XmbYjveOw8xULJeQyJaH2vss4d2WNRrmZ7ZBCdrK9UT6cfcV1r8ZQblqeRFHKjWooLNSqw22N&#10;5WV3NRI2z+JwOS+/hvkr3x7M23gu488fKR8fps0KmMfJ/8Fw0w/qUASno72SdqyVIKI0CWgIUhED&#10;uxFRslwAO0qYi0UMvMj5/yeKXwAAAP//AwBQSwECLQAUAAYACAAAACEAtoM4kv4AAADhAQAAEwAA&#10;AAAAAAAAAAAAAAAAAAAAW0NvbnRlbnRfVHlwZXNdLnhtbFBLAQItABQABgAIAAAAIQA4/SH/1gAA&#10;AJQBAAALAAAAAAAAAAAAAAAAAC8BAABfcmVscy8ucmVsc1BLAQItABQABgAIAAAAIQAeYbpnCQIA&#10;AOQDAAAOAAAAAAAAAAAAAAAAAC4CAABkcnMvZTJvRG9jLnhtbFBLAQItABQABgAIAAAAIQAu11G/&#10;4gAAAAwBAAAPAAAAAAAAAAAAAAAAAGMEAABkcnMvZG93bnJldi54bWxQSwUGAAAAAAQABADzAAAA&#10;cgUAAAAA&#10;" filled="f" stroked="f">
                <v:textbox style="mso-fit-shape-to-text:t">
                  <w:txbxContent>
                    <w:p w14:paraId="30568730" w14:textId="77777777" w:rsidR="002249C8" w:rsidRDefault="002249C8" w:rsidP="002249C8">
                      <w:r w:rsidRPr="00D455D5">
                        <w:t>Cell Profile</w:t>
                      </w:r>
                    </w:p>
                  </w:txbxContent>
                </v:textbox>
                <w10:wrap anchorx="margin"/>
              </v:shape>
            </w:pict>
          </mc:Fallback>
        </mc:AlternateContent>
      </w:r>
      <w:r>
        <w:rPr>
          <w:noProof/>
        </w:rPr>
        <w:drawing>
          <wp:inline distT="0" distB="0" distL="0" distR="0" wp14:anchorId="28518E78" wp14:editId="5BD364C3">
            <wp:extent cx="4601307" cy="2759318"/>
            <wp:effectExtent l="0" t="0" r="8890" b="3175"/>
            <wp:docPr id="1690964123" name="Chart 1">
              <a:extLst xmlns:a="http://schemas.openxmlformats.org/drawingml/2006/main">
                <a:ext uri="{FF2B5EF4-FFF2-40B4-BE49-F238E27FC236}">
                  <a16:creationId xmlns:a16="http://schemas.microsoft.com/office/drawing/2014/main" id="{BC6EA57C-4349-10BE-7DEB-946EFD2F6E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FE2BA2D" w14:textId="77777777" w:rsidR="002249C8" w:rsidRDefault="002249C8" w:rsidP="002249C8">
      <w:pPr>
        <w:pStyle w:val="Caption"/>
      </w:pPr>
      <w:bookmarkStart w:id="112" w:name="_Ref163772389"/>
      <w:bookmarkStart w:id="113" w:name="_Toc165641142"/>
      <w:r>
        <w:t>Figure 4.</w:t>
      </w:r>
      <w:r>
        <w:fldChar w:fldCharType="begin"/>
      </w:r>
      <w:r>
        <w:instrText xml:space="preserve"> SEQ Figure \* ARABIC </w:instrText>
      </w:r>
      <w:r>
        <w:fldChar w:fldCharType="separate"/>
      </w:r>
      <w:r>
        <w:rPr>
          <w:noProof/>
        </w:rPr>
        <w:t>5</w:t>
      </w:r>
      <w:r>
        <w:fldChar w:fldCharType="end"/>
      </w:r>
      <w:bookmarkEnd w:id="112"/>
      <w:r>
        <w:t>: Moles of water in the fuel from the inlet to the outlet of the cell at all operational current densities for 30% fuel conversion.</w:t>
      </w:r>
      <w:bookmarkEnd w:id="113"/>
    </w:p>
    <w:p w14:paraId="080CFB23" w14:textId="77777777" w:rsidR="002249C8" w:rsidRDefault="002249C8" w:rsidP="002249C8">
      <w:r>
        <w:t xml:space="preserve">In </w:t>
      </w:r>
      <w:r>
        <w:fldChar w:fldCharType="begin"/>
      </w:r>
      <w:r>
        <w:instrText xml:space="preserve"> REF _Ref163772389 \h </w:instrText>
      </w:r>
      <w:r>
        <w:fldChar w:fldCharType="separate"/>
      </w:r>
      <w:r>
        <w:t>Figure 4.</w:t>
      </w:r>
      <w:r>
        <w:rPr>
          <w:noProof/>
        </w:rPr>
        <w:t>5</w:t>
      </w:r>
      <w:r>
        <w:fldChar w:fldCharType="end"/>
      </w:r>
      <w:r>
        <w:t xml:space="preserve">, the sharp drop highlights the exponentially faster kinetics of methane reforming and water gas shift over the MDA reactions. The increased inlet concentration at higher current densities is representative of the effect of hydrogen removal giving slight priority to MDA reactions at the inlet. Regardless, the water in the fuel is effectively depleted by the second discretized element of the cell regardless of hydrogen removal. </w:t>
      </w:r>
    </w:p>
    <w:p w14:paraId="750B1653" w14:textId="3BF7CAE1" w:rsidR="002249C8" w:rsidRDefault="002249C8" w:rsidP="002249C8">
      <w:pPr>
        <w:rPr>
          <w:rFonts w:eastAsiaTheme="minorEastAsia"/>
        </w:rPr>
      </w:pPr>
      <w:r>
        <w:t>The temperature is also considered as a prominent variable for achieving 30% conversion. When using the balanced current density of .007 A/cm</w:t>
      </w:r>
      <w:r>
        <w:rPr>
          <w:vertAlign w:val="superscript"/>
        </w:rPr>
        <w:t>-2</w:t>
      </w:r>
      <w:r>
        <w:t xml:space="preserve">, 30% conversion is achievable at all attempted temperatures between 697 - 800 </w:t>
      </w:r>
      <m:oMath>
        <m:r>
          <w:rPr>
            <w:rFonts w:ascii="Cambria Math" w:hAnsi="Cambria Math"/>
          </w:rPr>
          <m:t>℃</m:t>
        </m:r>
      </m:oMath>
      <w:r>
        <w:rPr>
          <w:rFonts w:eastAsiaTheme="minorEastAsia"/>
        </w:rPr>
        <w:t xml:space="preserve">. Any lower temperature failed to converge as the slow MDA reaction kinetics limit the fuel conversion as they get slower with decreasing temperature, underscoring the importance of achieving 700 </w:t>
      </w:r>
      <m:oMath>
        <m:r>
          <w:rPr>
            <w:rFonts w:ascii="Cambria Math" w:eastAsiaTheme="minorEastAsia" w:hAnsi="Cambria Math"/>
          </w:rPr>
          <m:t>℃</m:t>
        </m:r>
      </m:oMath>
      <w:r>
        <w:rPr>
          <w:rFonts w:eastAsiaTheme="minorEastAsia"/>
        </w:rPr>
        <w:t xml:space="preserve"> in MDA reactions. However, lower temperatures are desirable for the durability of the cell, thus another attempt is made using 0.004 Acm</w:t>
      </w:r>
      <w:r>
        <w:rPr>
          <w:rFonts w:eastAsiaTheme="minorEastAsia"/>
          <w:vertAlign w:val="superscript"/>
        </w:rPr>
        <w:t>-2</w:t>
      </w:r>
      <w:r>
        <w:rPr>
          <w:rFonts w:eastAsiaTheme="minorEastAsia"/>
        </w:rPr>
        <w:t xml:space="preserve"> and is shown in </w:t>
      </w:r>
      <w:r>
        <w:rPr>
          <w:rFonts w:eastAsiaTheme="minorEastAsia"/>
        </w:rPr>
        <w:fldChar w:fldCharType="begin"/>
      </w:r>
      <w:r>
        <w:rPr>
          <w:rFonts w:eastAsiaTheme="minorEastAsia"/>
        </w:rPr>
        <w:instrText xml:space="preserve"> REF _Ref164373972 \h </w:instrText>
      </w:r>
      <w:r>
        <w:rPr>
          <w:rFonts w:eastAsiaTheme="minorEastAsia"/>
        </w:rPr>
      </w:r>
      <w:r>
        <w:rPr>
          <w:rFonts w:eastAsiaTheme="minorEastAsia"/>
        </w:rPr>
        <w:fldChar w:fldCharType="separate"/>
      </w:r>
      <w:r>
        <w:t>Figure 4.</w:t>
      </w:r>
      <w:r>
        <w:rPr>
          <w:noProof/>
        </w:rPr>
        <w:t>6</w:t>
      </w:r>
      <w:r>
        <w:rPr>
          <w:rFonts w:eastAsiaTheme="minorEastAsia"/>
        </w:rPr>
        <w:fldChar w:fldCharType="end"/>
      </w:r>
      <w:r>
        <w:rPr>
          <w:rFonts w:eastAsiaTheme="minorEastAsia"/>
        </w:rPr>
        <w:t>.</w:t>
      </w:r>
    </w:p>
    <w:p w14:paraId="4564593A" w14:textId="77777777" w:rsidR="002249C8" w:rsidRDefault="002249C8" w:rsidP="002249C8">
      <w:pPr>
        <w:keepNext/>
        <w:jc w:val="center"/>
      </w:pPr>
      <w:r>
        <w:rPr>
          <w:noProof/>
        </w:rPr>
        <w:drawing>
          <wp:inline distT="0" distB="0" distL="0" distR="0" wp14:anchorId="57CD7E81" wp14:editId="017B09C3">
            <wp:extent cx="4572000" cy="2743200"/>
            <wp:effectExtent l="0" t="0" r="0" b="0"/>
            <wp:docPr id="1033663609" name="Chart 1">
              <a:extLst xmlns:a="http://schemas.openxmlformats.org/drawingml/2006/main">
                <a:ext uri="{FF2B5EF4-FFF2-40B4-BE49-F238E27FC236}">
                  <a16:creationId xmlns:a16="http://schemas.microsoft.com/office/drawing/2014/main" id="{507A222D-5937-96F2-EFAB-79DA07FEF5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5BFCF47" w14:textId="77777777" w:rsidR="002249C8" w:rsidRPr="003D2D08" w:rsidRDefault="002249C8" w:rsidP="002249C8">
      <w:pPr>
        <w:pStyle w:val="Caption"/>
        <w:rPr>
          <w:rFonts w:eastAsiaTheme="minorEastAsia"/>
        </w:rPr>
      </w:pPr>
      <w:bookmarkStart w:id="114" w:name="_Ref164373972"/>
      <w:bookmarkStart w:id="115" w:name="_Toc165641143"/>
      <w:r>
        <w:t>Figure 4.</w:t>
      </w:r>
      <w:r>
        <w:fldChar w:fldCharType="begin"/>
      </w:r>
      <w:r>
        <w:instrText xml:space="preserve"> SEQ Figure \* ARABIC </w:instrText>
      </w:r>
      <w:r>
        <w:fldChar w:fldCharType="separate"/>
      </w:r>
      <w:r>
        <w:rPr>
          <w:noProof/>
        </w:rPr>
        <w:t>6</w:t>
      </w:r>
      <w:r>
        <w:fldChar w:fldCharType="end"/>
      </w:r>
      <w:bookmarkEnd w:id="114"/>
      <w:r>
        <w:t xml:space="preserve">: Relationship of the inlet temperature and flow rate at 30% conversion using a current density of 0.004 </w:t>
      </w:r>
      <w:r>
        <w:rPr>
          <w:rFonts w:eastAsiaTheme="minorEastAsia"/>
        </w:rPr>
        <w:t>Acm</w:t>
      </w:r>
      <w:r>
        <w:rPr>
          <w:rFonts w:eastAsiaTheme="minorEastAsia"/>
          <w:vertAlign w:val="superscript"/>
        </w:rPr>
        <w:t>-2</w:t>
      </w:r>
      <w:bookmarkEnd w:id="115"/>
    </w:p>
    <w:p w14:paraId="1A7F9C08" w14:textId="77777777" w:rsidR="002249C8" w:rsidRDefault="002249C8" w:rsidP="002249C8">
      <w:r>
        <w:t xml:space="preserve">In </w:t>
      </w:r>
      <w:r>
        <w:fldChar w:fldCharType="begin"/>
      </w:r>
      <w:r>
        <w:instrText xml:space="preserve"> REF _Ref164373972 \h </w:instrText>
      </w:r>
      <w:r>
        <w:fldChar w:fldCharType="separate"/>
      </w:r>
      <w:r>
        <w:t>Figure 4.</w:t>
      </w:r>
      <w:r>
        <w:rPr>
          <w:noProof/>
        </w:rPr>
        <w:t>6</w:t>
      </w:r>
      <w:r>
        <w:fldChar w:fldCharType="end"/>
      </w:r>
      <w:r>
        <w:t xml:space="preserve">, the inlet temperature is gradually dropped from 800 </w:t>
      </w:r>
      <m:oMath>
        <m:r>
          <w:rPr>
            <w:rFonts w:ascii="Cambria Math" w:hAnsi="Cambria Math"/>
          </w:rPr>
          <m:t>℃</m:t>
        </m:r>
      </m:oMath>
      <w:r>
        <w:rPr>
          <w:rFonts w:eastAsiaTheme="minorEastAsia"/>
        </w:rPr>
        <w:t xml:space="preserve"> until it failed to converge due to limited hydrogen availability as the MDA reactions slowed with decreasing temperature. The lowest achievable temperature is 656 </w:t>
      </w:r>
      <m:oMath>
        <m:r>
          <w:rPr>
            <w:rFonts w:ascii="Cambria Math" w:eastAsiaTheme="minorEastAsia" w:hAnsi="Cambria Math"/>
          </w:rPr>
          <m:t>℃</m:t>
        </m:r>
      </m:oMath>
      <w:r>
        <w:rPr>
          <w:rFonts w:eastAsiaTheme="minorEastAsia"/>
        </w:rPr>
        <w:t>, noticeably lower than the lowest temperature using 0.007 Acm</w:t>
      </w:r>
      <w:r>
        <w:rPr>
          <w:rFonts w:eastAsiaTheme="minorEastAsia"/>
          <w:vertAlign w:val="superscript"/>
        </w:rPr>
        <w:t>-2</w:t>
      </w:r>
      <w:r>
        <w:rPr>
          <w:rFonts w:eastAsiaTheme="minorEastAsia"/>
        </w:rPr>
        <w:t xml:space="preserve">. </w:t>
      </w:r>
      <w:r>
        <w:rPr>
          <w:rFonts w:eastAsiaTheme="minorEastAsia"/>
        </w:rPr>
        <w:fldChar w:fldCharType="begin"/>
      </w:r>
      <w:r>
        <w:rPr>
          <w:rFonts w:eastAsiaTheme="minorEastAsia"/>
        </w:rPr>
        <w:instrText xml:space="preserve"> REF _Ref164373972 \h </w:instrText>
      </w:r>
      <w:r>
        <w:rPr>
          <w:rFonts w:eastAsiaTheme="minorEastAsia"/>
        </w:rPr>
      </w:r>
      <w:r>
        <w:rPr>
          <w:rFonts w:eastAsiaTheme="minorEastAsia"/>
        </w:rPr>
        <w:fldChar w:fldCharType="separate"/>
      </w:r>
      <w:r>
        <w:t>Figure 4.</w:t>
      </w:r>
      <w:r>
        <w:rPr>
          <w:noProof/>
        </w:rPr>
        <w:t>6</w:t>
      </w:r>
      <w:r>
        <w:rPr>
          <w:rFonts w:eastAsiaTheme="minorEastAsia"/>
        </w:rPr>
        <w:fldChar w:fldCharType="end"/>
      </w:r>
      <w:r>
        <w:rPr>
          <w:rFonts w:eastAsiaTheme="minorEastAsia"/>
        </w:rPr>
        <w:t xml:space="preserve"> also</w:t>
      </w:r>
      <w:r>
        <w:t xml:space="preserve"> indicates that continuing to decrease the flow rate should allow for continued decreasing inlet temperatures for the cell while still achieving 30% fuel conversion. However, the sudden drop in voltage the cell experiences at the lowest temperature indicates a lack of hydrogen availability. As the temperature continues to drop, the MDA reactions are less favorable, but the methane reforming reactions continue to be strong. So, while continuing to decrease both the flow rate and the current density may enable even lower temperatures for 30% conversion, this trend reaches a hydrogen-availability and kinetic threshold that will render the MDA PCFC ineffective. Therefore, it is estimated that 650 </w:t>
      </w:r>
      <m:oMath>
        <m:r>
          <w:rPr>
            <w:rFonts w:ascii="Cambria Math" w:hAnsi="Cambria Math"/>
          </w:rPr>
          <m:t>℃</m:t>
        </m:r>
      </m:oMath>
      <w:r>
        <w:rPr>
          <w:rFonts w:eastAsiaTheme="minorEastAsia"/>
        </w:rPr>
        <w:t xml:space="preserve"> is the lowest temperature that has the potential to achieve reasonably effective results alongside a 30% fuel conversion, barring further catalyst development.</w:t>
      </w:r>
    </w:p>
    <w:p w14:paraId="2C918C17" w14:textId="77777777" w:rsidR="002249C8" w:rsidRPr="00A24DAB" w:rsidRDefault="002249C8" w:rsidP="002249C8">
      <w:r>
        <w:t>If the PCFC system is run with the intent to achieve conversion rates other than 30% fuel conversion, it is important to understand the consequences. As such, the maximum and minimum conversions attainable at 0.007 Acm</w:t>
      </w:r>
      <w:r>
        <w:rPr>
          <w:vertAlign w:val="superscript"/>
        </w:rPr>
        <w:t>-2</w:t>
      </w:r>
      <w:r>
        <w:t xml:space="preserve"> are shown in </w:t>
      </w:r>
      <w:r>
        <w:fldChar w:fldCharType="begin"/>
      </w:r>
      <w:r>
        <w:instrText xml:space="preserve"> REF _Ref163777481 \h </w:instrText>
      </w:r>
      <w:r>
        <w:fldChar w:fldCharType="separate"/>
      </w:r>
      <w:r>
        <w:t>Figure 4.</w:t>
      </w:r>
      <w:r>
        <w:rPr>
          <w:noProof/>
        </w:rPr>
        <w:t>7</w:t>
      </w:r>
      <w:r>
        <w:fldChar w:fldCharType="end"/>
      </w:r>
      <w:r>
        <w:t xml:space="preserve">. Like </w:t>
      </w:r>
      <w:r>
        <w:fldChar w:fldCharType="begin"/>
      </w:r>
      <w:r>
        <w:instrText xml:space="preserve"> REF _Ref164373972 \h </w:instrText>
      </w:r>
      <w:r>
        <w:fldChar w:fldCharType="separate"/>
      </w:r>
      <w:r>
        <w:t>Figure 4.</w:t>
      </w:r>
      <w:r>
        <w:rPr>
          <w:noProof/>
        </w:rPr>
        <w:t>6</w:t>
      </w:r>
      <w:r>
        <w:fldChar w:fldCharType="end"/>
      </w:r>
      <w:r>
        <w:t>, the model is run until a solution could no longer be converged in either direction, reaching limits of 4% fuel utilization and up to 56% fuel utilization at 0.007 Acm</w:t>
      </w:r>
      <w:r>
        <w:rPr>
          <w:vertAlign w:val="superscript"/>
        </w:rPr>
        <w:t>-2</w:t>
      </w:r>
      <w:r>
        <w:t xml:space="preserve"> at an inlet temperature of 710</w:t>
      </w:r>
      <m:oMath>
        <m:r>
          <w:rPr>
            <w:rFonts w:ascii="Cambria Math" w:hAnsi="Cambria Math"/>
          </w:rPr>
          <m:t>℃</m:t>
        </m:r>
      </m:oMath>
      <w:r>
        <w:rPr>
          <w:rFonts w:eastAsiaTheme="minorEastAsia"/>
        </w:rPr>
        <w:t xml:space="preserve">. </w:t>
      </w:r>
    </w:p>
    <w:p w14:paraId="66B81622" w14:textId="77777777" w:rsidR="002249C8" w:rsidRDefault="002249C8" w:rsidP="002249C8">
      <w:pPr>
        <w:keepNext/>
        <w:ind w:firstLine="0"/>
        <w:jc w:val="center"/>
      </w:pPr>
      <w:r>
        <w:rPr>
          <w:noProof/>
        </w:rPr>
        <w:drawing>
          <wp:inline distT="0" distB="0" distL="0" distR="0" wp14:anchorId="68322AB8" wp14:editId="679DCD7A">
            <wp:extent cx="4276725" cy="2543175"/>
            <wp:effectExtent l="0" t="0" r="0" b="0"/>
            <wp:docPr id="247900923" name="Chart 1">
              <a:extLst xmlns:a="http://schemas.openxmlformats.org/drawingml/2006/main">
                <a:ext uri="{FF2B5EF4-FFF2-40B4-BE49-F238E27FC236}">
                  <a16:creationId xmlns:a16="http://schemas.microsoft.com/office/drawing/2014/main" id="{E53E5F00-AF05-3373-6ED8-9708355DE3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BB59EB">
        <w:rPr>
          <w:noProof/>
        </w:rPr>
        <w:t xml:space="preserve"> </w:t>
      </w:r>
      <w:r>
        <w:rPr>
          <w:noProof/>
        </w:rPr>
        <w:drawing>
          <wp:inline distT="0" distB="0" distL="0" distR="0" wp14:anchorId="2BE0B78F" wp14:editId="66EEB48D">
            <wp:extent cx="4229100" cy="2514600"/>
            <wp:effectExtent l="0" t="0" r="0" b="0"/>
            <wp:docPr id="1096297886" name="Chart 1">
              <a:extLst xmlns:a="http://schemas.openxmlformats.org/drawingml/2006/main">
                <a:ext uri="{FF2B5EF4-FFF2-40B4-BE49-F238E27FC236}">
                  <a16:creationId xmlns:a16="http://schemas.microsoft.com/office/drawing/2014/main" id="{9B12D5D6-DD43-01EE-EC54-1CE2976F3E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F361701" w14:textId="77777777" w:rsidR="002249C8" w:rsidRDefault="002249C8" w:rsidP="002249C8">
      <w:pPr>
        <w:pStyle w:val="Caption"/>
      </w:pPr>
      <w:bookmarkStart w:id="116" w:name="_Ref163777481"/>
      <w:bookmarkStart w:id="117" w:name="_Toc165641144"/>
      <w:r>
        <w:t>Figure 4.</w:t>
      </w:r>
      <w:r>
        <w:fldChar w:fldCharType="begin"/>
      </w:r>
      <w:r>
        <w:instrText xml:space="preserve"> SEQ Figure \* ARABIC </w:instrText>
      </w:r>
      <w:r>
        <w:fldChar w:fldCharType="separate"/>
      </w:r>
      <w:r>
        <w:rPr>
          <w:noProof/>
        </w:rPr>
        <w:t>7</w:t>
      </w:r>
      <w:r>
        <w:fldChar w:fldCharType="end"/>
      </w:r>
      <w:bookmarkEnd w:id="116"/>
      <w:r>
        <w:t>: Effect and limitations of varying the fuel utilization; a) the inverse relationships of CE and flow rate with fuel conversion; b) fuel conversion’s effect on the output selectivity</w:t>
      </w:r>
      <w:bookmarkEnd w:id="117"/>
    </w:p>
    <w:p w14:paraId="191D567C" w14:textId="01AB9830" w:rsidR="002249C8" w:rsidRDefault="002249C8" w:rsidP="002249C8">
      <w:r w:rsidRPr="00E558AF">
        <w:rPr>
          <w:noProof/>
        </w:rPr>
        <w:t xml:space="preserve"> </w:t>
      </w:r>
      <w:r>
        <w:t xml:space="preserve">The first note from </w:t>
      </w:r>
      <w:r>
        <w:fldChar w:fldCharType="begin"/>
      </w:r>
      <w:r>
        <w:instrText xml:space="preserve"> REF _Ref163777481 \h </w:instrText>
      </w:r>
      <w:r>
        <w:fldChar w:fldCharType="separate"/>
      </w:r>
      <w:r>
        <w:t>Figure 4.</w:t>
      </w:r>
      <w:r>
        <w:rPr>
          <w:noProof/>
        </w:rPr>
        <w:t>7</w:t>
      </w:r>
      <w:r>
        <w:fldChar w:fldCharType="end"/>
      </w:r>
      <w:r>
        <w:t xml:space="preserve">a is that the CE, and therefore the voltage and power density, are only lightly dependent on the fuel utilization, with the CE gradually decreasing from 86-62% with increased fuel utilization. Because the CE varies exactly with the voltage, this implies that the power output from the cell is consistent through minor to moderate fluctuations of the flow rate through it, which could be especially helpful when relying on the power output from the cell at a place like a wellhead flare where the flare gas flowrate has the potential to experience many fluctuations. Conversely, the flowrate has an exponentially inverse relationship with </w:t>
      </w:r>
      <w:r w:rsidR="009A54A4">
        <w:t>fuel</w:t>
      </w:r>
      <w:r>
        <w:t xml:space="preserve"> utilization, reaching as high as 18.4 L/</w:t>
      </w:r>
      <w:proofErr w:type="spellStart"/>
      <w:r>
        <w:t>g</w:t>
      </w:r>
      <w:r>
        <w:rPr>
          <w:vertAlign w:val="subscript"/>
        </w:rPr>
        <w:t>cat</w:t>
      </w:r>
      <w:proofErr w:type="spellEnd"/>
      <w:r>
        <w:t>/h at 4% utilization and as low as .50 L/</w:t>
      </w:r>
      <w:proofErr w:type="spellStart"/>
      <w:r>
        <w:t>g</w:t>
      </w:r>
      <w:r>
        <w:rPr>
          <w:vertAlign w:val="subscript"/>
        </w:rPr>
        <w:t>cat</w:t>
      </w:r>
      <w:proofErr w:type="spellEnd"/>
      <w:r>
        <w:t xml:space="preserve">/h at 56% utilization. </w:t>
      </w:r>
    </w:p>
    <w:p w14:paraId="158B93B7" w14:textId="4DFD38E4" w:rsidR="002249C8" w:rsidRDefault="002249C8" w:rsidP="002249C8">
      <w:r>
        <w:t xml:space="preserve">In the selectivity graph in </w:t>
      </w:r>
      <w:r>
        <w:fldChar w:fldCharType="begin"/>
      </w:r>
      <w:r>
        <w:instrText xml:space="preserve"> REF _Ref163777481 \h </w:instrText>
      </w:r>
      <w:r>
        <w:fldChar w:fldCharType="separate"/>
      </w:r>
      <w:r>
        <w:t>Figure 4.</w:t>
      </w:r>
      <w:r>
        <w:rPr>
          <w:noProof/>
        </w:rPr>
        <w:t>7</w:t>
      </w:r>
      <w:r>
        <w:fldChar w:fldCharType="end"/>
      </w:r>
      <w:r>
        <w:t xml:space="preserve">b, dependencies on the fuel utilization are the most pronounced for the benzene and emissions selectivity but are clearly apparent for all products. Benzene is essentially not produced at extremely low fuel </w:t>
      </w:r>
      <w:proofErr w:type="gramStart"/>
      <w:r>
        <w:t>utilization, but</w:t>
      </w:r>
      <w:proofErr w:type="gramEnd"/>
      <w:r>
        <w:t xml:space="preserve"> achieves a maximum of 65%-68% selectivity between 26%-46% fuel utilization before lowering back down to 50% at maximum fuel utilization due to the accelerated production of toluene. The apparent lack of benzene at low fuel utilization is due to the high flow rate preventing opportunities for the newly formed ethylene to interact on the catalyst reaction sites. This is reversed at low flow rates, where ethylene has the maximum opportunity to react. Notably, the benzene selectivity sharply increases to 60% at only 20% fuel </w:t>
      </w:r>
      <w:r w:rsidR="00710998">
        <w:t>utilization and</w:t>
      </w:r>
      <w:r>
        <w:t xml:space="preserve"> increases only gradually thereafter. Additionally, the total aromatic selectivity achieves the goal of 50% selectivity at only 13% conversion.</w:t>
      </w:r>
    </w:p>
    <w:p w14:paraId="26AE7D98" w14:textId="77777777" w:rsidR="002249C8" w:rsidRDefault="002249C8" w:rsidP="002249C8">
      <w:r>
        <w:t xml:space="preserve">Ethylene is the important intermediate product and has an initial spike up to 42.3% selectivity at 6% utilization and then decreases rapidly down to 3.1% at 56% fuel conversion. After the initial spike in selectivity, the decline in ethylene selectivity slows noticeably after 15-25% fuel conversion. Ethylene at the outlet is most certainly a byproduct and is ideally either mitigated or recycled to the inlet, which is discussed later. </w:t>
      </w:r>
    </w:p>
    <w:p w14:paraId="0F14E6D8" w14:textId="77777777" w:rsidR="002249C8" w:rsidRDefault="002249C8" w:rsidP="002249C8">
      <w:r>
        <w:t xml:space="preserve">The emissions rate is also strongly affected by fuel utilization. The relationship of the emissions is inversed with benzene selectivity, with a high of 67.4% selectivity at 4% fuel conversion and then decreasing to 20% selectivity at 25% conversion before reaching a low of 13.9% selectivity at maximum fuel utilization, which is only 1.3% above the FBR results. </w:t>
      </w:r>
    </w:p>
    <w:p w14:paraId="2FE8AFE8" w14:textId="6B43E611" w:rsidR="002249C8" w:rsidRDefault="002249C8" w:rsidP="002249C8">
      <w:r>
        <w:t xml:space="preserve">Lastly, the toluene varies with the utilization but also consistently remains at a very low selectivity until sufficient levels of hydrogen are removed. It achieves a high of </w:t>
      </w:r>
      <w:r w:rsidR="00710998">
        <w:t>33.1%</w:t>
      </w:r>
      <w:r>
        <w:t xml:space="preserve"> selectivity at 55% fuel conversion, but only gets above 10% selectivity at 39% fuel conversion (</w:t>
      </w:r>
      <w:r>
        <w:rPr>
          <w:rFonts w:eastAsiaTheme="minorEastAsia"/>
        </w:rPr>
        <w:t>0.725 Lg</w:t>
      </w:r>
      <w:r>
        <w:rPr>
          <w:rFonts w:eastAsiaTheme="minorEastAsia"/>
          <w:vertAlign w:val="subscript"/>
        </w:rPr>
        <w:t>cat</w:t>
      </w:r>
      <w:r>
        <w:rPr>
          <w:rFonts w:eastAsiaTheme="minorEastAsia"/>
          <w:vertAlign w:val="superscript"/>
        </w:rPr>
        <w:t>-1</w:t>
      </w:r>
      <w:r>
        <w:rPr>
          <w:rFonts w:eastAsiaTheme="minorEastAsia"/>
        </w:rPr>
        <w:t>h</w:t>
      </w:r>
      <w:r>
        <w:rPr>
          <w:rFonts w:eastAsiaTheme="minorEastAsia"/>
          <w:vertAlign w:val="superscript"/>
        </w:rPr>
        <w:t>-1</w:t>
      </w:r>
      <w:r>
        <w:rPr>
          <w:rFonts w:eastAsiaTheme="minorEastAsia"/>
        </w:rPr>
        <w:t>)</w:t>
      </w:r>
      <w:r>
        <w:t>. This underscores the exponential relationship between toluene production and hydrogen removal. It is likely that, in industrial practices, the very low flow rates required to achieve such high fuel utilizations may prevent toluene from becoming an abundant product from the system. While not as useful as benzene, toluene remains a valuable aromatic byproduct from the PCFC system.</w:t>
      </w:r>
    </w:p>
    <w:p w14:paraId="0CB11D0B" w14:textId="77777777" w:rsidR="002249C8" w:rsidRDefault="002249C8" w:rsidP="002249C8">
      <w:r>
        <w:t>The results from the figures 4.4-4.7 indicate the following important takeaways:</w:t>
      </w:r>
    </w:p>
    <w:p w14:paraId="01B3E699" w14:textId="77777777" w:rsidR="002249C8" w:rsidRPr="00AA423C" w:rsidRDefault="002249C8" w:rsidP="002249C8">
      <w:pPr>
        <w:pStyle w:val="ListParagraph"/>
        <w:numPr>
          <w:ilvl w:val="0"/>
          <w:numId w:val="11"/>
        </w:numPr>
        <w:jc w:val="left"/>
      </w:pPr>
      <w:r>
        <w:rPr>
          <w:rFonts w:eastAsiaTheme="minorEastAsia"/>
        </w:rPr>
        <w:t>Achieving the goal of 50% aromatic conversion should not be a significant obstacle</w:t>
      </w:r>
    </w:p>
    <w:p w14:paraId="6DA22683" w14:textId="6CF81357" w:rsidR="002249C8" w:rsidRPr="00751CC4" w:rsidRDefault="00150762" w:rsidP="002249C8">
      <w:pPr>
        <w:pStyle w:val="ListParagraph"/>
        <w:numPr>
          <w:ilvl w:val="0"/>
          <w:numId w:val="11"/>
        </w:numPr>
        <w:jc w:val="left"/>
      </w:pPr>
      <w:r>
        <w:rPr>
          <w:rFonts w:eastAsiaTheme="minorEastAsia"/>
        </w:rPr>
        <w:t>Achieving 90</w:t>
      </w:r>
      <w:r w:rsidR="002249C8">
        <w:rPr>
          <w:rFonts w:eastAsiaTheme="minorEastAsia"/>
        </w:rPr>
        <w:t>% emissions reduction at usable current densities relies completely on catalyst development to speed up the MDA reaction mechanism so less water can be used in the natural gas stream. Currently, a small amount of water is required for the hydrogen production necessary to start the electrochemical reactions, which creates a lower threshold of emissions above the 10% DOE goal.</w:t>
      </w:r>
    </w:p>
    <w:p w14:paraId="00AC72DF" w14:textId="77777777" w:rsidR="002249C8" w:rsidRDefault="002249C8" w:rsidP="002249C8">
      <w:pPr>
        <w:pStyle w:val="ListParagraph"/>
        <w:numPr>
          <w:ilvl w:val="0"/>
          <w:numId w:val="11"/>
        </w:numPr>
        <w:jc w:val="left"/>
      </w:pPr>
      <w:r>
        <w:t>A current density of 0.007 Acm</w:t>
      </w:r>
      <w:r>
        <w:rPr>
          <w:vertAlign w:val="superscript"/>
        </w:rPr>
        <w:t>-2</w:t>
      </w:r>
      <w:r>
        <w:t xml:space="preserve"> provides an effective balance between power output and product selectivity at 30% </w:t>
      </w:r>
      <w:proofErr w:type="gramStart"/>
      <w:r>
        <w:t>conversion, unless</w:t>
      </w:r>
      <w:proofErr w:type="gramEnd"/>
      <w:r>
        <w:t xml:space="preserve"> temperatures lower than 700 </w:t>
      </w:r>
      <m:oMath>
        <m:r>
          <w:rPr>
            <w:rFonts w:ascii="Cambria Math" w:hAnsi="Cambria Math"/>
          </w:rPr>
          <m:t>℃</m:t>
        </m:r>
      </m:oMath>
      <w:r>
        <w:rPr>
          <w:rFonts w:eastAsiaTheme="minorEastAsia"/>
        </w:rPr>
        <w:t xml:space="preserve"> are required.</w:t>
      </w:r>
    </w:p>
    <w:p w14:paraId="72BF8231" w14:textId="77777777" w:rsidR="002249C8" w:rsidRDefault="002249C8" w:rsidP="002249C8">
      <w:pPr>
        <w:pStyle w:val="ListParagraph"/>
        <w:numPr>
          <w:ilvl w:val="0"/>
          <w:numId w:val="11"/>
        </w:numPr>
        <w:jc w:val="left"/>
      </w:pPr>
      <w:r>
        <w:t xml:space="preserve">While 30% conversion is most definitely an ideal goal and achieves high selectivity, a lower conversion may still be acceptable if there are too few cells to meet the flow demand. For example, a fuel conversion of 20% yields a 50% flow rate increase at the expense of only a 10% decrease in aromatic selectivity (down to 64%) </w:t>
      </w:r>
    </w:p>
    <w:p w14:paraId="37F27FF3" w14:textId="77777777" w:rsidR="002249C8" w:rsidRPr="00454EDE" w:rsidRDefault="002249C8" w:rsidP="002249C8">
      <w:pPr>
        <w:pStyle w:val="ListParagraph"/>
        <w:numPr>
          <w:ilvl w:val="0"/>
          <w:numId w:val="11"/>
        </w:numPr>
        <w:jc w:val="left"/>
      </w:pPr>
      <w:r>
        <w:t>650</w:t>
      </w:r>
      <m:oMath>
        <m:r>
          <w:rPr>
            <w:rFonts w:ascii="Cambria Math" w:hAnsi="Cambria Math"/>
          </w:rPr>
          <m:t>℃</m:t>
        </m:r>
      </m:oMath>
      <w:r>
        <w:rPr>
          <w:rFonts w:eastAsiaTheme="minorEastAsia"/>
        </w:rPr>
        <w:t xml:space="preserve"> is the minimum inlet temperature required to achieve 30% conversion while also producing significant power levels. However, this requires extremely low flow rates.</w:t>
      </w:r>
    </w:p>
    <w:p w14:paraId="6D234CBD" w14:textId="77777777" w:rsidR="002249C8" w:rsidRPr="00751CC4" w:rsidRDefault="002249C8" w:rsidP="002249C8">
      <w:pPr>
        <w:pStyle w:val="ListParagraph"/>
        <w:numPr>
          <w:ilvl w:val="0"/>
          <w:numId w:val="11"/>
        </w:numPr>
        <w:jc w:val="left"/>
      </w:pPr>
      <w:r>
        <w:rPr>
          <w:rFonts w:eastAsiaTheme="minorEastAsia"/>
        </w:rPr>
        <w:t>Toluene has the potential to spike at flow rates lower than 0.725 Lg</w:t>
      </w:r>
      <w:r>
        <w:rPr>
          <w:rFonts w:eastAsiaTheme="minorEastAsia"/>
          <w:vertAlign w:val="subscript"/>
        </w:rPr>
        <w:t>cat</w:t>
      </w:r>
      <w:r>
        <w:rPr>
          <w:rFonts w:eastAsiaTheme="minorEastAsia"/>
          <w:vertAlign w:val="superscript"/>
        </w:rPr>
        <w:t>-1</w:t>
      </w:r>
      <w:r>
        <w:rPr>
          <w:rFonts w:eastAsiaTheme="minorEastAsia"/>
        </w:rPr>
        <w:t>h</w:t>
      </w:r>
      <w:r>
        <w:rPr>
          <w:rFonts w:eastAsiaTheme="minorEastAsia"/>
          <w:vertAlign w:val="superscript"/>
        </w:rPr>
        <w:t>-1</w:t>
      </w:r>
      <w:r>
        <w:rPr>
          <w:rFonts w:eastAsiaTheme="minorEastAsia"/>
        </w:rPr>
        <w:t>.</w:t>
      </w:r>
    </w:p>
    <w:p w14:paraId="7E43E917" w14:textId="77777777" w:rsidR="002249C8" w:rsidRDefault="002249C8" w:rsidP="002249C8">
      <w:pPr>
        <w:pStyle w:val="Heading3"/>
      </w:pPr>
      <w:bookmarkStart w:id="118" w:name="_Toc165641093"/>
      <w:r>
        <w:t>4.2.3 Parametric Study of Input Parameters</w:t>
      </w:r>
      <w:bookmarkEnd w:id="118"/>
    </w:p>
    <w:p w14:paraId="0E521011" w14:textId="426D4FEE" w:rsidR="002249C8" w:rsidRPr="00617845" w:rsidRDefault="002249C8" w:rsidP="002249C8">
      <w:r>
        <w:t xml:space="preserve">The values in </w:t>
      </w:r>
      <w:r>
        <w:fldChar w:fldCharType="begin"/>
      </w:r>
      <w:r>
        <w:instrText xml:space="preserve"> REF _Ref163754133 \h </w:instrText>
      </w:r>
      <w:r>
        <w:fldChar w:fldCharType="separate"/>
      </w:r>
      <w:r>
        <w:t>Table 4.</w:t>
      </w:r>
      <w:r>
        <w:rPr>
          <w:noProof/>
        </w:rPr>
        <w:t>2</w:t>
      </w:r>
      <w:r>
        <w:fldChar w:fldCharType="end"/>
      </w:r>
      <w:r>
        <w:t xml:space="preserve"> are representative of ideal future applications and are loosely based on previous PCFC works directly applicable to this study </w:t>
      </w:r>
      <w:r>
        <w:fldChar w:fldCharType="begin"/>
      </w:r>
      <w:r w:rsidR="00CA7A9D">
        <w:instrText xml:space="preserve"> ADDIN ZOTERO_ITEM CSL_CITATION {"citationID":"aasi9a0ucg","properties":{"formattedCitation":"[21], [33]","plainCitation":"[21], [33]","noteIndex":0},"citationItems":[{"id":82,"uris":["http://zotero.org/users/12063231/items/IKMWCGBN"],"itemData":{"id":82,"type":"article-journal","abstract":"Protonic ceramic fuel cells (PCFCs) are clean and efficient power generation devices operating at intermediate temperatures. However, manufacturing difficulties have limited their commercialization, especially for promising tubular PCFCs. Herein, we report a cost-effective 3D printing technique for manufacturing large-area tubular PCFCs (e.g., 15.7 cm2), featured with the use of commercial raw materials, a small amount of binder, and a CO2 laser for rapid in situ drying. The technical advantages enable low-cost material preparation and efficient achievement of exemplary shape/dimension-controlled uniform microstructures in porous anode support, dense electrolyte, and porous cathode. The 3D-printed tubular PCFC (</w:instrText>
      </w:r>
      <w:r w:rsidR="00CA7A9D">
        <w:rPr>
          <w:rFonts w:ascii="Cambria Math" w:hAnsi="Cambria Math" w:cs="Cambria Math"/>
        </w:rPr>
        <w:instrText>∼</w:instrText>
      </w:r>
      <w:r w:rsidR="00CA7A9D">
        <w:instrText>12.5 cm2) exhibits a power output of 2.45 W at 650 °C. Meanwhile, the long-term stability is confirmed during 200 h of operation. This novel 3D printing offers great potential to advance PCFCs from the laboratory to larger scales for realistic applications.","container-title":"ACS Energy Letters","DOI":"10.1021/acsenergylett.3c01345","issue":"8","journalAbbreviation":"ACS Energy Lett.","note":"publisher: American Chemical Society","page":"3545-3551","source":"ACS Publications","title":"3D Printing Enabled Highly Scalable Tubular Protonic Ceramic Fuel Cells","volume":"8","author":[{"family":"Zou","given":"Minda"},{"family":"Conrad","given":"Jacob"},{"family":"Sheridan","given":"Bridget"},{"family":"Zhang","given":"Jiawei"},{"family":"Huang","given":"Hua"},{"family":"Mu","given":"Shenglong"},{"family":"Zhou","given":"Tianyi"},{"family":"Zhao","given":"Zeyu"},{"family":"Brinkman","given":"Kyle S."},{"family":"Xiao","given":"Hai"},{"family":"Peng","given":"Fei"},{"family":"Tong","given":"Jianhua"}],"issued":{"date-parts":[["2023",8,11]]}}},{"id":591,"uris":["http://zotero.org/users/12063231/items/BE5BSF4A"],"itemData":{"id":591,"type":"article-journal","abstract":"The typically high temperatures (≥500</w:instrText>
      </w:r>
      <w:r w:rsidR="00CA7A9D">
        <w:rPr>
          <w:rFonts w:ascii="Arial" w:hAnsi="Arial" w:cs="Arial"/>
        </w:rPr>
        <w:instrText> </w:instrText>
      </w:r>
      <w:r w:rsidR="00CA7A9D">
        <w:rPr>
          <w:rFonts w:ascii="Aptos" w:hAnsi="Aptos" w:cs="Aptos"/>
        </w:rPr>
        <w:instrText>°</w:instrText>
      </w:r>
      <w:r w:rsidR="00CA7A9D">
        <w:instrText>C) at which ceramic electrochemical cells operate place constraints on device materials and construction. Here Liu and colleagues design reversible proton-conducting electrochemical cells that can operate with high performance at temperatures of 450</w:instrText>
      </w:r>
      <w:r w:rsidR="00CA7A9D">
        <w:rPr>
          <w:rFonts w:ascii="Arial" w:hAnsi="Arial" w:cs="Arial"/>
        </w:rPr>
        <w:instrText> </w:instrText>
      </w:r>
      <w:r w:rsidR="00CA7A9D">
        <w:rPr>
          <w:rFonts w:ascii="Aptos" w:hAnsi="Aptos" w:cs="Aptos"/>
        </w:rPr>
        <w:instrText>°</w:instrText>
      </w:r>
      <w:r w:rsidR="00CA7A9D">
        <w:instrText xml:space="preserve">C and below.","container-title":"Nature Energy","DOI":"10.1038/s41560-023-01350-4","ISSN":"2058-7546","issue":"10","journalAbbreviation":"Nat Energy","language":"en","license":"2023 The Author(s), under exclusive licence to Springer Nature Limited","note":"number: 10\npublisher: Nature Publishing Group","page":"1145-1157","source":"www.nature.com","title":"Lowering the operating temperature of protonic ceramic electrochemical cells to &lt;450 °C","volume":"8","author":[{"family":"Liu","given":"Fan"},{"family":"Deng","given":"Hao"},{"family":"Diercks","given":"David"},{"family":"Kumar","given":"Praveen"},{"family":"Jabbar","given":"Mohammed Hussain Abdul"},{"family":"Gumeci","given":"Cenk"},{"family":"Furuya","given":"Yoshihisa"},{"family":"Dale","given":"Nilesh"},{"family":"Oku","given":"Takanori"},{"family":"Usuda","given":"Masahiro"},{"family":"Kazempoor","given":"Pejman"},{"family":"Fang","given":"Liyang"},{"family":"Chen","given":"Di"},{"family":"Liu","given":"Bin"},{"family":"Duan","given":"Chuancheng"}],"issued":{"date-parts":[["2023",10]]}}}],"schema":"https://github.com/citation-style-language/schema/raw/master/csl-citation.json"} </w:instrText>
      </w:r>
      <w:r>
        <w:fldChar w:fldCharType="separate"/>
      </w:r>
      <w:r w:rsidR="00CA7A9D" w:rsidRPr="00CA7A9D">
        <w:rPr>
          <w:rFonts w:ascii="Aptos" w:hAnsi="Aptos"/>
        </w:rPr>
        <w:t>[21], [33]</w:t>
      </w:r>
      <w:r>
        <w:fldChar w:fldCharType="end"/>
      </w:r>
      <w:r>
        <w:t>. However, as real experimental data begins to be gathered, it is necessary to investigate several additional parameters more directly applicable to the fabrication and catalyst development. In this section, a flowrate of 1</w:t>
      </w:r>
      <w:r>
        <w:rPr>
          <w:rFonts w:eastAsiaTheme="minorEastAsia"/>
        </w:rPr>
        <w:t xml:space="preserve"> Lg</w:t>
      </w:r>
      <w:r>
        <w:rPr>
          <w:rFonts w:eastAsiaTheme="minorEastAsia"/>
          <w:vertAlign w:val="subscript"/>
        </w:rPr>
        <w:t>cat</w:t>
      </w:r>
      <w:r>
        <w:rPr>
          <w:rFonts w:eastAsiaTheme="minorEastAsia"/>
          <w:vertAlign w:val="superscript"/>
        </w:rPr>
        <w:t>-1</w:t>
      </w:r>
      <w:r>
        <w:rPr>
          <w:rFonts w:eastAsiaTheme="minorEastAsia"/>
        </w:rPr>
        <w:t>h</w:t>
      </w:r>
      <w:r>
        <w:rPr>
          <w:rFonts w:eastAsiaTheme="minorEastAsia"/>
          <w:vertAlign w:val="superscript"/>
        </w:rPr>
        <w:t>-1</w:t>
      </w:r>
      <w:r>
        <w:rPr>
          <w:rFonts w:eastAsiaTheme="minorEastAsia"/>
        </w:rPr>
        <w:t xml:space="preserve"> </w:t>
      </w:r>
      <w:r w:rsidR="00E9792B">
        <w:rPr>
          <w:rFonts w:eastAsiaTheme="minorEastAsia"/>
        </w:rPr>
        <w:t>is</w:t>
      </w:r>
      <w:r>
        <w:rPr>
          <w:rFonts w:eastAsiaTheme="minorEastAsia"/>
        </w:rPr>
        <w:t xml:space="preserve"> used instead of a demanded 30% conversion.</w:t>
      </w:r>
    </w:p>
    <w:p w14:paraId="7D3F27A0" w14:textId="77777777" w:rsidR="002249C8" w:rsidRDefault="002249C8" w:rsidP="002249C8">
      <w:r>
        <w:t xml:space="preserve">The first of these is the temperature profile. This has already been discussed some, but only from the perspective of the PEN assembly, which dictates the kinetics of the reactions. However, the PEN experiences heat transfer and is affected by other components as shown in </w:t>
      </w:r>
      <w:r>
        <w:fldChar w:fldCharType="begin"/>
      </w:r>
      <w:r>
        <w:instrText xml:space="preserve"> REF _Ref163792252 \h </w:instrText>
      </w:r>
      <w:r>
        <w:fldChar w:fldCharType="separate"/>
      </w:r>
      <w:r>
        <w:t>Figure 4.</w:t>
      </w:r>
      <w:r>
        <w:rPr>
          <w:noProof/>
        </w:rPr>
        <w:t>8</w:t>
      </w:r>
      <w:r>
        <w:fldChar w:fldCharType="end"/>
      </w:r>
      <w:r>
        <w:t>:</w:t>
      </w:r>
    </w:p>
    <w:p w14:paraId="7AE021F4" w14:textId="77777777" w:rsidR="002249C8" w:rsidRDefault="002249C8" w:rsidP="002249C8">
      <w:pPr>
        <w:keepNext/>
        <w:ind w:firstLine="0"/>
        <w:jc w:val="center"/>
      </w:pPr>
      <w:r>
        <w:rPr>
          <w:noProof/>
        </w:rPr>
        <mc:AlternateContent>
          <mc:Choice Requires="wps">
            <w:drawing>
              <wp:anchor distT="45720" distB="45720" distL="114300" distR="114300" simplePos="0" relativeHeight="251682816" behindDoc="0" locked="0" layoutInCell="1" allowOverlap="1" wp14:anchorId="6E9169A0" wp14:editId="5B8E083F">
                <wp:simplePos x="0" y="0"/>
                <wp:positionH relativeFrom="margin">
                  <wp:posOffset>2492121</wp:posOffset>
                </wp:positionH>
                <wp:positionV relativeFrom="paragraph">
                  <wp:posOffset>1547192</wp:posOffset>
                </wp:positionV>
                <wp:extent cx="665818" cy="1404620"/>
                <wp:effectExtent l="0" t="95250" r="1270" b="92075"/>
                <wp:wrapNone/>
                <wp:docPr id="1184756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77620">
                          <a:off x="0" y="0"/>
                          <a:ext cx="665818" cy="1404620"/>
                        </a:xfrm>
                        <a:prstGeom prst="rect">
                          <a:avLst/>
                        </a:prstGeom>
                        <a:noFill/>
                        <a:ln w="9525">
                          <a:noFill/>
                          <a:miter lim="800000"/>
                          <a:headEnd/>
                          <a:tailEnd/>
                        </a:ln>
                      </wps:spPr>
                      <wps:txbx>
                        <w:txbxContent>
                          <w:p w14:paraId="028D1BFA" w14:textId="77777777" w:rsidR="002249C8" w:rsidRDefault="002249C8" w:rsidP="002249C8">
                            <w:pPr>
                              <w:ind w:firstLine="0"/>
                            </w:pPr>
                            <w:r>
                              <w:t>Outlet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E9169A0" id="_x0000_s1030" type="#_x0000_t202" style="position:absolute;left:0;text-align:left;margin-left:196.25pt;margin-top:121.85pt;width:52.45pt;height:110.6pt;rotation:2160088fd;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nFBgIAAOIDAAAOAAAAZHJzL2Uyb0RvYy54bWysU9uO2yAQfa/Uf0C8N7Yj52aFrLa7TVVp&#10;e5G2/QCCcYyKGQokdvr1HbCbjdq3qn5AwDBn5pw53t4NnSZn6bwCw2gxyymRRkCtzJHRb1/3b9aU&#10;+MBNzTUYyehFenq3e/1q29tKzqEFXUtHEMT4qreMtiHYKsu8aGXH/QysNBhswHU84NEds9rxHtE7&#10;nc3zfJn14GrrQEjv8fZxDNJdwm8aKcLnpvEyEM0o9hbS6tJ6iGu22/Lq6LhtlZja4P/QRceVwaJX&#10;qEceODk59RdUp4QDD02YCegyaBolZOKAbIr8DzbPLbcycUFxvL3K5P8frPh0frZfHAnDWxhwgImE&#10;t08gvnti4KHl5ijvnYO+lbzGwkWULOutr6bUKLWvfAQ59B+hxiHzU4AENDSuIw5Q9WKzWi3nebpF&#10;1gRr4Tgu1xHIIRCBl8vlYl2gZwSGijIvY04syKuIFRW2zof3EjoSN4w6HHFC5ecnH8anv5/E5wb2&#10;Sus0Zm1Iz+hmMV+khJtIpwK6UKuO0XUev9EXkfI7U6fkwJUe99iLNpMGkfYoQBgOA1E1o2XMjZIc&#10;oL6gKIk+csWfBNttwf2kpEfDMep/nLiTlOgPBoXdFGUZHZoO5WKFxIm7jRxuI9wIhGI0UDJuH0Jy&#10;daTs7T0OYK+SGi+dTC2jkZKek+mjU2/P6dXLr7n7BQAA//8DAFBLAwQUAAYACAAAACEAxqW8IeEA&#10;AAALAQAADwAAAGRycy9kb3ducmV2LnhtbEyPwU6DQBCG7ya+w2ZMvNlFiqUgS6NN6skYpT143LIj&#10;oOwsYbcF397xpLeZzJd/vr/YzLYXZxx950jB7SICgVQ701Gj4LDf3axB+KDJ6N4RKvhGD5vy8qLQ&#10;uXETveG5Co3gEPK5VtCGMORS+rpFq/3CDUh8+3Cj1YHXsZFm1BOH217GUbSSVnfEH1o94LbF+qs6&#10;WQXV+smScY/v6f7lkH5up2naPb8qdX01P9yDCDiHPxh+9VkdSnY6uhMZL3oFyyy+Y1RBnCxTEEwk&#10;WZqAOPKwSjKQZSH/dyh/AAAA//8DAFBLAQItABQABgAIAAAAIQC2gziS/gAAAOEBAAATAAAAAAAA&#10;AAAAAAAAAAAAAABbQ29udGVudF9UeXBlc10ueG1sUEsBAi0AFAAGAAgAAAAhADj9If/WAAAAlAEA&#10;AAsAAAAAAAAAAAAAAAAALwEAAF9yZWxzLy5yZWxzUEsBAi0AFAAGAAgAAAAhAOUPCcUGAgAA4gMA&#10;AA4AAAAAAAAAAAAAAAAALgIAAGRycy9lMm9Eb2MueG1sUEsBAi0AFAAGAAgAAAAhAMalvCHhAAAA&#10;CwEAAA8AAAAAAAAAAAAAAAAAYAQAAGRycy9kb3ducmV2LnhtbFBLBQYAAAAABAAEAPMAAABuBQAA&#10;AAA=&#10;" filled="f" stroked="f">
                <v:textbox style="mso-fit-shape-to-text:t">
                  <w:txbxContent>
                    <w:p w14:paraId="028D1BFA" w14:textId="77777777" w:rsidR="002249C8" w:rsidRDefault="002249C8" w:rsidP="002249C8">
                      <w:pPr>
                        <w:ind w:firstLine="0"/>
                      </w:pPr>
                      <w:r>
                        <w:t>Outlet</w:t>
                      </w:r>
                    </w:p>
                  </w:txbxContent>
                </v:textbox>
                <w10:wrap anchorx="margin"/>
              </v:shape>
            </w:pict>
          </mc:Fallback>
        </mc:AlternateContent>
      </w:r>
      <w:r>
        <w:rPr>
          <w:noProof/>
        </w:rPr>
        <mc:AlternateContent>
          <mc:Choice Requires="wps">
            <w:drawing>
              <wp:anchor distT="45720" distB="45720" distL="114300" distR="114300" simplePos="0" relativeHeight="251681792" behindDoc="0" locked="0" layoutInCell="1" allowOverlap="1" wp14:anchorId="72DF5318" wp14:editId="7C83A35F">
                <wp:simplePos x="0" y="0"/>
                <wp:positionH relativeFrom="column">
                  <wp:posOffset>5121555</wp:posOffset>
                </wp:positionH>
                <wp:positionV relativeFrom="paragraph">
                  <wp:posOffset>1471778</wp:posOffset>
                </wp:positionV>
                <wp:extent cx="665818" cy="1404620"/>
                <wp:effectExtent l="0" t="95250" r="1270" b="92075"/>
                <wp:wrapNone/>
                <wp:docPr id="6532889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77620">
                          <a:off x="0" y="0"/>
                          <a:ext cx="665818" cy="1404620"/>
                        </a:xfrm>
                        <a:prstGeom prst="rect">
                          <a:avLst/>
                        </a:prstGeom>
                        <a:noFill/>
                        <a:ln w="9525">
                          <a:noFill/>
                          <a:miter lim="800000"/>
                          <a:headEnd/>
                          <a:tailEnd/>
                        </a:ln>
                      </wps:spPr>
                      <wps:txbx>
                        <w:txbxContent>
                          <w:p w14:paraId="3EEDE550" w14:textId="77777777" w:rsidR="002249C8" w:rsidRDefault="002249C8" w:rsidP="002249C8">
                            <w:pPr>
                              <w:ind w:firstLine="0"/>
                            </w:pPr>
                            <w:r>
                              <w:t>Outlet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2DF5318" id="_x0000_s1031" type="#_x0000_t202" style="position:absolute;left:0;text-align:left;margin-left:403.25pt;margin-top:115.9pt;width:52.45pt;height:110.6pt;rotation:2160088fd;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GczBgIAAOIDAAAOAAAAZHJzL2Uyb0RvYy54bWysU9uO2yAQfa/Uf0C8N7ajXK2Q1Xa3qSpt&#10;L9K2H0AwjlGBoUBip1/fAafZqH2r6gcEDHNmzpnjzd1gNDlJHxRYRqtJSYm0AhplD4x++7p7s6Ik&#10;RG4brsFKRs8y0Lvt61eb3tVyCh3oRnqCIDbUvWO0i9HVRRFEJw0PE3DSYrAFb3jEoz8Ujec9ohtd&#10;TMtyUfTgG+dByBDw9nEM0m3Gb1sp4ue2DTISzSj2FvPq87pPa7Hd8PrgueuUuLTB/6ELw5XFoleo&#10;Rx45OXr1F5RRwkOANk4EmALaVgmZOSCbqvyDzXPHncxcUJzgrjKF/wcrPp2e3RdP4vAWBhxgJhHc&#10;E4jvgVh46Lg9yHvvoe8kb7BwlSQrehfqS2qSOtQhgez7j9DgkPkxQgYaWm+IB1S9Wi+Xi2mZb5E1&#10;wVo4jvN1BHKIRODlYjFfVegZgaFqVs5STirI64SVFHY+xPcSDEkbRj2OOKPy01OI49PfT9JzCzul&#10;dR6ztqRndD2fznPCTcSoiC7UyjC6KtM3+iJRfmebnBy50uMee9H2okGiPQoQh/1AVMPoPOUmSfbQ&#10;nFGUTB+54k+C7Xbgf1LSo+EYDT+O3EtK9AeLwq6r2Sw5NB9m8yUSJ/42sr+NcCsQitFIybh9iNnV&#10;iXJw9ziAncpqvHRyaRmNlPW8mD459facX738mttfAAAA//8DAFBLAwQUAAYACAAAACEAFm9rCuEA&#10;AAALAQAADwAAAGRycy9kb3ducmV2LnhtbEyPy07DMBBF90j8gzVI7KidPtM0TgWVygpVkHbB0o1N&#10;EojHUezW4e8ZVrAczdG95+bb0XbsagbfOpSQTAQwg5XTLdYSTsf9QwrMB4VadQ6NhG/jYVvc3uQq&#10;0y7im7mWoWYUgj5TEpoQ+oxzXzXGKj9xvUH6fbjBqkDnUHM9qEjhtuNTIZbcqhapoVG92TWm+iov&#10;VkKZPlvU7ul9dTycVp+7GOP+5VXK+7vxcQMsmDH8wfCrT+pQkNPZXVB71klIxXJBqITpLKENRKyT&#10;ZA7sLGG+mAngRc7/byh+AAAA//8DAFBLAQItABQABgAIAAAAIQC2gziS/gAAAOEBAAATAAAAAAAA&#10;AAAAAAAAAAAAAABbQ29udGVudF9UeXBlc10ueG1sUEsBAi0AFAAGAAgAAAAhADj9If/WAAAAlAEA&#10;AAsAAAAAAAAAAAAAAAAALwEAAF9yZWxzLy5yZWxzUEsBAi0AFAAGAAgAAAAhADe4ZzMGAgAA4gMA&#10;AA4AAAAAAAAAAAAAAAAALgIAAGRycy9lMm9Eb2MueG1sUEsBAi0AFAAGAAgAAAAhABZvawrhAAAA&#10;CwEAAA8AAAAAAAAAAAAAAAAAYAQAAGRycy9kb3ducmV2LnhtbFBLBQYAAAAABAAEAPMAAABuBQAA&#10;AAA=&#10;" filled="f" stroked="f">
                <v:textbox style="mso-fit-shape-to-text:t">
                  <w:txbxContent>
                    <w:p w14:paraId="3EEDE550" w14:textId="77777777" w:rsidR="002249C8" w:rsidRDefault="002249C8" w:rsidP="002249C8">
                      <w:pPr>
                        <w:ind w:firstLine="0"/>
                      </w:pPr>
                      <w:r>
                        <w:t>Outlet</w:t>
                      </w:r>
                    </w:p>
                  </w:txbxContent>
                </v:textbox>
              </v:shape>
            </w:pict>
          </mc:Fallback>
        </mc:AlternateContent>
      </w:r>
      <w:r>
        <w:rPr>
          <w:noProof/>
        </w:rPr>
        <mc:AlternateContent>
          <mc:Choice Requires="wps">
            <w:drawing>
              <wp:anchor distT="45720" distB="45720" distL="114300" distR="114300" simplePos="0" relativeHeight="251680768" behindDoc="0" locked="0" layoutInCell="1" allowOverlap="1" wp14:anchorId="611F63D4" wp14:editId="0C45A0A6">
                <wp:simplePos x="0" y="0"/>
                <wp:positionH relativeFrom="column">
                  <wp:posOffset>3537357</wp:posOffset>
                </wp:positionH>
                <wp:positionV relativeFrom="paragraph">
                  <wp:posOffset>1392987</wp:posOffset>
                </wp:positionV>
                <wp:extent cx="486410" cy="1404620"/>
                <wp:effectExtent l="19050" t="38100" r="0" b="53975"/>
                <wp:wrapNone/>
                <wp:docPr id="4600984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77620">
                          <a:off x="0" y="0"/>
                          <a:ext cx="486410" cy="1404620"/>
                        </a:xfrm>
                        <a:prstGeom prst="rect">
                          <a:avLst/>
                        </a:prstGeom>
                        <a:noFill/>
                        <a:ln w="9525">
                          <a:noFill/>
                          <a:miter lim="800000"/>
                          <a:headEnd/>
                          <a:tailEnd/>
                        </a:ln>
                      </wps:spPr>
                      <wps:txbx>
                        <w:txbxContent>
                          <w:p w14:paraId="090C7802" w14:textId="77777777" w:rsidR="002249C8" w:rsidRDefault="002249C8" w:rsidP="002249C8">
                            <w:pPr>
                              <w:ind w:firstLine="0"/>
                            </w:pPr>
                            <w:r>
                              <w:t>Inlet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11F63D4" id="_x0000_s1032" type="#_x0000_t202" style="position:absolute;left:0;text-align:left;margin-left:278.55pt;margin-top:109.7pt;width:38.3pt;height:110.6pt;rotation:2160088fd;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cVsBgIAAOIDAAAOAAAAZHJzL2Uyb0RvYy54bWysU9uO2yAQfa/Uf0C8N7Yj52aFrLa7TVVp&#10;e5G2/QCCcYyKGQokdvr1HbCbjdq3qn5AwDBn5pw53t4NnSZn6bwCw2gxyymRRkCtzJHRb1/3b9aU&#10;+MBNzTUYyehFenq3e/1q29tKzqEFXUtHEMT4qreMtiHYKsu8aGXH/QysNBhswHU84NEds9rxHtE7&#10;nc3zfJn14GrrQEjv8fZxDNJdwm8aKcLnpvEyEM0o9hbS6tJ6iGu22/Lq6LhtlZja4P/QRceVwaJX&#10;qEceODk59RdUp4QDD02YCegyaBolZOKAbIr8DzbPLbcycUFxvL3K5P8frPh0frZfHAnDWxhwgImE&#10;t08gvnti4KHl5ijvnYO+lbzGwkWULOutr6bUKLWvfAQ59B+hxiHzU4AENDSuIw5Q9WKzWi3nebpF&#10;1gRr4Tgu1xHIIRCBl+V6WRYYERgqyryMObEgryJWVNg6H95L6EjcMOpwxAmVn598GJ/+fhKfG9gr&#10;rdOYtSE9o5vFfJESbiKdCuhCrTpG13n8Rl9Eyu9MnZIDV3rcYy/aTBpE2qMAYTgMRNWMLmNulOQA&#10;9QVFSfSREf4k2G4L7iclPRqOUf/jxJ2kRH8wKOymKMvo0HQoFyskTtxt5HAb4UYgFKOBknH7EJKr&#10;I2Vv73EAe5XUeOlkahmNlPScTB+dentOr15+zd0vAAAA//8DAFBLAwQUAAYACAAAACEA0tvOJOIA&#10;AAALAQAADwAAAGRycy9kb3ducmV2LnhtbEyPwU7DMBBE70j8g7VI3KiTNk3aNJsKKpUTqiDtgaMb&#10;myQQr6PYrcPfY05wXM3TzNtiO+meXdVoO0MI8SwCpqg2sqMG4XTcP6yAWSdIit6QQvhWFrbl7U0h&#10;cmk8valr5RoWSsjmAqF1bsg5t3WrtLAzMygK2YcZtXDhHBsuR+FDue75PIpSrkVHYaEVg9q1qv6q&#10;LhqhWj1rkubpPTseTtnnznu/f3lFvL+bHjfAnJrcHwy/+kEdyuB0NheSlvUIy2UWBxRhHq8TYIFI&#10;F4sM2BkhSaIUeFnw/z+UPwAAAP//AwBQSwECLQAUAAYACAAAACEAtoM4kv4AAADhAQAAEwAAAAAA&#10;AAAAAAAAAAAAAAAAW0NvbnRlbnRfVHlwZXNdLnhtbFBLAQItABQABgAIAAAAIQA4/SH/1gAAAJQB&#10;AAALAAAAAAAAAAAAAAAAAC8BAABfcmVscy8ucmVsc1BLAQItABQABgAIAAAAIQD9dcVsBgIAAOID&#10;AAAOAAAAAAAAAAAAAAAAAC4CAABkcnMvZTJvRG9jLnhtbFBLAQItABQABgAIAAAAIQDS284k4gAA&#10;AAsBAAAPAAAAAAAAAAAAAAAAAGAEAABkcnMvZG93bnJldi54bWxQSwUGAAAAAAQABADzAAAAbwUA&#10;AAAA&#10;" filled="f" stroked="f">
                <v:textbox style="mso-fit-shape-to-text:t">
                  <w:txbxContent>
                    <w:p w14:paraId="090C7802" w14:textId="77777777" w:rsidR="002249C8" w:rsidRDefault="002249C8" w:rsidP="002249C8">
                      <w:pPr>
                        <w:ind w:firstLine="0"/>
                      </w:pPr>
                      <w:r>
                        <w:t>Inlet</w:t>
                      </w:r>
                    </w:p>
                  </w:txbxContent>
                </v:textbox>
              </v:shape>
            </w:pict>
          </mc:Fallback>
        </mc:AlternateContent>
      </w:r>
      <w:r>
        <w:rPr>
          <w:noProof/>
        </w:rPr>
        <mc:AlternateContent>
          <mc:Choice Requires="wps">
            <w:drawing>
              <wp:anchor distT="45720" distB="45720" distL="114300" distR="114300" simplePos="0" relativeHeight="251679744" behindDoc="0" locked="0" layoutInCell="1" allowOverlap="1" wp14:anchorId="6630B19B" wp14:editId="751A7513">
                <wp:simplePos x="0" y="0"/>
                <wp:positionH relativeFrom="column">
                  <wp:posOffset>699770</wp:posOffset>
                </wp:positionH>
                <wp:positionV relativeFrom="paragraph">
                  <wp:posOffset>1510665</wp:posOffset>
                </wp:positionV>
                <wp:extent cx="486410" cy="1404620"/>
                <wp:effectExtent l="19050" t="38100" r="0" b="53975"/>
                <wp:wrapNone/>
                <wp:docPr id="17336087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77620">
                          <a:off x="0" y="0"/>
                          <a:ext cx="486410" cy="1404620"/>
                        </a:xfrm>
                        <a:prstGeom prst="rect">
                          <a:avLst/>
                        </a:prstGeom>
                        <a:noFill/>
                        <a:ln w="9525">
                          <a:noFill/>
                          <a:miter lim="800000"/>
                          <a:headEnd/>
                          <a:tailEnd/>
                        </a:ln>
                      </wps:spPr>
                      <wps:txbx>
                        <w:txbxContent>
                          <w:p w14:paraId="33441F2B" w14:textId="77777777" w:rsidR="002249C8" w:rsidRDefault="002249C8" w:rsidP="002249C8">
                            <w:pPr>
                              <w:ind w:firstLine="0"/>
                            </w:pPr>
                            <w:r>
                              <w:t>Inlet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30B19B" id="_x0000_s1033" type="#_x0000_t202" style="position:absolute;left:0;text-align:left;margin-left:55.1pt;margin-top:118.95pt;width:38.3pt;height:110.6pt;rotation:2160088fd;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quaBgIAAOIDAAAOAAAAZHJzL2Uyb0RvYy54bWysU9uO2yAQfa/Uf0C8N7Yj52aFrLa7TVVp&#10;e5G2/QCCcYyKGQokdvr1HbCbjdq3qn5AwDBn5pw53t4NnSZn6bwCw2gxyymRRkCtzJHRb1/3b9aU&#10;+MBNzTUYyehFenq3e/1q29tKzqEFXUtHEMT4qreMtiHYKsu8aGXH/QysNBhswHU84NEds9rxHtE7&#10;nc3zfJn14GrrQEjv8fZxDNJdwm8aKcLnpvEyEM0o9hbS6tJ6iGu22/Lq6LhtlZja4P/QRceVwaJX&#10;qEceODk59RdUp4QDD02YCegyaBolZOKAbIr8DzbPLbcycUFxvL3K5P8frPh0frZfHAnDWxhwgImE&#10;t08gvnti4KHl5ijvnYO+lbzGwkWULOutr6bUKLWvfAQ59B+hxiHzU4AENDSuIw5Q9WKzWi3nebpF&#10;1gRr4Tgu1xHIIRCBl+V6WRYYERgqyryMObEgryJWVNg6H95L6EjcMOpwxAmVn598GJ/+fhKfG9gr&#10;rdOYtSE9o5vFfJESbiKdCuhCrTpG13n8Rl9Eyu9MnZIDV3rcYy/aTBpE2qMAYTgMRNWMrmJulOQA&#10;9QVFSfSREf4k2G4L7iclPRqOUf/jxJ2kRH8wKOymKMvo0HQoFyskTtxt5HAb4UYgFKOBknH7EJKr&#10;I2Vv73EAe5XUeOlkahmNlPScTB+dentOr15+zd0vAAAA//8DAFBLAwQUAAYACAAAACEAd6HvAOAA&#10;AAALAQAADwAAAGRycy9kb3ducmV2LnhtbEyPQU+DQBCF7yb+h82YeLMLqIUiS6NN6skYpT143LIj&#10;oOwsYbcF/73Tkx5f5sub7xXr2fbihKPvHCmIFxEIpNqZjhoF+932JgPhgyaje0eo4Ac9rMvLi0Ln&#10;xk30jqcqNIJLyOdaQRvCkEvp6xat9gs3IPHt041WB45jI82oJy63vUyiaCmt7og/tHrATYv1d3W0&#10;Cqrs2ZJxTx/p7nWffm2madq+vCl1fTU/PoAIOIc/GM76rA4lOx3ckYwXPec4ShhVkNymKxBnIlvy&#10;mIOCu/tVDLIs5P8N5S8AAAD//wMAUEsBAi0AFAAGAAgAAAAhALaDOJL+AAAA4QEAABMAAAAAAAAA&#10;AAAAAAAAAAAAAFtDb250ZW50X1R5cGVzXS54bWxQSwECLQAUAAYACAAAACEAOP0h/9YAAACUAQAA&#10;CwAAAAAAAAAAAAAAAAAvAQAAX3JlbHMvLnJlbHNQSwECLQAUAAYACAAAACEAL8KrmgYCAADiAwAA&#10;DgAAAAAAAAAAAAAAAAAuAgAAZHJzL2Uyb0RvYy54bWxQSwECLQAUAAYACAAAACEAd6HvAOAAAAAL&#10;AQAADwAAAAAAAAAAAAAAAABgBAAAZHJzL2Rvd25yZXYueG1sUEsFBgAAAAAEAAQA8wAAAG0FAAAA&#10;AA==&#10;" filled="f" stroked="f">
                <v:textbox style="mso-fit-shape-to-text:t">
                  <w:txbxContent>
                    <w:p w14:paraId="33441F2B" w14:textId="77777777" w:rsidR="002249C8" w:rsidRDefault="002249C8" w:rsidP="002249C8">
                      <w:pPr>
                        <w:ind w:firstLine="0"/>
                      </w:pPr>
                      <w:r>
                        <w:t>Inlet</w:t>
                      </w:r>
                    </w:p>
                  </w:txbxContent>
                </v:textbox>
              </v:shape>
            </w:pict>
          </mc:Fallback>
        </mc:AlternateContent>
      </w:r>
      <w:r>
        <w:rPr>
          <w:noProof/>
        </w:rPr>
        <w:drawing>
          <wp:inline distT="0" distB="0" distL="0" distR="0" wp14:anchorId="130A5E14" wp14:editId="0FC7E8A1">
            <wp:extent cx="2638425" cy="2362200"/>
            <wp:effectExtent l="0" t="0" r="0" b="0"/>
            <wp:docPr id="1555962448" name="Chart 1">
              <a:extLst xmlns:a="http://schemas.openxmlformats.org/drawingml/2006/main">
                <a:ext uri="{FF2B5EF4-FFF2-40B4-BE49-F238E27FC236}">
                  <a16:creationId xmlns:a16="http://schemas.microsoft.com/office/drawing/2014/main" id="{D41E7DAF-E938-1747-6A96-B062076459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Pr>
          <w:noProof/>
        </w:rPr>
        <w:drawing>
          <wp:inline distT="0" distB="0" distL="0" distR="0" wp14:anchorId="03342748" wp14:editId="02D3B0E1">
            <wp:extent cx="2933853" cy="2362200"/>
            <wp:effectExtent l="0" t="0" r="0" b="0"/>
            <wp:docPr id="1838357041" name="Chart 1">
              <a:extLst xmlns:a="http://schemas.openxmlformats.org/drawingml/2006/main">
                <a:ext uri="{FF2B5EF4-FFF2-40B4-BE49-F238E27FC236}">
                  <a16:creationId xmlns:a16="http://schemas.microsoft.com/office/drawing/2014/main" id="{42C0AE1D-0E1A-4434-9CFC-31DCEAB0A4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3837F29" w14:textId="77777777" w:rsidR="002249C8" w:rsidRDefault="002249C8" w:rsidP="002249C8">
      <w:pPr>
        <w:pStyle w:val="Caption"/>
      </w:pPr>
      <w:bookmarkStart w:id="119" w:name="_Ref163792252"/>
      <w:bookmarkStart w:id="120" w:name="_Toc165641145"/>
      <w:r>
        <w:t>Figure 4.</w:t>
      </w:r>
      <w:r>
        <w:fldChar w:fldCharType="begin"/>
      </w:r>
      <w:r>
        <w:instrText xml:space="preserve"> SEQ Figure \* ARABIC </w:instrText>
      </w:r>
      <w:r>
        <w:fldChar w:fldCharType="separate"/>
      </w:r>
      <w:r>
        <w:rPr>
          <w:noProof/>
        </w:rPr>
        <w:t>8</w:t>
      </w:r>
      <w:r>
        <w:fldChar w:fldCharType="end"/>
      </w:r>
      <w:bookmarkEnd w:id="119"/>
      <w:r>
        <w:t>: Temperature of cell components and heat transfer to the PEN assembly when operating at 710</w:t>
      </w:r>
      <m:oMath>
        <m:r>
          <w:rPr>
            <w:rFonts w:ascii="Cambria Math" w:hAnsi="Cambria Math"/>
          </w:rPr>
          <m:t>℃</m:t>
        </m:r>
      </m:oMath>
      <w:r>
        <w:rPr>
          <w:rFonts w:eastAsiaTheme="minorEastAsia"/>
        </w:rPr>
        <w:t xml:space="preserve">, </w:t>
      </w:r>
      <w:r>
        <w:rPr>
          <w:rFonts w:eastAsiaTheme="minorEastAsia"/>
          <w:iCs w:val="0"/>
        </w:rPr>
        <w:t xml:space="preserve">0.007 </w:t>
      </w:r>
      <w:r>
        <w:t>Acm</w:t>
      </w:r>
      <w:r>
        <w:rPr>
          <w:vertAlign w:val="superscript"/>
        </w:rPr>
        <w:t>-2</w:t>
      </w:r>
      <w:r>
        <w:t>, and 1</w:t>
      </w:r>
      <w:r>
        <w:rPr>
          <w:rFonts w:eastAsiaTheme="minorEastAsia"/>
        </w:rPr>
        <w:t xml:space="preserve"> Lg</w:t>
      </w:r>
      <w:r>
        <w:rPr>
          <w:rFonts w:eastAsiaTheme="minorEastAsia"/>
          <w:vertAlign w:val="subscript"/>
        </w:rPr>
        <w:t>cat</w:t>
      </w:r>
      <w:r>
        <w:rPr>
          <w:rFonts w:eastAsiaTheme="minorEastAsia"/>
          <w:vertAlign w:val="superscript"/>
        </w:rPr>
        <w:t>-1</w:t>
      </w:r>
      <w:r>
        <w:rPr>
          <w:rFonts w:eastAsiaTheme="minorEastAsia"/>
        </w:rPr>
        <w:t>h</w:t>
      </w:r>
      <w:r>
        <w:rPr>
          <w:rFonts w:eastAsiaTheme="minorEastAsia"/>
          <w:vertAlign w:val="superscript"/>
        </w:rPr>
        <w:t>-1</w:t>
      </w:r>
      <w:r>
        <w:t>;</w:t>
      </w:r>
      <w:r>
        <w:rPr>
          <w:rFonts w:eastAsiaTheme="minorEastAsia"/>
          <w:iCs w:val="0"/>
        </w:rPr>
        <w:t xml:space="preserve"> </w:t>
      </w:r>
      <w:r>
        <w:t xml:space="preserve">a) Temperature profile along the z-axis </w:t>
      </w:r>
      <w:r w:rsidRPr="00CF7229">
        <w:t>of the various cell components</w:t>
      </w:r>
      <w:r>
        <w:t>; b)</w:t>
      </w:r>
      <w:r w:rsidRPr="00CF7229">
        <w:t xml:space="preserve"> the heat transfer profile along the z-axis of the other components into the PEN assembly</w:t>
      </w:r>
      <w:bookmarkEnd w:id="120"/>
      <w:r w:rsidRPr="00CF7229">
        <w:t xml:space="preserve">  </w:t>
      </w:r>
    </w:p>
    <w:p w14:paraId="66B20290" w14:textId="437B5814" w:rsidR="002249C8" w:rsidRDefault="002249C8" w:rsidP="002249C8">
      <w:r>
        <w:t xml:space="preserve">In the model, the interconnect for the air and fuel sides are modeled separately and have their own temperatures, but their results are identical and so only the fuel side is shown in </w:t>
      </w:r>
      <w:r>
        <w:fldChar w:fldCharType="begin"/>
      </w:r>
      <w:r>
        <w:instrText xml:space="preserve"> REF _Ref163792252 \h </w:instrText>
      </w:r>
      <w:r>
        <w:fldChar w:fldCharType="separate"/>
      </w:r>
      <w:r>
        <w:t>Figure 4.</w:t>
      </w:r>
      <w:r>
        <w:rPr>
          <w:noProof/>
        </w:rPr>
        <w:t>8</w:t>
      </w:r>
      <w:r>
        <w:fldChar w:fldCharType="end"/>
      </w:r>
      <w:r>
        <w:t xml:space="preserve">a. Nearly all of the temperatures of the different components of the cell remain at the inlet temperature during operation, except for the reacting fuel which spikes near the inlet and quickly returns to the inlet temperature. The spike in the reacting fuel temperature can be attributed to the kinetically fast exothermic water gas shift reaction. This is confirmed in </w:t>
      </w:r>
      <w:r>
        <w:fldChar w:fldCharType="begin"/>
      </w:r>
      <w:r>
        <w:instrText xml:space="preserve"> REF _Ref163792252 \h </w:instrText>
      </w:r>
      <w:r>
        <w:fldChar w:fldCharType="separate"/>
      </w:r>
      <w:r>
        <w:t>Figure 4.</w:t>
      </w:r>
      <w:r>
        <w:rPr>
          <w:noProof/>
        </w:rPr>
        <w:t>8</w:t>
      </w:r>
      <w:r>
        <w:fldChar w:fldCharType="end"/>
      </w:r>
      <w:r>
        <w:t xml:space="preserve">b where the reactions produce a spike of heat at the inlet during the water consumption. Furthermore, only the heat from the reactions and the electrical work </w:t>
      </w:r>
      <w:proofErr w:type="gramStart"/>
      <w:r>
        <w:t>have</w:t>
      </w:r>
      <w:proofErr w:type="gramEnd"/>
      <w:r>
        <w:t xml:space="preserve"> a significant effect on the remarkably consistent temperature of the PEN through the cell. </w:t>
      </w:r>
      <w:r w:rsidRPr="00877884">
        <w:rPr>
          <w:i/>
          <w:iCs/>
        </w:rPr>
        <w:t>All</w:t>
      </w:r>
      <w:r>
        <w:t xml:space="preserve"> the other heat inputs into the PEN assembly work out to values between </w:t>
      </w:r>
      <m:oMath>
        <m:r>
          <w:rPr>
            <w:rFonts w:ascii="Cambria Math" w:hAnsi="Cambria Math"/>
          </w:rPr>
          <m:t>±</m:t>
        </m:r>
      </m:oMath>
      <w:r>
        <w:rPr>
          <w:rFonts w:eastAsiaTheme="minorEastAsia"/>
        </w:rPr>
        <w:t>0</w:t>
      </w:r>
      <w:r>
        <w:t xml:space="preserve">.0005 W after the first two elements, which are considered negligible in comparison to the former. This phenomenon is explained by the flow rates in two ways. First, the slow nature of the MDA reactions limits their ability to provide a large temperature swing. This is also true for electrochemical reactions. The water formation is very exothermic, but because it only occurs as a function of the current, which is extremely low, the temperature variation is minimal. Second, the low flow rates in the model necessitate even lower velocities. This, in turn, demands lower Reynolds and Nusselt numbers, which yield a low convective heat transfer coefficient as described in equations 3.43-3.46. Therefore, it is expected that when flowrates are increased that these other factors should have greater prominence, as shown in </w:t>
      </w:r>
      <w:r>
        <w:fldChar w:fldCharType="begin"/>
      </w:r>
      <w:r>
        <w:instrText xml:space="preserve"> REF _Ref163795318 \h </w:instrText>
      </w:r>
      <w:r>
        <w:fldChar w:fldCharType="separate"/>
      </w:r>
      <w:r>
        <w:t>Figure 4.</w:t>
      </w:r>
      <w:r>
        <w:rPr>
          <w:noProof/>
        </w:rPr>
        <w:t>9</w:t>
      </w:r>
      <w:r>
        <w:fldChar w:fldCharType="end"/>
      </w:r>
      <w:r>
        <w:t>:</w:t>
      </w:r>
    </w:p>
    <w:p w14:paraId="561930C4" w14:textId="77777777" w:rsidR="002249C8" w:rsidRDefault="002249C8" w:rsidP="002249C8">
      <w:pPr>
        <w:keepNext/>
        <w:jc w:val="center"/>
      </w:pPr>
      <w:r>
        <w:rPr>
          <w:noProof/>
        </w:rPr>
        <mc:AlternateContent>
          <mc:Choice Requires="wps">
            <w:drawing>
              <wp:anchor distT="45720" distB="45720" distL="114300" distR="114300" simplePos="0" relativeHeight="251684864" behindDoc="0" locked="0" layoutInCell="1" allowOverlap="1" wp14:anchorId="0E35524E" wp14:editId="2EA3250B">
                <wp:simplePos x="0" y="0"/>
                <wp:positionH relativeFrom="column">
                  <wp:posOffset>5032926</wp:posOffset>
                </wp:positionH>
                <wp:positionV relativeFrom="paragraph">
                  <wp:posOffset>1770248</wp:posOffset>
                </wp:positionV>
                <wp:extent cx="665818" cy="1404620"/>
                <wp:effectExtent l="0" t="95250" r="1270" b="92075"/>
                <wp:wrapNone/>
                <wp:docPr id="1750971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77620">
                          <a:off x="0" y="0"/>
                          <a:ext cx="665818" cy="1404620"/>
                        </a:xfrm>
                        <a:prstGeom prst="rect">
                          <a:avLst/>
                        </a:prstGeom>
                        <a:noFill/>
                        <a:ln w="9525">
                          <a:noFill/>
                          <a:miter lim="800000"/>
                          <a:headEnd/>
                          <a:tailEnd/>
                        </a:ln>
                      </wps:spPr>
                      <wps:txbx>
                        <w:txbxContent>
                          <w:p w14:paraId="797723FC" w14:textId="77777777" w:rsidR="002249C8" w:rsidRDefault="002249C8" w:rsidP="002249C8">
                            <w:pPr>
                              <w:ind w:firstLine="0"/>
                            </w:pPr>
                            <w:r>
                              <w:t>Outlet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E35524E" id="_x0000_s1034" type="#_x0000_t202" style="position:absolute;left:0;text-align:left;margin-left:396.3pt;margin-top:139.4pt;width:52.45pt;height:110.6pt;rotation:2160088fd;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B0BQIAAOIDAAAOAAAAZHJzL2Uyb0RvYy54bWysU9uO2yAQfa/Uf0C8N7ajXK04q+1uU1Xa&#10;XqRtPwBjHKMCQ4HETr++A3azUftW1Q8IGObMnDPHu7tBK3IWzkswFS1mOSXCcGikOVb029fDmw0l&#10;PjDTMAVGVPQiPL3bv361620p5tCBaoQjCGJ82duKdiHYMss874RmfgZWGAy24DQLeHTHrHGsR3St&#10;snmer7IeXGMdcOE93j6OQbpP+G0rePjctl4EoiqKvYW0urTWcc32O1YeHbOd5FMb7B+60EwaLHqF&#10;emSBkZOTf0FpyR14aMOMg86gbSUXiQOyKfI/2Dx3zIrEBcXx9iqT/3+w/NP52X5xJAxvYcABJhLe&#10;PgH/7omBh46Zo7h3DvpOsAYLF1GyrLe+nFKj1L70EaTuP0KDQ2anAAloaJ0mDlD1Yrter+Z5ukXW&#10;BGvhOC7XEYghEI6Xq9VyU6BnOIaKRb6IObEgKyNWVNg6H94L0CRuKupwxAmVnZ98GJ/+fhKfGzhI&#10;pdKYlSF9RbfL+TIl3ES0DOhCJXVFN3n8Rl9Eyu9Mk5IDk2rcYy/KTBpE2qMAYagHIhsEiLlRkhqa&#10;C4qS6CNX/Emw3Q7cT0p6NFxF/Y8Tc4IS9cGgsNtisYgOTYfFco3EibuN1LcRZjhCVTRQMm4fQnJ1&#10;pOztPQ7gIJMaL51MLaORkp6T6aNTb8/p1cuvuf8FAAD//wMAUEsDBBQABgAIAAAAIQAEkj0M4AAA&#10;AAsBAAAPAAAAZHJzL2Rvd25yZXYueG1sTI/BTsMwEETvSPyDtUjcqE2k1mmIU0GlckII0h44urFJ&#10;AvE6it06/D3LqRxX+zTzptzMbmBnO4Xeo4L7hQBmsfGmx1bBYb+7y4GFqNHowaNV8GMDbKrrq1IX&#10;xid8t+c6toxCMBRaQRfjWHAems46HRZ+tEi/Tz85HemcWm4mnSjcDTwTYsWd7pEaOj3abWeb7/rk&#10;FNT5s0Pjnz7k/vUgv7Yppd3Lm1K3N/PjA7Bo53iB4U+f1KEip6M/oQlsUCDX2YpQBZnMaQMR+Vou&#10;gR0VLIUQwKuS/99Q/QIAAP//AwBQSwECLQAUAAYACAAAACEAtoM4kv4AAADhAQAAEwAAAAAAAAAA&#10;AAAAAAAAAAAAW0NvbnRlbnRfVHlwZXNdLnhtbFBLAQItABQABgAIAAAAIQA4/SH/1gAAAJQBAAAL&#10;AAAAAAAAAAAAAAAAAC8BAABfcmVscy8ucmVsc1BLAQItABQABgAIAAAAIQC7e+B0BQIAAOIDAAAO&#10;AAAAAAAAAAAAAAAAAC4CAABkcnMvZTJvRG9jLnhtbFBLAQItABQABgAIAAAAIQAEkj0M4AAAAAsB&#10;AAAPAAAAAAAAAAAAAAAAAF8EAABkcnMvZG93bnJldi54bWxQSwUGAAAAAAQABADzAAAAbAUAAAAA&#10;" filled="f" stroked="f">
                <v:textbox style="mso-fit-shape-to-text:t">
                  <w:txbxContent>
                    <w:p w14:paraId="797723FC" w14:textId="77777777" w:rsidR="002249C8" w:rsidRDefault="002249C8" w:rsidP="002249C8">
                      <w:pPr>
                        <w:ind w:firstLine="0"/>
                      </w:pPr>
                      <w:r>
                        <w:t>Outlet</w:t>
                      </w:r>
                    </w:p>
                  </w:txbxContent>
                </v:textbox>
              </v:shape>
            </w:pict>
          </mc:Fallback>
        </mc:AlternateContent>
      </w:r>
      <w:r>
        <w:rPr>
          <w:noProof/>
        </w:rPr>
        <mc:AlternateContent>
          <mc:Choice Requires="wps">
            <w:drawing>
              <wp:anchor distT="45720" distB="45720" distL="114300" distR="114300" simplePos="0" relativeHeight="251683840" behindDoc="0" locked="0" layoutInCell="1" allowOverlap="1" wp14:anchorId="43D0D761" wp14:editId="3DE37756">
                <wp:simplePos x="0" y="0"/>
                <wp:positionH relativeFrom="column">
                  <wp:posOffset>1537398</wp:posOffset>
                </wp:positionH>
                <wp:positionV relativeFrom="paragraph">
                  <wp:posOffset>1777616</wp:posOffset>
                </wp:positionV>
                <wp:extent cx="486410" cy="1404620"/>
                <wp:effectExtent l="19050" t="38100" r="0" b="53975"/>
                <wp:wrapNone/>
                <wp:docPr id="17872393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77620">
                          <a:off x="0" y="0"/>
                          <a:ext cx="486410" cy="1404620"/>
                        </a:xfrm>
                        <a:prstGeom prst="rect">
                          <a:avLst/>
                        </a:prstGeom>
                        <a:noFill/>
                        <a:ln w="9525">
                          <a:noFill/>
                          <a:miter lim="800000"/>
                          <a:headEnd/>
                          <a:tailEnd/>
                        </a:ln>
                      </wps:spPr>
                      <wps:txbx>
                        <w:txbxContent>
                          <w:p w14:paraId="76D99EE4" w14:textId="77777777" w:rsidR="002249C8" w:rsidRDefault="002249C8" w:rsidP="002249C8">
                            <w:pPr>
                              <w:ind w:firstLine="0"/>
                            </w:pPr>
                            <w:r>
                              <w:t>Inlet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3D0D761" id="_x0000_s1035" type="#_x0000_t202" style="position:absolute;left:0;text-align:left;margin-left:121.05pt;margin-top:139.95pt;width:38.3pt;height:110.6pt;rotation:2160088fd;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4cBQIAAOIDAAAOAAAAZHJzL2Uyb0RvYy54bWysU9uO2yAQfa/Uf0C8N7Yj52bFWW13m6rS&#10;9iJt+wEE4xgVGAokdvr1HbCbjdq3qn5AwDBn5pw53t4NWpGzcF6CqWkxyykRhkMjzbGm377u36wp&#10;8YGZhikwoqYX4end7vWrbW8rMYcOVCMcQRDjq97WtAvBVlnmeSc08zOwwmCwBadZwKM7Zo1jPaJr&#10;lc3zfJn14BrrgAvv8fZxDNJdwm9bwcPntvUiEFVT7C2k1aX1ENdst2XV0THbST61wf6hC82kwaJX&#10;qEcWGDk5+ReUltyBhzbMOOgM2lZykTggmyL/g81zx6xIXFAcb68y+f8Hyz+dn+0XR8LwFgYcYCLh&#10;7RPw754YeOiYOYp756DvBGuwcBEly3rrqyk1Su0rH0EO/UdocMjsFCABDa3TxAGqXmxWq+U8T7fI&#10;mmAtHMflOgIxBMLxslwvywIjHENFmZcxJxZkVcSKClvnw3sBmsRNTR2OOKGy85MP49PfT+JzA3up&#10;VBqzMqSv6WYxX6SEm4iWAV2opK7pOo/f6ItI+Z1pUnJgUo177EWZSYNIexQgDIeByAbxY26U5ADN&#10;BUVJ9JER/iTYbgfuJyU9Gq6m/seJOUGJ+mBQ2E1RltGh6VAuVkicuNvI4TbCDEeomgZKxu1DSK6O&#10;lL29xwHsZVLjpZOpZTRS0nMyfXTq7Tm9evk1d78AAAD//wMAUEsDBBQABgAIAAAAIQAR9l424QAA&#10;AAsBAAAPAAAAZHJzL2Rvd25yZXYueG1sTI/LTsMwEEX3SPyDNZXYUcfhkTTEqaBSWSEEaRcs3dhN&#10;AvE4it06/D3DCnYzmqM755br2Q7sbCbfO5Qglgkwg43TPbYS9rvtdQ7MB4VaDQ6NhG/jYV1dXpSq&#10;0C7iuznXoWUUgr5QEroQxoJz33TGKr90o0G6Hd1kVaB1armeVKRwO/A0Se65VT3Sh06NZtOZ5qs+&#10;WQl1/mxRu6ePbPe6zz43Mcbty5uUV4v58QFYMHP4g+FXn9ShIqeDO6H2bJCQ3qaCUBqy1QoYETci&#10;z4AdJNwlQgCvSv6/Q/UDAAD//wMAUEsBAi0AFAAGAAgAAAAhALaDOJL+AAAA4QEAABMAAAAAAAAA&#10;AAAAAAAAAAAAAFtDb250ZW50X1R5cGVzXS54bWxQSwECLQAUAAYACAAAACEAOP0h/9YAAACUAQAA&#10;CwAAAAAAAAAAAAAAAAAvAQAAX3JlbHMvLnJlbHNQSwECLQAUAAYACAAAACEAlN/uHAUCAADiAwAA&#10;DgAAAAAAAAAAAAAAAAAuAgAAZHJzL2Uyb0RvYy54bWxQSwECLQAUAAYACAAAACEAEfZeNuEAAAAL&#10;AQAADwAAAAAAAAAAAAAAAABfBAAAZHJzL2Rvd25yZXYueG1sUEsFBgAAAAAEAAQA8wAAAG0FAAAA&#10;AA==&#10;" filled="f" stroked="f">
                <v:textbox style="mso-fit-shape-to-text:t">
                  <w:txbxContent>
                    <w:p w14:paraId="76D99EE4" w14:textId="77777777" w:rsidR="002249C8" w:rsidRDefault="002249C8" w:rsidP="002249C8">
                      <w:pPr>
                        <w:ind w:firstLine="0"/>
                      </w:pPr>
                      <w:r>
                        <w:t>Inlet</w:t>
                      </w:r>
                    </w:p>
                  </w:txbxContent>
                </v:textbox>
              </v:shape>
            </w:pict>
          </mc:Fallback>
        </mc:AlternateContent>
      </w:r>
      <w:r>
        <w:rPr>
          <w:noProof/>
        </w:rPr>
        <w:drawing>
          <wp:inline distT="0" distB="0" distL="0" distR="0" wp14:anchorId="5A65E293" wp14:editId="11B2146C">
            <wp:extent cx="4610466" cy="2757638"/>
            <wp:effectExtent l="0" t="0" r="0" b="5080"/>
            <wp:docPr id="522689725" name="Chart 1">
              <a:extLst xmlns:a="http://schemas.openxmlformats.org/drawingml/2006/main">
                <a:ext uri="{FF2B5EF4-FFF2-40B4-BE49-F238E27FC236}">
                  <a16:creationId xmlns:a16="http://schemas.microsoft.com/office/drawing/2014/main" id="{CFA2B533-69D5-34C5-5567-BB03A59AFC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F70C2F8" w14:textId="77777777" w:rsidR="002249C8" w:rsidRDefault="002249C8" w:rsidP="002249C8">
      <w:pPr>
        <w:pStyle w:val="Caption"/>
      </w:pPr>
      <w:bookmarkStart w:id="121" w:name="_Ref163795318"/>
      <w:bookmarkStart w:id="122" w:name="_Toc165641146"/>
      <w:r>
        <w:t>Figure 4.</w:t>
      </w:r>
      <w:r>
        <w:fldChar w:fldCharType="begin"/>
      </w:r>
      <w:r>
        <w:instrText xml:space="preserve"> SEQ Figure \* ARABIC </w:instrText>
      </w:r>
      <w:r>
        <w:fldChar w:fldCharType="separate"/>
      </w:r>
      <w:r>
        <w:rPr>
          <w:noProof/>
        </w:rPr>
        <w:t>9</w:t>
      </w:r>
      <w:r>
        <w:fldChar w:fldCharType="end"/>
      </w:r>
      <w:bookmarkEnd w:id="121"/>
      <w:r>
        <w:t>: Heat transfer profile along z-axis of other components into the PEN at 25 Lg</w:t>
      </w:r>
      <w:r w:rsidRPr="00AC13D9">
        <w:rPr>
          <w:vertAlign w:val="subscript"/>
        </w:rPr>
        <w:t>cat</w:t>
      </w:r>
      <w:r w:rsidRPr="00AC13D9">
        <w:rPr>
          <w:vertAlign w:val="superscript"/>
        </w:rPr>
        <w:t>-1</w:t>
      </w:r>
      <w:r>
        <w:t>h</w:t>
      </w:r>
      <w:r w:rsidRPr="00AC13D9">
        <w:rPr>
          <w:vertAlign w:val="superscript"/>
        </w:rPr>
        <w:t>-1</w:t>
      </w:r>
      <w:bookmarkEnd w:id="122"/>
    </w:p>
    <w:p w14:paraId="43F46FEC" w14:textId="77777777" w:rsidR="002249C8" w:rsidRDefault="002249C8" w:rsidP="002249C8">
      <w:r>
        <w:t xml:space="preserve">In </w:t>
      </w:r>
      <w:r>
        <w:fldChar w:fldCharType="begin"/>
      </w:r>
      <w:r>
        <w:instrText xml:space="preserve"> REF _Ref163795318 \h </w:instrText>
      </w:r>
      <w:r>
        <w:fldChar w:fldCharType="separate"/>
      </w:r>
      <w:r>
        <w:t>Figure 4.</w:t>
      </w:r>
      <w:r>
        <w:rPr>
          <w:noProof/>
        </w:rPr>
        <w:t>9</w:t>
      </w:r>
      <w:r>
        <w:fldChar w:fldCharType="end"/>
      </w:r>
      <w:r>
        <w:t xml:space="preserve">, the initial variations in the temperature across its various components is caused by the reforming reactions. The increased heat transfer due to convection in the cell causes the whole cell to reach a uniform temperature despite the initial variation. The high value for electrical work at the inlet in </w:t>
      </w:r>
      <w:r>
        <w:fldChar w:fldCharType="begin"/>
      </w:r>
      <w:r>
        <w:instrText xml:space="preserve"> REF _Ref163792252 \h </w:instrText>
      </w:r>
      <w:r>
        <w:fldChar w:fldCharType="separate"/>
      </w:r>
      <w:r>
        <w:t>Figure 4.</w:t>
      </w:r>
      <w:r>
        <w:rPr>
          <w:noProof/>
        </w:rPr>
        <w:t>8</w:t>
      </w:r>
      <w:r>
        <w:fldChar w:fldCharType="end"/>
      </w:r>
      <w:r>
        <w:t xml:space="preserve"> and </w:t>
      </w:r>
      <w:r>
        <w:fldChar w:fldCharType="begin"/>
      </w:r>
      <w:r>
        <w:instrText xml:space="preserve"> REF _Ref163795318 \h </w:instrText>
      </w:r>
      <w:r>
        <w:fldChar w:fldCharType="separate"/>
      </w:r>
      <w:r>
        <w:t>Figure 4.</w:t>
      </w:r>
      <w:r>
        <w:rPr>
          <w:noProof/>
        </w:rPr>
        <w:t>9</w:t>
      </w:r>
      <w:r>
        <w:fldChar w:fldCharType="end"/>
      </w:r>
      <w:r>
        <w:t xml:space="preserve"> also means there is a higher current there. This higher current is only possible because of the reforming reactions; after these are completed, there is a correlating drop in current represented by the electrical work in both </w:t>
      </w:r>
      <w:r>
        <w:fldChar w:fldCharType="begin"/>
      </w:r>
      <w:r>
        <w:instrText xml:space="preserve"> REF _Ref163792252 \h </w:instrText>
      </w:r>
      <w:r>
        <w:fldChar w:fldCharType="separate"/>
      </w:r>
      <w:r>
        <w:t>Figure 4.</w:t>
      </w:r>
      <w:r>
        <w:rPr>
          <w:noProof/>
        </w:rPr>
        <w:t>8</w:t>
      </w:r>
      <w:r>
        <w:fldChar w:fldCharType="end"/>
      </w:r>
      <w:r>
        <w:t xml:space="preserve"> and </w:t>
      </w:r>
      <w:r>
        <w:fldChar w:fldCharType="begin"/>
      </w:r>
      <w:r>
        <w:instrText xml:space="preserve"> REF _Ref163795318 \h </w:instrText>
      </w:r>
      <w:r>
        <w:fldChar w:fldCharType="separate"/>
      </w:r>
      <w:r>
        <w:t>Figure 4.</w:t>
      </w:r>
      <w:r>
        <w:rPr>
          <w:noProof/>
        </w:rPr>
        <w:t>9</w:t>
      </w:r>
      <w:r>
        <w:fldChar w:fldCharType="end"/>
      </w:r>
      <w:r>
        <w:t xml:space="preserve">. This is also reflected in the concentration overpotential shown below in </w:t>
      </w:r>
      <w:r>
        <w:fldChar w:fldCharType="begin"/>
      </w:r>
      <w:r>
        <w:instrText xml:space="preserve"> REF _Ref163803477 \h </w:instrText>
      </w:r>
      <w:r>
        <w:fldChar w:fldCharType="separate"/>
      </w:r>
      <w:r>
        <w:t>Figure 4.</w:t>
      </w:r>
      <w:r>
        <w:rPr>
          <w:noProof/>
        </w:rPr>
        <w:t>10</w:t>
      </w:r>
      <w:r>
        <w:fldChar w:fldCharType="end"/>
      </w:r>
      <w:r>
        <w:t>:</w:t>
      </w:r>
    </w:p>
    <w:p w14:paraId="137683AF" w14:textId="77777777" w:rsidR="002249C8" w:rsidRDefault="002249C8" w:rsidP="002249C8">
      <w:pPr>
        <w:keepNext/>
        <w:jc w:val="center"/>
      </w:pPr>
      <w:r w:rsidRPr="00687B16">
        <w:rPr>
          <w:noProof/>
        </w:rPr>
        <w:t xml:space="preserve"> </w:t>
      </w:r>
      <w:r>
        <w:rPr>
          <w:noProof/>
        </w:rPr>
        <w:drawing>
          <wp:inline distT="0" distB="0" distL="0" distR="0" wp14:anchorId="77C61FBD" wp14:editId="06BC91D2">
            <wp:extent cx="4560405" cy="2763078"/>
            <wp:effectExtent l="0" t="0" r="0" b="0"/>
            <wp:docPr id="166157333" name="Chart 1">
              <a:extLst xmlns:a="http://schemas.openxmlformats.org/drawingml/2006/main">
                <a:ext uri="{FF2B5EF4-FFF2-40B4-BE49-F238E27FC236}">
                  <a16:creationId xmlns:a16="http://schemas.microsoft.com/office/drawing/2014/main" id="{DB0E0050-8F0E-BDEB-A513-258F0B1B03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4A686F9" w14:textId="77777777" w:rsidR="002249C8" w:rsidRPr="001A26DB" w:rsidRDefault="002249C8" w:rsidP="002249C8">
      <w:pPr>
        <w:pStyle w:val="Caption"/>
      </w:pPr>
      <w:bookmarkStart w:id="123" w:name="_Ref163803477"/>
      <w:bookmarkStart w:id="124" w:name="_Toc165641147"/>
      <w:r>
        <w:t>Figure 4.</w:t>
      </w:r>
      <w:r>
        <w:fldChar w:fldCharType="begin"/>
      </w:r>
      <w:r>
        <w:instrText xml:space="preserve"> SEQ Figure \* ARABIC </w:instrText>
      </w:r>
      <w:r>
        <w:fldChar w:fldCharType="separate"/>
      </w:r>
      <w:r>
        <w:rPr>
          <w:noProof/>
        </w:rPr>
        <w:t>10</w:t>
      </w:r>
      <w:r>
        <w:fldChar w:fldCharType="end"/>
      </w:r>
      <w:bookmarkEnd w:id="123"/>
      <w:r>
        <w:t>: Overpotential profile through the cell, neglecting leakage</w:t>
      </w:r>
      <w:bookmarkEnd w:id="124"/>
    </w:p>
    <w:p w14:paraId="4394D35A" w14:textId="278ADABE" w:rsidR="002249C8" w:rsidRDefault="002249C8" w:rsidP="002249C8">
      <w:r>
        <w:fldChar w:fldCharType="begin"/>
      </w:r>
      <w:r>
        <w:instrText xml:space="preserve"> REF _Ref163803477 \h </w:instrText>
      </w:r>
      <w:r>
        <w:fldChar w:fldCharType="separate"/>
      </w:r>
      <w:r>
        <w:t>Figure 4.</w:t>
      </w:r>
      <w:r>
        <w:rPr>
          <w:noProof/>
        </w:rPr>
        <w:t>10</w:t>
      </w:r>
      <w:r>
        <w:fldChar w:fldCharType="end"/>
      </w:r>
      <w:r>
        <w:t xml:space="preserve"> shows the effect of the different calculated overpotentials in the cell, with the concentration overpotential clearly represented as the dominant overpotential. The effect of the concentration overpotential compared to its activation and ohmic counterparts is much, much greater in this model than the validation model since hydrogen </w:t>
      </w:r>
      <w:r w:rsidR="00DE1CFB">
        <w:t>is not</w:t>
      </w:r>
      <w:r>
        <w:t xml:space="preserve"> so readily available in the bulk flow. In other PCFCs where methane reforming reactions are the primary hydrogen source, all the primary reactions generate pure hydrogen with no significant amounts of hydrogen-containing byproducts. In this MDA PCFC model, a large portion of the hydrogen that would have been generated by reforming is instead forming the aromatic products. Therefore, even though the diffusion coefficients are taken from very effective PCFC studies </w:t>
      </w:r>
      <w:r>
        <w:fldChar w:fldCharType="begin"/>
      </w:r>
      <w:r w:rsidR="00E33E66">
        <w:instrText xml:space="preserve"> ADDIN ZOTERO_ITEM CSL_CITATION {"citationID":"a1e1mqdree9","properties":{"formattedCitation":"[11]","plainCitation":"[11]","noteIndex":0},"citationItems":[{"id":197,"uris":["http://zotero.org/users/12063231/items/DQWPZNMK"],"itemData":{"id":197,"type":"article-journal","abstract":"Proton-conducting oxides are a class of solid-state ion-conducting ceramic materials that demonstrate significant hydrogen ion (proton) conductivity at intermediate temperatures (e.g., 300–700</w:instrText>
      </w:r>
      <w:r w:rsidR="00E33E66">
        <w:rPr>
          <w:rFonts w:ascii="Arial" w:hAnsi="Arial" w:cs="Arial"/>
        </w:rPr>
        <w:instrText> </w:instrText>
      </w:r>
      <w:r w:rsidR="00E33E66">
        <w:rPr>
          <w:rFonts w:ascii="Aptos" w:hAnsi="Aptos" w:cs="Aptos"/>
        </w:rPr>
        <w:instrText>°</w:instrText>
      </w:r>
      <w:r w:rsidR="00E33E66">
        <w:instrText xml:space="preserve">C). They are garnering significant attention due to several unique characteristics that distinguish them from both higher temperature oxygen ion conducting oxides and lower temperature proton-conducting polymers. By enabling proton-mediated electrochemistry under both dry and wet environments at moderate temperatures, protonic ceramics provide unique opportunities to enhance or synergize a diverse range of complementary electrochemical and thermochemical processes. Because of this potential, significant efforts have been devoted to advancing numerous energy-related applications using these materials. This review aims to comprehensively summarize these applications and analyze the most up-to-date and future developments of proton-conducting oxides. We aim to bring together this diverse subject matter by integrating the fundamentals of proton-conducting oxides with application-oriented insights. We begin with a historical roadmap, followed by a basic overview of the materials, theories and fundamentals, and fabrication and processing technologies underlying the field. The central section of our review summarizes major applications and developments of proton-conducting ceramics, ranging from maturing applications approaching commercialization to embryonic technologies just now emerging from the lab. These include protonic ceramic fuel cells, protonic ceramic electrolysis cells, reversible protonic ceramic electrochemical cells, protonic ceramic membrane reactors, and protonic ceramic electrochemical reactors. For each application, we analyze both the prospects and challenges and offer recommendations for future research directions so that tomorrow's researchers can continue to advance the development and commercialization of these fascinating materials.","container-title":"Applied Physics Reviews","issue":"1","page":"011314","title":"Proton-conducting oxides for energy conversion and storage","volume":"7","author":[{"family":"Duan","given":"Chuancheng"},{"family":"Huang","given":"Jake"},{"family":"Sullivan","given":"Neal"},{"family":"O’Hayre","given":"Ryan"}],"issued":{"date-parts":[["2020",3]]}}}],"schema":"https://github.com/citation-style-language/schema/raw/master/csl-citation.json"} </w:instrText>
      </w:r>
      <w:r>
        <w:fldChar w:fldCharType="separate"/>
      </w:r>
      <w:r w:rsidR="00E33E66" w:rsidRPr="00E33E66">
        <w:rPr>
          <w:rFonts w:ascii="Aptos" w:hAnsi="Aptos"/>
        </w:rPr>
        <w:t>[11]</w:t>
      </w:r>
      <w:r>
        <w:fldChar w:fldCharType="end"/>
      </w:r>
      <w:r>
        <w:t>, the concentration overpotential is more pronounced here due to hydrogen availability. Continued development of the anode catalyst with a focus on proton conductivity can benefit the concentration overpotential to help close the gap between the bulk and triple phase boundary concentrations. In addition, while small in comparison to the concentration losses, the activation loss due to the anode far outweighs that of the cathode, further highlighting the benefits of continued anode catalyst development.</w:t>
      </w:r>
      <w:r w:rsidRPr="00FE7598">
        <w:t xml:space="preserve"> </w:t>
      </w:r>
      <w:r>
        <w:t xml:space="preserve">However, the total voltage losses from the three represented overpotentials in </w:t>
      </w:r>
      <w:r>
        <w:fldChar w:fldCharType="begin"/>
      </w:r>
      <w:r>
        <w:instrText xml:space="preserve"> REF _Ref163803477 \h </w:instrText>
      </w:r>
      <w:r>
        <w:fldChar w:fldCharType="separate"/>
      </w:r>
      <w:r>
        <w:t>Figure 4.</w:t>
      </w:r>
      <w:r>
        <w:rPr>
          <w:noProof/>
        </w:rPr>
        <w:t>10</w:t>
      </w:r>
      <w:r>
        <w:fldChar w:fldCharType="end"/>
      </w:r>
      <w:r>
        <w:t xml:space="preserve"> are </w:t>
      </w:r>
      <w:proofErr w:type="gramStart"/>
      <w:r>
        <w:t>fairly miniscule</w:t>
      </w:r>
      <w:proofErr w:type="gramEnd"/>
      <w:r>
        <w:t xml:space="preserve"> compared to the voltage, which is close to 1 V. This tiny loss continues the trend seen in experimental studies that show decreased overpotential losses at lower current densities </w:t>
      </w:r>
      <w:r>
        <w:fldChar w:fldCharType="begin"/>
      </w:r>
      <w:r w:rsidR="00CA7A9D">
        <w:instrText xml:space="preserve"> ADDIN ZOTERO_ITEM CSL_CITATION {"citationID":"a2aqs72rpab","properties":{"formattedCitation":"[33]","plainCitation":"[33]","noteIndex":0},"citationItems":[{"id":591,"uris":["http://zotero.org/users/12063231/items/BE5BSF4A"],"itemData":{"id":591,"type":"article-journal","abstract":"The typically high temperatures (≥500</w:instrText>
      </w:r>
      <w:r w:rsidR="00CA7A9D">
        <w:rPr>
          <w:rFonts w:ascii="Arial" w:hAnsi="Arial" w:cs="Arial"/>
        </w:rPr>
        <w:instrText> </w:instrText>
      </w:r>
      <w:r w:rsidR="00CA7A9D">
        <w:rPr>
          <w:rFonts w:ascii="Aptos" w:hAnsi="Aptos" w:cs="Aptos"/>
        </w:rPr>
        <w:instrText>°</w:instrText>
      </w:r>
      <w:r w:rsidR="00CA7A9D">
        <w:instrText>C) at which ceramic electrochemical cells operate place constraints on device materials and construction. Here Liu and colleagues design reversible proton-conducting electrochemical cells that can operate with high performance at temperatures of 450</w:instrText>
      </w:r>
      <w:r w:rsidR="00CA7A9D">
        <w:rPr>
          <w:rFonts w:ascii="Arial" w:hAnsi="Arial" w:cs="Arial"/>
        </w:rPr>
        <w:instrText> </w:instrText>
      </w:r>
      <w:r w:rsidR="00CA7A9D">
        <w:rPr>
          <w:rFonts w:ascii="Aptos" w:hAnsi="Aptos" w:cs="Aptos"/>
        </w:rPr>
        <w:instrText>°</w:instrText>
      </w:r>
      <w:r w:rsidR="00CA7A9D">
        <w:instrText xml:space="preserve">C and below.","container-title":"Nature Energy","DOI":"10.1038/s41560-023-01350-4","ISSN":"2058-7546","issue":"10","journalAbbreviation":"Nat Energy","language":"en","license":"2023 The Author(s), under exclusive licence to Springer Nature Limited","note":"number: 10\npublisher: Nature Publishing Group","page":"1145-1157","source":"www.nature.com","title":"Lowering the operating temperature of protonic ceramic electrochemical cells to &lt;450 </w:instrText>
      </w:r>
      <w:r w:rsidR="00CA7A9D">
        <w:rPr>
          <w:rFonts w:ascii="Aptos" w:hAnsi="Aptos" w:cs="Aptos"/>
        </w:rPr>
        <w:instrText>°</w:instrText>
      </w:r>
      <w:r w:rsidR="00CA7A9D">
        <w:instrText xml:space="preserve">C","volume":"8","author":[{"family":"Liu","given":"Fan"},{"family":"Deng","given":"Hao"},{"family":"Diercks","given":"David"},{"family":"Kumar","given":"Praveen"},{"family":"Jabbar","given":"Mohammed Hussain Abdul"},{"family":"Gumeci","given":"Cenk"},{"family":"Furuya","given":"Yoshihisa"},{"family":"Dale","given":"Nilesh"},{"family":"Oku","given":"Takanori"},{"family":"Usuda","given":"Masahiro"},{"family":"Kazempoor","given":"Pejman"},{"family":"Fang","given":"Liyang"},{"family":"Chen","given":"Di"},{"family":"Liu","given":"Bin"},{"family":"Duan","given":"Chuancheng"}],"issued":{"date-parts":[["2023",10]]}}}],"schema":"https://github.com/citation-style-language/schema/raw/master/csl-citation.json"} </w:instrText>
      </w:r>
      <w:r>
        <w:fldChar w:fldCharType="separate"/>
      </w:r>
      <w:r w:rsidR="00CA7A9D" w:rsidRPr="00CA7A9D">
        <w:rPr>
          <w:rFonts w:ascii="Aptos" w:hAnsi="Aptos"/>
        </w:rPr>
        <w:t>[33]</w:t>
      </w:r>
      <w:r>
        <w:fldChar w:fldCharType="end"/>
      </w:r>
      <w:r>
        <w:t>.</w:t>
      </w:r>
    </w:p>
    <w:p w14:paraId="3F7CF5D1" w14:textId="15C2DFF1" w:rsidR="002249C8" w:rsidRDefault="002249C8" w:rsidP="002249C8">
      <w:r>
        <w:t xml:space="preserve">A variety of geometrical parameters </w:t>
      </w:r>
      <w:r w:rsidR="006B3467">
        <w:t>are</w:t>
      </w:r>
      <w:r>
        <w:t xml:space="preserve"> attempted to investigate their effect, but many of them </w:t>
      </w:r>
      <w:r w:rsidR="00DE1CFB">
        <w:t>do not</w:t>
      </w:r>
      <w:r>
        <w:t xml:space="preserve"> yield significant differences. For example, the cell length could be increased, and it would linearly improve the power output but not the power density or the reaction kinetics. This is because the fuel inputs like fuel utilization and flowrate are directly linked to how much catalyst there is. So, increasing or decreasing the size or amount of catalyst also increase</w:t>
      </w:r>
      <w:r w:rsidR="000120B6">
        <w:t>s</w:t>
      </w:r>
      <w:r>
        <w:t xml:space="preserve"> or decrease</w:t>
      </w:r>
      <w:r w:rsidR="000120B6">
        <w:t>s</w:t>
      </w:r>
      <w:r>
        <w:t xml:space="preserve"> the flowrate in the model comparably. </w:t>
      </w:r>
    </w:p>
    <w:p w14:paraId="37EF2FC3" w14:textId="6297F75B" w:rsidR="002249C8" w:rsidRDefault="002249C8" w:rsidP="002249C8">
      <w:r>
        <w:t xml:space="preserve">However, the anode </w:t>
      </w:r>
      <w:r w:rsidR="00150762">
        <w:t>thickness</w:t>
      </w:r>
      <w:r>
        <w:t xml:space="preserve"> plays a more significant role as it acts as the structural building block of the cell. Both Liu et al. </w:t>
      </w:r>
      <w:r>
        <w:fldChar w:fldCharType="begin"/>
      </w:r>
      <w:r w:rsidR="00CA7A9D">
        <w:instrText xml:space="preserve"> ADDIN ZOTERO_ITEM CSL_CITATION {"citationID":"a15isod34br","properties":{"formattedCitation":"[33]","plainCitation":"[33]","noteIndex":0},"citationItems":[{"id":591,"uris":["http://zotero.org/users/12063231/items/BE5BSF4A"],"itemData":{"id":591,"type":"article-journal","abstract":"The typically high temperatures (≥500</w:instrText>
      </w:r>
      <w:r w:rsidR="00CA7A9D">
        <w:rPr>
          <w:rFonts w:ascii="Arial" w:hAnsi="Arial" w:cs="Arial"/>
        </w:rPr>
        <w:instrText> </w:instrText>
      </w:r>
      <w:r w:rsidR="00CA7A9D">
        <w:rPr>
          <w:rFonts w:ascii="Aptos" w:hAnsi="Aptos" w:cs="Aptos"/>
        </w:rPr>
        <w:instrText>°</w:instrText>
      </w:r>
      <w:r w:rsidR="00CA7A9D">
        <w:instrText>C) at which ceramic electrochemical cells operate place constraints on device materials and construction. Here Liu and colleagues design reversible proton-conducting electrochemical cells that can operate with high performance at temperatures of 450</w:instrText>
      </w:r>
      <w:r w:rsidR="00CA7A9D">
        <w:rPr>
          <w:rFonts w:ascii="Arial" w:hAnsi="Arial" w:cs="Arial"/>
        </w:rPr>
        <w:instrText> </w:instrText>
      </w:r>
      <w:r w:rsidR="00CA7A9D">
        <w:rPr>
          <w:rFonts w:ascii="Aptos" w:hAnsi="Aptos" w:cs="Aptos"/>
        </w:rPr>
        <w:instrText>°</w:instrText>
      </w:r>
      <w:r w:rsidR="00CA7A9D">
        <w:instrText xml:space="preserve">C and below.","container-title":"Nature Energy","DOI":"10.1038/s41560-023-01350-4","ISSN":"2058-7546","issue":"10","journalAbbreviation":"Nat Energy","language":"en","license":"2023 The Author(s), under exclusive licence to Springer Nature Limited","note":"number: 10\npublisher: Nature Publishing Group","page":"1145-1157","source":"www.nature.com","title":"Lowering the operating temperature of protonic ceramic electrochemical cells to &lt;450 </w:instrText>
      </w:r>
      <w:r w:rsidR="00CA7A9D">
        <w:rPr>
          <w:rFonts w:ascii="Aptos" w:hAnsi="Aptos" w:cs="Aptos"/>
        </w:rPr>
        <w:instrText>°</w:instrText>
      </w:r>
      <w:r w:rsidR="00CA7A9D">
        <w:instrText xml:space="preserve">C","volume":"8","author":[{"family":"Liu","given":"Fan"},{"family":"Deng","given":"Hao"},{"family":"Diercks","given":"David"},{"family":"Kumar","given":"Praveen"},{"family":"Jabbar","given":"Mohammed Hussain Abdul"},{"family":"Gumeci","given":"Cenk"},{"family":"Furuya","given":"Yoshihisa"},{"family":"Dale","given":"Nilesh"},{"family":"Oku","given":"Takanori"},{"family":"Usuda","given":"Masahiro"},{"family":"Kazempoor","given":"Pejman"},{"family":"Fang","given":"Liyang"},{"family":"Chen","given":"Di"},{"family":"Liu","given":"Bin"},{"family":"Duan","given":"Chuancheng"}],"issued":{"date-parts":[["2023",10]]}}}],"schema":"https://github.com/citation-style-language/schema/raw/master/csl-citation.json"} </w:instrText>
      </w:r>
      <w:r>
        <w:fldChar w:fldCharType="separate"/>
      </w:r>
      <w:r w:rsidR="00CA7A9D" w:rsidRPr="00CA7A9D">
        <w:rPr>
          <w:rFonts w:ascii="Aptos" w:hAnsi="Aptos"/>
        </w:rPr>
        <w:t>[33]</w:t>
      </w:r>
      <w:r>
        <w:fldChar w:fldCharType="end"/>
      </w:r>
      <w:r>
        <w:t xml:space="preserve"> and Zou et al. </w:t>
      </w:r>
      <w:r>
        <w:fldChar w:fldCharType="begin"/>
      </w:r>
      <w:r w:rsidR="00CA7A9D">
        <w:instrText xml:space="preserve"> ADDIN ZOTERO_ITEM CSL_CITATION {"citationID":"a2pgsot12eb","properties":{"formattedCitation":"[21]","plainCitation":"[21]","noteIndex":0},"citationItems":[{"id":82,"uris":["http://zotero.org/users/12063231/items/IKMWCGBN"],"itemData":{"id":82,"type":"article-journal","abstract":"Protonic ceramic fuel cells (PCFCs) are clean and efficient power generation devices operating at intermediate temperatures. However, manufacturing difficulties have limited their commercialization, especially for promising tubular PCFCs. Herein, we report a cost-effective 3D printing technique for manufacturing large-area tubular PCFCs (e.g., 15.7 cm2), featured with the use of commercial raw materials, a small amount of binder, and a CO2 laser for rapid in situ drying. The technical advantages enable low-cost material preparation and efficient achievement of exemplary shape/dimension-controlled uniform microstructures in porous anode support, dense electrolyte, and porous cathode. The 3D-printed tubular PCFC (</w:instrText>
      </w:r>
      <w:r w:rsidR="00CA7A9D">
        <w:rPr>
          <w:rFonts w:ascii="Cambria Math" w:hAnsi="Cambria Math" w:cs="Cambria Math"/>
        </w:rPr>
        <w:instrText>∼</w:instrText>
      </w:r>
      <w:r w:rsidR="00CA7A9D">
        <w:instrText xml:space="preserve">12.5 cm2) exhibits a power output of 2.45 W at 650 °C. Meanwhile, the long-term stability is confirmed during 200 h of operation. This novel 3D printing offers great potential to advance PCFCs from the laboratory to larger scales for realistic applications.","container-title":"ACS Energy Letters","DOI":"10.1021/acsenergylett.3c01345","issue":"8","journalAbbreviation":"ACS Energy Lett.","note":"publisher: American Chemical Society","page":"3545-3551","source":"ACS Publications","title":"3D Printing Enabled Highly Scalable Tubular Protonic Ceramic Fuel Cells","volume":"8","author":[{"family":"Zou","given":"Minda"},{"family":"Conrad","given":"Jacob"},{"family":"Sheridan","given":"Bridget"},{"family":"Zhang","given":"Jiawei"},{"family":"Huang","given":"Hua"},{"family":"Mu","given":"Shenglong"},{"family":"Zhou","given":"Tianyi"},{"family":"Zhao","given":"Zeyu"},{"family":"Brinkman","given":"Kyle S."},{"family":"Xiao","given":"Hai"},{"family":"Peng","given":"Fei"},{"family":"Tong","given":"Jianhua"}],"issued":{"date-parts":[["2023",8,11]]}}}],"schema":"https://github.com/citation-style-language/schema/raw/master/csl-citation.json"} </w:instrText>
      </w:r>
      <w:r>
        <w:fldChar w:fldCharType="separate"/>
      </w:r>
      <w:r w:rsidR="00CA7A9D" w:rsidRPr="00CA7A9D">
        <w:rPr>
          <w:rFonts w:ascii="Aptos" w:hAnsi="Aptos"/>
        </w:rPr>
        <w:t>[21]</w:t>
      </w:r>
      <w:r>
        <w:fldChar w:fldCharType="end"/>
      </w:r>
      <w:r>
        <w:t xml:space="preserve"> have recently used the anode as the structural surface on which printing/spraying techniques </w:t>
      </w:r>
      <w:r w:rsidR="0020124E">
        <w:t>are</w:t>
      </w:r>
      <w:r>
        <w:t xml:space="preserve"> used to apply the electrolyte and cathode layers. At the elevated temperatures that are needed for MDA, it is imperative that the anode be mechanically sound and able to withstand the thermal stresses. As such, it is not uncommon for the anode to vary significantly in thickness depending on the demands of the system. While this variance does not have a significant effect on the reactions and kinetics, it does have implications for the overpotentials, as shown in </w:t>
      </w:r>
      <w:r>
        <w:fldChar w:fldCharType="begin"/>
      </w:r>
      <w:r>
        <w:instrText xml:space="preserve"> REF _Ref163785492 \h </w:instrText>
      </w:r>
      <w:r>
        <w:fldChar w:fldCharType="separate"/>
      </w:r>
      <w:r>
        <w:t>Figure 4.</w:t>
      </w:r>
      <w:r>
        <w:rPr>
          <w:noProof/>
        </w:rPr>
        <w:t>11</w:t>
      </w:r>
      <w:r>
        <w:fldChar w:fldCharType="end"/>
      </w:r>
      <w:r>
        <w:t xml:space="preserve"> below:</w:t>
      </w:r>
    </w:p>
    <w:p w14:paraId="6E0827B3" w14:textId="77777777" w:rsidR="002249C8" w:rsidRPr="00D403BA" w:rsidRDefault="002249C8" w:rsidP="002249C8">
      <w:pPr>
        <w:keepNext/>
        <w:jc w:val="center"/>
      </w:pPr>
      <w:r>
        <w:rPr>
          <w:noProof/>
        </w:rPr>
        <w:drawing>
          <wp:inline distT="0" distB="0" distL="0" distR="0" wp14:anchorId="0B32D805" wp14:editId="3895EA2B">
            <wp:extent cx="4572000" cy="2743200"/>
            <wp:effectExtent l="0" t="0" r="0" b="0"/>
            <wp:docPr id="1548989982" name="Chart 1">
              <a:extLst xmlns:a="http://schemas.openxmlformats.org/drawingml/2006/main">
                <a:ext uri="{FF2B5EF4-FFF2-40B4-BE49-F238E27FC236}">
                  <a16:creationId xmlns:a16="http://schemas.microsoft.com/office/drawing/2014/main" id="{2424BDDD-E59C-D9A6-6D2C-8D9DAAA1B4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9E7F264" w14:textId="77777777" w:rsidR="002249C8" w:rsidRDefault="002249C8" w:rsidP="002249C8">
      <w:pPr>
        <w:pStyle w:val="Caption"/>
      </w:pPr>
      <w:bookmarkStart w:id="125" w:name="_Ref163785492"/>
      <w:bookmarkStart w:id="126" w:name="_Ref163785487"/>
      <w:bookmarkStart w:id="127" w:name="_Toc165641148"/>
      <w:r>
        <w:t>Figure 4.</w:t>
      </w:r>
      <w:r>
        <w:fldChar w:fldCharType="begin"/>
      </w:r>
      <w:r>
        <w:instrText xml:space="preserve"> SEQ Figure \* ARABIC </w:instrText>
      </w:r>
      <w:r>
        <w:fldChar w:fldCharType="separate"/>
      </w:r>
      <w:r>
        <w:rPr>
          <w:noProof/>
        </w:rPr>
        <w:t>11</w:t>
      </w:r>
      <w:r>
        <w:fldChar w:fldCharType="end"/>
      </w:r>
      <w:bookmarkEnd w:id="125"/>
      <w:r>
        <w:t>: Effect of anode thickness on average overpotentials and voltage output of the PCFC</w:t>
      </w:r>
      <w:bookmarkEnd w:id="126"/>
      <w:bookmarkEnd w:id="127"/>
    </w:p>
    <w:p w14:paraId="624AC39D" w14:textId="77777777" w:rsidR="002249C8" w:rsidRDefault="002249C8" w:rsidP="002249C8">
      <w:pPr>
        <w:rPr>
          <w:rFonts w:eastAsiaTheme="minorEastAsia"/>
        </w:rPr>
      </w:pPr>
      <w:r>
        <w:t xml:space="preserve">In </w:t>
      </w:r>
      <w:r>
        <w:fldChar w:fldCharType="begin"/>
      </w:r>
      <w:r>
        <w:instrText xml:space="preserve"> REF _Ref163785492 \h </w:instrText>
      </w:r>
      <w:r>
        <w:fldChar w:fldCharType="separate"/>
      </w:r>
      <w:r>
        <w:t>Figure 4.</w:t>
      </w:r>
      <w:r>
        <w:rPr>
          <w:noProof/>
        </w:rPr>
        <w:t>11</w:t>
      </w:r>
      <w:r>
        <w:fldChar w:fldCharType="end"/>
      </w:r>
      <w:r>
        <w:t>, the inlet temperature and flowrate are set to 710</w:t>
      </w:r>
      <m:oMath>
        <m:r>
          <w:rPr>
            <w:rFonts w:ascii="Cambria Math" w:hAnsi="Cambria Math"/>
          </w:rPr>
          <m:t>℃</m:t>
        </m:r>
      </m:oMath>
      <w:r>
        <w:rPr>
          <w:rFonts w:eastAsiaTheme="minorEastAsia"/>
        </w:rPr>
        <w:t xml:space="preserve"> and 1L/g</w:t>
      </w:r>
      <w:r>
        <w:rPr>
          <w:rFonts w:eastAsiaTheme="minorEastAsia"/>
          <w:vertAlign w:val="subscript"/>
        </w:rPr>
        <w:t>cat</w:t>
      </w:r>
      <w:r>
        <w:rPr>
          <w:rFonts w:eastAsiaTheme="minorEastAsia"/>
        </w:rPr>
        <w:t>/h, respectively. The left most data represents the voltage losses predicted by the PCFC and validation models and progresses to the right as the anode thickness is increased from 0.5mm up to 2mm. There is no measurable difference in the average ohmic loss since this is experimentally measured with respect to surface area, which did not change with anode thickness, and the activation overpotential is similar. The concentration overpotential is expected to have the largest difference in the model since increased thickness means more distance for the protons to be conducted. This extra distance can cause additional losses as it can be more difficult for the protons to make their way all the way through the PEN assembly. This overpotential is modeled in the calculation of the concentrations at the triple phase boundary in equations 3.34-3.37. The relationship of the losses with thickness is strictly linear, and results in a concentration loss ~150% higher at a thickness of 2mm compared to 0.5mm.</w:t>
      </w:r>
    </w:p>
    <w:p w14:paraId="693F3D57" w14:textId="7FB80C87" w:rsidR="002249C8" w:rsidRDefault="002249C8" w:rsidP="002249C8">
      <w:pPr>
        <w:rPr>
          <w:rFonts w:eastAsiaTheme="minorEastAsia"/>
        </w:rPr>
      </w:pPr>
      <w:r>
        <w:rPr>
          <w:rFonts w:eastAsiaTheme="minorEastAsia"/>
        </w:rPr>
        <w:t xml:space="preserve">Curiously, the output voltage </w:t>
      </w:r>
      <w:r>
        <w:rPr>
          <w:rFonts w:eastAsiaTheme="minorEastAsia"/>
          <w:i/>
          <w:iCs/>
        </w:rPr>
        <w:t>increases</w:t>
      </w:r>
      <w:r>
        <w:rPr>
          <w:rFonts w:eastAsiaTheme="minorEastAsia"/>
        </w:rPr>
        <w:t xml:space="preserve"> nonlinearly with the anode thickness. Typically, the increased overpotentials would always decrease the voltage in a normal PCFC. In this case, the increased thickness translates into more catalyst, and therefore a higher flowrate when the space velocity is held constant. </w:t>
      </w:r>
      <w:r w:rsidR="00150762">
        <w:rPr>
          <w:rFonts w:eastAsiaTheme="minorEastAsia"/>
        </w:rPr>
        <w:t>So,</w:t>
      </w:r>
      <w:r>
        <w:rPr>
          <w:rFonts w:eastAsiaTheme="minorEastAsia"/>
        </w:rPr>
        <w:t xml:space="preserve"> while this does not significantly change the selectivity of the products, it allows greater opportunity for the MDA reactions to occur and produce more water, as well as input more water at the inlet. The result is an increased Nernst potential due to increased hydrogen levels (see equation 3.23) that outweighs the increased overpotentials to yield a greater net voltage output. However, for a complete understanding of the relationship between anode thickness, catalyst effectiveness and voltage, additional modeling parameters like tortuosity and pore radius of the anode are required </w:t>
      </w:r>
      <w:r>
        <w:rPr>
          <w:rFonts w:eastAsiaTheme="minorEastAsia"/>
        </w:rPr>
        <w:fldChar w:fldCharType="begin"/>
      </w:r>
      <w:r w:rsidR="00CA7A9D">
        <w:rPr>
          <w:rFonts w:eastAsiaTheme="minorEastAsia"/>
        </w:rPr>
        <w:instrText xml:space="preserve"> ADDIN ZOTERO_ITEM CSL_CITATION {"citationID":"asg3vrk7e4","properties":{"formattedCitation":"[88]","plainCitation":"[88]","noteIndex":0},"citationItems":[{"id":774,"uris":["http://zotero.org/users/12063231/items/RRTFAJZR"],"itemData":{"id":774,"type":"chapter","abstract":"&lt;p&gt;This chapter discusses the theory and performance of electrolysis cells based upon proton-conducting ceramics (protonic ceramic electrolysis cells (PCECs)). To put PCECs in perspective in relation to other ceramic-based electrochemical cells, the discussion initially compares oxygen-ion-conducting membranes as well as fuel-cell performance.&lt;/p&gt;","container-title":"High-Temperature Electrolysis: From fundamentals to applications","language":"en","note":"DOI: 10.1088/978-0-7503-3951-3ch12","publisher":"IOP Publishing","source":"iopscience.iop.org","title":"Thermodynamics, transport, and electrochemistry in protonic ceramic electrolysis cells","URL":"https://iopscience.iop.org/book/edit/978-0-7503-3951-3/chapter/bk978-0-7503-3951-3ch12","author":[{"family":"Zhu","given":"Huayang"},{"family":"Ricote","given":"Sandrine"},{"family":"Kee","given":"Robert J."}],"accessed":{"date-parts":[["2024",2,6]]},"issued":{"date-parts":[["2023",1,1]]}}}],"schema":"https://github.com/citation-style-language/schema/raw/master/csl-citation.json"} </w:instrText>
      </w:r>
      <w:r>
        <w:rPr>
          <w:rFonts w:eastAsiaTheme="minorEastAsia"/>
        </w:rPr>
        <w:fldChar w:fldCharType="separate"/>
      </w:r>
      <w:r w:rsidR="00CA7A9D" w:rsidRPr="00CA7A9D">
        <w:rPr>
          <w:rFonts w:ascii="Aptos" w:hAnsi="Aptos"/>
        </w:rPr>
        <w:t>[88]</w:t>
      </w:r>
      <w:r>
        <w:rPr>
          <w:rFonts w:eastAsiaTheme="minorEastAsia"/>
        </w:rPr>
        <w:fldChar w:fldCharType="end"/>
      </w:r>
      <w:r>
        <w:rPr>
          <w:rFonts w:eastAsiaTheme="minorEastAsia"/>
        </w:rPr>
        <w:t xml:space="preserve">. These factors help account for the additional length of travel required for diffusing ions through the porous </w:t>
      </w:r>
      <w:r w:rsidR="007278BD">
        <w:rPr>
          <w:rFonts w:eastAsiaTheme="minorEastAsia"/>
        </w:rPr>
        <w:t>medium and</w:t>
      </w:r>
      <w:r>
        <w:rPr>
          <w:rFonts w:eastAsiaTheme="minorEastAsia"/>
        </w:rPr>
        <w:t xml:space="preserve"> are likely to change the relationship between anode thickness and voltage shown in this model when implemented. </w:t>
      </w:r>
    </w:p>
    <w:p w14:paraId="3A21349B" w14:textId="0BEC14EC" w:rsidR="002249C8" w:rsidRPr="00EC05C3" w:rsidRDefault="002249C8" w:rsidP="002249C8">
      <w:pPr>
        <w:rPr>
          <w:rFonts w:eastAsiaTheme="minorEastAsia"/>
        </w:rPr>
      </w:pPr>
      <w:r>
        <w:rPr>
          <w:rFonts w:eastAsiaTheme="minorEastAsia"/>
        </w:rPr>
        <w:t xml:space="preserve">Other secondary parameters from </w:t>
      </w:r>
      <w:r>
        <w:rPr>
          <w:rFonts w:eastAsiaTheme="minorEastAsia"/>
        </w:rPr>
        <w:fldChar w:fldCharType="begin"/>
      </w:r>
      <w:r>
        <w:rPr>
          <w:rFonts w:eastAsiaTheme="minorEastAsia"/>
        </w:rPr>
        <w:instrText xml:space="preserve"> REF _Ref163749371 \h </w:instrText>
      </w:r>
      <w:r>
        <w:rPr>
          <w:rFonts w:eastAsiaTheme="minorEastAsia"/>
        </w:rPr>
      </w:r>
      <w:r>
        <w:rPr>
          <w:rFonts w:eastAsiaTheme="minorEastAsia"/>
        </w:rPr>
        <w:fldChar w:fldCharType="separate"/>
      </w:r>
      <w:r>
        <w:t>Table 4.</w:t>
      </w:r>
      <w:r>
        <w:rPr>
          <w:noProof/>
        </w:rPr>
        <w:t>1</w:t>
      </w:r>
      <w:r>
        <w:rPr>
          <w:rFonts w:eastAsiaTheme="minorEastAsia"/>
        </w:rPr>
        <w:fldChar w:fldCharType="end"/>
      </w:r>
      <w:r>
        <w:rPr>
          <w:rFonts w:eastAsiaTheme="minorEastAsia"/>
        </w:rPr>
        <w:t xml:space="preserve"> </w:t>
      </w:r>
      <w:r w:rsidR="0020124E">
        <w:rPr>
          <w:rFonts w:eastAsiaTheme="minorEastAsia"/>
        </w:rPr>
        <w:t>are</w:t>
      </w:r>
      <w:r>
        <w:rPr>
          <w:rFonts w:eastAsiaTheme="minorEastAsia"/>
        </w:rPr>
        <w:t xml:space="preserve"> varied but had little to no effect on outcomes. A more complex fluid mechanics model could be implemented wherein the fuel bulk flow is not considered a perfect mixture, and this would allow the change in height of the fuel channel to have a more pronounced effect than what this model can simulate. The </w:t>
      </w:r>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sr</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wgs</m:t>
            </m:r>
          </m:sub>
        </m:sSub>
      </m:oMath>
      <w:r>
        <w:rPr>
          <w:rFonts w:eastAsiaTheme="minorEastAsia"/>
        </w:rPr>
        <w:t xml:space="preserve"> have little effect due to the kinetics already being so much faster than the MDA reactions as has been previously discussed.</w:t>
      </w:r>
    </w:p>
    <w:p w14:paraId="26EBFDC5" w14:textId="77777777" w:rsidR="002249C8" w:rsidRDefault="002249C8" w:rsidP="002249C8">
      <w:pPr>
        <w:rPr>
          <w:rFonts w:eastAsiaTheme="minorEastAsia"/>
        </w:rPr>
      </w:pPr>
      <w:r>
        <w:t>To revisit, the important takeaways from Figures 4.8-4.11 consist of the following:</w:t>
      </w:r>
    </w:p>
    <w:p w14:paraId="467331C7" w14:textId="77777777" w:rsidR="002249C8" w:rsidRDefault="002249C8" w:rsidP="002249C8">
      <w:pPr>
        <w:pStyle w:val="ListParagraph"/>
        <w:numPr>
          <w:ilvl w:val="0"/>
          <w:numId w:val="12"/>
        </w:numPr>
        <w:jc w:val="left"/>
      </w:pPr>
      <w:r>
        <w:t>The electrical work and reaction heat are the largest sources of heat transfer for the PEN assembly at effective flowrates that yield aromatic outputs</w:t>
      </w:r>
    </w:p>
    <w:p w14:paraId="4C497682" w14:textId="081F364C" w:rsidR="002249C8" w:rsidRDefault="002249C8" w:rsidP="002249C8">
      <w:pPr>
        <w:pStyle w:val="ListParagraph"/>
        <w:numPr>
          <w:ilvl w:val="0"/>
          <w:numId w:val="12"/>
        </w:numPr>
        <w:jc w:val="left"/>
      </w:pPr>
      <w:r>
        <w:t xml:space="preserve">Due to low flowrates and current, the temperature of the cell components largely </w:t>
      </w:r>
      <w:r w:rsidR="007278BD">
        <w:t>remains</w:t>
      </w:r>
      <w:r>
        <w:t xml:space="preserve"> constant throughout the cell.</w:t>
      </w:r>
    </w:p>
    <w:p w14:paraId="3954438D" w14:textId="77777777" w:rsidR="002249C8" w:rsidRDefault="002249C8" w:rsidP="002249C8">
      <w:pPr>
        <w:pStyle w:val="ListParagraph"/>
        <w:numPr>
          <w:ilvl w:val="0"/>
          <w:numId w:val="12"/>
        </w:numPr>
        <w:jc w:val="left"/>
      </w:pPr>
      <w:r>
        <w:t>The concentration overpotential is the overwhelmingly dominant overpotential in an MDA PCFC, but has little effect due to the low current density (equations 3.34-3.37)</w:t>
      </w:r>
    </w:p>
    <w:p w14:paraId="70B04865" w14:textId="4358C662" w:rsidR="002249C8" w:rsidRDefault="002249C8" w:rsidP="002249C8">
      <w:pPr>
        <w:pStyle w:val="ListParagraph"/>
        <w:numPr>
          <w:ilvl w:val="0"/>
          <w:numId w:val="12"/>
        </w:numPr>
        <w:jc w:val="left"/>
      </w:pPr>
      <w:r>
        <w:t xml:space="preserve">Anode thickness can be increased to yield greater voltage outputs due to the ability to increase the flowrate when catalyst volume is increased. However, this model lacks the necessary parameters to properly optimize the anode thickness for voltage output, so the maximum thickness used in subsequent sections </w:t>
      </w:r>
      <w:r w:rsidR="00E9792B">
        <w:t>is</w:t>
      </w:r>
      <w:r>
        <w:t xml:space="preserve"> 1mm, as this has been used in recent experimental PCFC studies </w:t>
      </w:r>
      <w:r>
        <w:fldChar w:fldCharType="begin"/>
      </w:r>
      <w:r w:rsidR="00CA7A9D">
        <w:instrText xml:space="preserve"> ADDIN ZOTERO_ITEM CSL_CITATION {"citationID":"a24c4dj249","properties":{"formattedCitation":"[21]","plainCitation":"[21]","noteIndex":0},"citationItems":[{"id":82,"uris":["http://zotero.org/users/12063231/items/IKMWCGBN"],"itemData":{"id":82,"type":"article-journal","abstract":"Protonic ceramic fuel cells (PCFCs) are clean and efficient power generation devices operating at intermediate temperatures. However, manufacturing difficulties have limited their commercialization, especially for promising tubular PCFCs. Herein, we report a cost-effective 3D printing technique for manufacturing large-area tubular PCFCs (e.g., 15.7 cm2), featured with the use of commercial raw materials, a small amount of binder, and a CO2 laser for rapid in situ drying. The technical advantages enable low-cost material preparation and efficient achievement of exemplary shape/dimension-controlled uniform microstructures in porous anode support, dense electrolyte, and porous cathode. The 3D-printed tubular PCFC (</w:instrText>
      </w:r>
      <w:r w:rsidR="00CA7A9D">
        <w:rPr>
          <w:rFonts w:ascii="Cambria Math" w:hAnsi="Cambria Math" w:cs="Cambria Math"/>
        </w:rPr>
        <w:instrText>∼</w:instrText>
      </w:r>
      <w:r w:rsidR="00CA7A9D">
        <w:instrText xml:space="preserve">12.5 cm2) exhibits a power output of 2.45 W at 650 °C. Meanwhile, the long-term stability is confirmed during 200 h of operation. This novel 3D printing offers great potential to advance PCFCs from the laboratory to larger scales for realistic applications.","container-title":"ACS Energy Letters","DOI":"10.1021/acsenergylett.3c01345","issue":"8","journalAbbreviation":"ACS Energy Lett.","note":"publisher: American Chemical Society","page":"3545-3551","source":"ACS Publications","title":"3D Printing Enabled Highly Scalable Tubular Protonic Ceramic Fuel Cells","volume":"8","author":[{"family":"Zou","given":"Minda"},{"family":"Conrad","given":"Jacob"},{"family":"Sheridan","given":"Bridget"},{"family":"Zhang","given":"Jiawei"},{"family":"Huang","given":"Hua"},{"family":"Mu","given":"Shenglong"},{"family":"Zhou","given":"Tianyi"},{"family":"Zhao","given":"Zeyu"},{"family":"Brinkman","given":"Kyle S."},{"family":"Xiao","given":"Hai"},{"family":"Peng","given":"Fei"},{"family":"Tong","given":"Jianhua"}],"issued":{"date-parts":[["2023",8,11]]}}}],"schema":"https://github.com/citation-style-language/schema/raw/master/csl-citation.json"} </w:instrText>
      </w:r>
      <w:r>
        <w:fldChar w:fldCharType="separate"/>
      </w:r>
      <w:r w:rsidR="00CA7A9D" w:rsidRPr="00CA7A9D">
        <w:rPr>
          <w:rFonts w:ascii="Aptos" w:hAnsi="Aptos"/>
        </w:rPr>
        <w:t>[21]</w:t>
      </w:r>
      <w:r>
        <w:fldChar w:fldCharType="end"/>
      </w:r>
      <w:r>
        <w:t>.</w:t>
      </w:r>
    </w:p>
    <w:p w14:paraId="35D6322B" w14:textId="77777777" w:rsidR="002249C8" w:rsidRDefault="002249C8" w:rsidP="002249C8">
      <w:pPr>
        <w:pStyle w:val="Heading3"/>
      </w:pPr>
      <w:bookmarkStart w:id="128" w:name="_Toc165641094"/>
      <w:r>
        <w:t>4.2.4 Recycling and Optimization</w:t>
      </w:r>
      <w:bookmarkEnd w:id="128"/>
    </w:p>
    <w:p w14:paraId="754F6F9D" w14:textId="44D3814E" w:rsidR="002249C8" w:rsidRDefault="002249C8" w:rsidP="002249C8">
      <w:r>
        <w:t>The final section in this chapter analyze</w:t>
      </w:r>
      <w:r w:rsidR="000120B6">
        <w:t>s</w:t>
      </w:r>
      <w:r>
        <w:t xml:space="preserve"> the possibility and benefits of recycling streams. Recycling streams allow the system to achieve higher conversions and benefit from the work it has already done. This comes at the expense of increased capital and construction costs but can pay off very well in the right scenario. These extra costs come from additional required elements in the system like separators, pumps, and sometimes amine scrubbing, as well as additional pipelines to reroute the process from a system outlet back to the inlet.</w:t>
      </w:r>
    </w:p>
    <w:p w14:paraId="0379CBA1" w14:textId="77777777" w:rsidR="002249C8" w:rsidRDefault="002249C8" w:rsidP="002249C8">
      <w:r>
        <w:t>Hydrogen is a valuable byproduct that could increase the power output if put into a recycle stream.  Ethylene is also considered. Ideally, the ethylene would all turn into benzene since benzene is more valuable and easily transportable. In a recycling system, this outcome becomes possible where it was not before. Data is gathered with this section with the flowrate held at 1 Lg</w:t>
      </w:r>
      <w:r>
        <w:rPr>
          <w:vertAlign w:val="subscript"/>
        </w:rPr>
        <w:t>cat</w:t>
      </w:r>
      <w:r>
        <w:rPr>
          <w:vertAlign w:val="superscript"/>
        </w:rPr>
        <w:t>-1</w:t>
      </w:r>
      <w:r>
        <w:t>h</w:t>
      </w:r>
      <w:r>
        <w:rPr>
          <w:vertAlign w:val="superscript"/>
        </w:rPr>
        <w:t>-1</w:t>
      </w:r>
      <w:r>
        <w:t xml:space="preserve"> </w:t>
      </w:r>
      <w:proofErr w:type="gramStart"/>
      <w:r>
        <w:t>similar to</w:t>
      </w:r>
      <w:proofErr w:type="gramEnd"/>
      <w:r>
        <w:t xml:space="preserve"> previous sections, but the anode thickness is increased to 1mm. As such, higher current densities can be utilized due to the increased hydrogen availability as shown in </w:t>
      </w:r>
      <w:r>
        <w:fldChar w:fldCharType="begin"/>
      </w:r>
      <w:r>
        <w:instrText xml:space="preserve"> REF _Ref164445188 \h </w:instrText>
      </w:r>
      <w:r>
        <w:fldChar w:fldCharType="separate"/>
      </w:r>
      <w:r>
        <w:t>Figure 4.</w:t>
      </w:r>
      <w:r>
        <w:rPr>
          <w:noProof/>
        </w:rPr>
        <w:t>12</w:t>
      </w:r>
      <w:r>
        <w:fldChar w:fldCharType="end"/>
      </w:r>
      <w:r>
        <w:t>.</w:t>
      </w:r>
    </w:p>
    <w:p w14:paraId="7285A10C" w14:textId="77777777" w:rsidR="002249C8" w:rsidRDefault="002249C8" w:rsidP="002249C8">
      <w:pPr>
        <w:keepNext/>
      </w:pPr>
      <w:r>
        <w:rPr>
          <w:noProof/>
        </w:rPr>
        <w:noBreakHyphen/>
      </w:r>
      <w:r>
        <w:rPr>
          <w:noProof/>
        </w:rPr>
        <w:drawing>
          <wp:inline distT="0" distB="0" distL="0" distR="0" wp14:anchorId="6A454FDB" wp14:editId="00157568">
            <wp:extent cx="2552700" cy="1953159"/>
            <wp:effectExtent l="0" t="0" r="0" b="0"/>
            <wp:docPr id="1350857139" name="Chart 1">
              <a:extLst xmlns:a="http://schemas.openxmlformats.org/drawingml/2006/main">
                <a:ext uri="{FF2B5EF4-FFF2-40B4-BE49-F238E27FC236}">
                  <a16:creationId xmlns:a16="http://schemas.microsoft.com/office/drawing/2014/main" id="{7E2E1B4A-4858-C080-4A97-6BAAF4F0C3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Pr="000C0091">
        <w:rPr>
          <w:noProof/>
        </w:rPr>
        <w:t xml:space="preserve"> </w:t>
      </w:r>
      <w:r>
        <w:rPr>
          <w:noProof/>
        </w:rPr>
        <w:drawing>
          <wp:inline distT="0" distB="0" distL="0" distR="0" wp14:anchorId="5245B906" wp14:editId="57D7F565">
            <wp:extent cx="2727960" cy="1967789"/>
            <wp:effectExtent l="0" t="0" r="0" b="0"/>
            <wp:docPr id="722082929" name="Chart 1">
              <a:extLst xmlns:a="http://schemas.openxmlformats.org/drawingml/2006/main">
                <a:ext uri="{FF2B5EF4-FFF2-40B4-BE49-F238E27FC236}">
                  <a16:creationId xmlns:a16="http://schemas.microsoft.com/office/drawing/2014/main" id="{30123565-D898-7F39-AB0F-0169CC55FF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B804718" w14:textId="77777777" w:rsidR="002249C8" w:rsidRDefault="002249C8" w:rsidP="002249C8">
      <w:pPr>
        <w:pStyle w:val="Caption"/>
        <w:jc w:val="left"/>
      </w:pPr>
      <w:bookmarkStart w:id="129" w:name="_Ref164445188"/>
      <w:bookmarkStart w:id="130" w:name="_Toc165641149"/>
      <w:r>
        <w:t>Figure 4.</w:t>
      </w:r>
      <w:r>
        <w:fldChar w:fldCharType="begin"/>
      </w:r>
      <w:r>
        <w:instrText xml:space="preserve"> SEQ Figure \* ARABIC </w:instrText>
      </w:r>
      <w:r>
        <w:fldChar w:fldCharType="separate"/>
      </w:r>
      <w:r>
        <w:rPr>
          <w:noProof/>
        </w:rPr>
        <w:t>12</w:t>
      </w:r>
      <w:r>
        <w:fldChar w:fldCharType="end"/>
      </w:r>
      <w:bookmarkEnd w:id="129"/>
      <w:r>
        <w:t>: Updated power density (a) and selectivity (b) curves for an anode thickness of 1mm</w:t>
      </w:r>
      <w:bookmarkEnd w:id="130"/>
    </w:p>
    <w:p w14:paraId="53340F67" w14:textId="77777777" w:rsidR="002249C8" w:rsidRDefault="002249C8" w:rsidP="002249C8">
      <w:pPr>
        <w:rPr>
          <w:rFonts w:eastAsiaTheme="minorEastAsia"/>
        </w:rPr>
      </w:pPr>
      <w:r>
        <w:t>A current density of .015 Acm</w:t>
      </w:r>
      <w:r>
        <w:rPr>
          <w:vertAlign w:val="superscript"/>
        </w:rPr>
        <w:t>-2</w:t>
      </w:r>
      <w:r>
        <w:t xml:space="preserve"> is selected as this is the minimum current that achieved 30% fuel conversion in </w:t>
      </w:r>
      <w:r>
        <w:fldChar w:fldCharType="begin"/>
      </w:r>
      <w:r>
        <w:instrText xml:space="preserve"> REF _Ref164445188 \h </w:instrText>
      </w:r>
      <w:r>
        <w:fldChar w:fldCharType="separate"/>
      </w:r>
      <w:r>
        <w:t>Figure 4.</w:t>
      </w:r>
      <w:r>
        <w:rPr>
          <w:noProof/>
        </w:rPr>
        <w:t>12</w:t>
      </w:r>
      <w:r>
        <w:fldChar w:fldCharType="end"/>
      </w:r>
      <w:r>
        <w:t xml:space="preserve">a. This also comes just before the heavy drop in CE and spike in toluene shown in </w:t>
      </w:r>
      <w:r>
        <w:fldChar w:fldCharType="begin"/>
      </w:r>
      <w:r>
        <w:instrText xml:space="preserve"> REF _Ref164445188 \h </w:instrText>
      </w:r>
      <w:r>
        <w:fldChar w:fldCharType="separate"/>
      </w:r>
      <w:r>
        <w:t>Figure 4.</w:t>
      </w:r>
      <w:r>
        <w:rPr>
          <w:noProof/>
        </w:rPr>
        <w:t>12</w:t>
      </w:r>
      <w:r>
        <w:fldChar w:fldCharType="end"/>
      </w:r>
      <w:r>
        <w:t>b. Without recycling or further optimization, the setup of 1 Lg</w:t>
      </w:r>
      <w:r>
        <w:rPr>
          <w:vertAlign w:val="subscript"/>
        </w:rPr>
        <w:t>cat</w:t>
      </w:r>
      <w:r>
        <w:rPr>
          <w:vertAlign w:val="superscript"/>
        </w:rPr>
        <w:t>-1</w:t>
      </w:r>
      <w:r>
        <w:t>h</w:t>
      </w:r>
      <w:r>
        <w:rPr>
          <w:vertAlign w:val="superscript"/>
        </w:rPr>
        <w:t>-1</w:t>
      </w:r>
      <w:r>
        <w:t xml:space="preserve"> utilizing a current density of 0.015 Acm</w:t>
      </w:r>
      <w:r>
        <w:rPr>
          <w:vertAlign w:val="superscript"/>
        </w:rPr>
        <w:t>-2</w:t>
      </w:r>
      <w:r>
        <w:t xml:space="preserve"> at 710</w:t>
      </w:r>
      <m:oMath>
        <m:r>
          <w:rPr>
            <w:rFonts w:ascii="Cambria Math" w:hAnsi="Cambria Math"/>
          </w:rPr>
          <m:t>℃</m:t>
        </m:r>
      </m:oMath>
      <w:r>
        <w:rPr>
          <w:rFonts w:eastAsiaTheme="minorEastAsia"/>
        </w:rPr>
        <w:t xml:space="preserve"> achieves 0.0132 Wcm</w:t>
      </w:r>
      <w:r>
        <w:rPr>
          <w:rFonts w:eastAsiaTheme="minorEastAsia"/>
          <w:vertAlign w:val="superscript"/>
        </w:rPr>
        <w:t>-2</w:t>
      </w:r>
      <w:r>
        <w:rPr>
          <w:rFonts w:eastAsiaTheme="minorEastAsia"/>
        </w:rPr>
        <w:t>, 74% CE, 30% fuel conversion, and 74% aromatic selectivity.</w:t>
      </w:r>
    </w:p>
    <w:p w14:paraId="0F3FB84A" w14:textId="3858177F" w:rsidR="002249C8" w:rsidRDefault="002249C8" w:rsidP="002249C8">
      <w:r>
        <w:rPr>
          <w:rFonts w:eastAsiaTheme="minorEastAsia"/>
        </w:rPr>
        <w:t xml:space="preserve">Before discussing recycling streams, the basic model is compared to the FBR model discussed in the validation study using Ding’s experimental data </w:t>
      </w:r>
      <w:r>
        <w:rPr>
          <w:rFonts w:eastAsiaTheme="minorEastAsia"/>
        </w:rPr>
        <w:fldChar w:fldCharType="begin"/>
      </w:r>
      <w:r w:rsidR="00CA7A9D">
        <w:rPr>
          <w:rFonts w:eastAsiaTheme="minorEastAsia"/>
        </w:rPr>
        <w:instrText xml:space="preserve"> ADDIN ZOTERO_ITEM CSL_CITATION {"citationID":"a4i351mb4a","properties":{"formattedCitation":"[65]","plainCitation":"[65]","noteIndex":0},"citationItems":[{"id":851,"uris":["http://zotero.org/users/12063231/items/HXBJX4RZ"],"itemData":{"id":851,"type":"article-journal","container-title":"Nature Communications","title":"Direct conversion of methane to aromatics and hydrogen via a heterogeneous trimetallic synergistic catalyst","volume":"Accepted","author":[{"family":"Zhu","given":"P"},{"family":"Bian","given":"W"},{"family":"Liu","given":"B"},{"family":"Deng","given":"H"},{"family":"Wang","given":"L"},{"family":"Huang","given":"X"},{"family":"Spence","given":"S"},{"family":"Lin","given":"F"},{"family":"Duan","given":"C"},{"family":"Ding","given":"P"},{"family":"Dong","given":"P"},{"family":"Ding H","given":""}],"issued":{"date-parts":[["2024"]]}}}],"schema":"https://github.com/citation-style-language/schema/raw/master/csl-citation.json"} </w:instrText>
      </w:r>
      <w:r>
        <w:rPr>
          <w:rFonts w:eastAsiaTheme="minorEastAsia"/>
        </w:rPr>
        <w:fldChar w:fldCharType="separate"/>
      </w:r>
      <w:r w:rsidR="00CA7A9D" w:rsidRPr="00CA7A9D">
        <w:rPr>
          <w:rFonts w:ascii="Aptos" w:hAnsi="Aptos"/>
        </w:rPr>
        <w:t>[65]</w:t>
      </w:r>
      <w:r>
        <w:rPr>
          <w:rFonts w:eastAsiaTheme="minorEastAsia"/>
        </w:rPr>
        <w:fldChar w:fldCharType="end"/>
      </w:r>
      <w:r>
        <w:rPr>
          <w:rFonts w:eastAsiaTheme="minorEastAsia"/>
        </w:rPr>
        <w:t xml:space="preserve">. The overall aromatic selectivity for the FBR is estimated around ~72%, with a coking/emissions selectivity of 12.6% at 1.272 </w:t>
      </w:r>
      <w:r>
        <w:t>Lg</w:t>
      </w:r>
      <w:r>
        <w:rPr>
          <w:vertAlign w:val="subscript"/>
        </w:rPr>
        <w:t>cat</w:t>
      </w:r>
      <w:r>
        <w:rPr>
          <w:vertAlign w:val="superscript"/>
        </w:rPr>
        <w:t>-1</w:t>
      </w:r>
      <w:r>
        <w:t>h</w:t>
      </w:r>
      <w:r>
        <w:rPr>
          <w:vertAlign w:val="superscript"/>
        </w:rPr>
        <w:t>-1</w:t>
      </w:r>
      <w:r>
        <w:rPr>
          <w:rFonts w:eastAsiaTheme="minorEastAsia"/>
        </w:rPr>
        <w:t xml:space="preserve">. For a fair comparison, the PCFC flowrate is temporarily increased to 1.272 </w:t>
      </w:r>
      <w:r>
        <w:t>Lg</w:t>
      </w:r>
      <w:r>
        <w:rPr>
          <w:vertAlign w:val="subscript"/>
        </w:rPr>
        <w:t>cat</w:t>
      </w:r>
      <w:r>
        <w:rPr>
          <w:vertAlign w:val="superscript"/>
        </w:rPr>
        <w:t>-1</w:t>
      </w:r>
      <w:r>
        <w:t>h</w:t>
      </w:r>
      <w:r>
        <w:rPr>
          <w:vertAlign w:val="superscript"/>
        </w:rPr>
        <w:t>-1</w:t>
      </w:r>
      <w:r>
        <w:t xml:space="preserve"> and the main results are shown in </w:t>
      </w:r>
      <w:r>
        <w:fldChar w:fldCharType="begin"/>
      </w:r>
      <w:r>
        <w:instrText xml:space="preserve"> REF _Ref164466688 \h </w:instrText>
      </w:r>
      <w:r>
        <w:fldChar w:fldCharType="separate"/>
      </w:r>
      <w:r>
        <w:t>Figure 4.</w:t>
      </w:r>
      <w:r>
        <w:rPr>
          <w:noProof/>
        </w:rPr>
        <w:t>13</w:t>
      </w:r>
      <w:r>
        <w:fldChar w:fldCharType="end"/>
      </w:r>
    </w:p>
    <w:p w14:paraId="1A8DA881" w14:textId="77777777" w:rsidR="002249C8" w:rsidRDefault="002249C8" w:rsidP="002249C8">
      <w:pPr>
        <w:keepNext/>
        <w:jc w:val="center"/>
      </w:pPr>
      <w:r>
        <w:rPr>
          <w:noProof/>
        </w:rPr>
        <w:drawing>
          <wp:inline distT="0" distB="0" distL="0" distR="0" wp14:anchorId="12EDFF7B" wp14:editId="4F6ED8B7">
            <wp:extent cx="2648102" cy="1814170"/>
            <wp:effectExtent l="0" t="0" r="0" b="0"/>
            <wp:docPr id="45609379" name="Chart 1">
              <a:extLst xmlns:a="http://schemas.openxmlformats.org/drawingml/2006/main">
                <a:ext uri="{FF2B5EF4-FFF2-40B4-BE49-F238E27FC236}">
                  <a16:creationId xmlns:a16="http://schemas.microsoft.com/office/drawing/2014/main" id="{81265938-0D61-5B3A-04D9-ACC92D41F9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7862A7D" w14:textId="77777777" w:rsidR="002249C8" w:rsidRPr="000C1E54" w:rsidRDefault="002249C8" w:rsidP="002249C8">
      <w:pPr>
        <w:pStyle w:val="Caption"/>
        <w:rPr>
          <w:rFonts w:eastAsiaTheme="minorEastAsia"/>
        </w:rPr>
      </w:pPr>
      <w:bookmarkStart w:id="131" w:name="_Ref164466688"/>
      <w:bookmarkStart w:id="132" w:name="_Toc165641150"/>
      <w:r>
        <w:t>Figure 4.</w:t>
      </w:r>
      <w:r>
        <w:fldChar w:fldCharType="begin"/>
      </w:r>
      <w:r>
        <w:instrText xml:space="preserve"> SEQ Figure \* ARABIC </w:instrText>
      </w:r>
      <w:r>
        <w:fldChar w:fldCharType="separate"/>
      </w:r>
      <w:r>
        <w:rPr>
          <w:noProof/>
        </w:rPr>
        <w:t>13</w:t>
      </w:r>
      <w:r>
        <w:fldChar w:fldCharType="end"/>
      </w:r>
      <w:bookmarkEnd w:id="131"/>
      <w:r>
        <w:t>: Basic PCFC model compared with FBR model used for validation</w:t>
      </w:r>
      <w:bookmarkEnd w:id="132"/>
    </w:p>
    <w:p w14:paraId="0118DE26" w14:textId="085F28A9" w:rsidR="002249C8" w:rsidRDefault="002249C8" w:rsidP="002249C8">
      <w:pPr>
        <w:rPr>
          <w:rFonts w:eastAsiaTheme="minorEastAsia"/>
        </w:rPr>
      </w:pPr>
      <w:r>
        <w:rPr>
          <w:rFonts w:eastAsiaTheme="minorEastAsia"/>
        </w:rPr>
        <w:t>The FBR exhibits superior emissions results due to the lack of water but suffer</w:t>
      </w:r>
      <w:r w:rsidR="000120B6">
        <w:rPr>
          <w:rFonts w:eastAsiaTheme="minorEastAsia"/>
        </w:rPr>
        <w:t>s</w:t>
      </w:r>
      <w:r>
        <w:rPr>
          <w:rFonts w:eastAsiaTheme="minorEastAsia"/>
        </w:rPr>
        <w:t xml:space="preserve"> from the need to regenerate the catalyst much more often than the PCFC model, which benefits from the oxygen ions conducting from the air side to remove the coke (see Figure 2.5 and Equation 3.9). Additionally, the PCFC model is achieving a higher fuel conversion of ~26% compared to the FBR’s 18% at the same flowrate.</w:t>
      </w:r>
    </w:p>
    <w:p w14:paraId="320EF806" w14:textId="77777777" w:rsidR="002249C8" w:rsidRPr="00DC09C3" w:rsidRDefault="002249C8" w:rsidP="002249C8"/>
    <w:p w14:paraId="034DDC12" w14:textId="77777777" w:rsidR="002249C8" w:rsidRDefault="002249C8" w:rsidP="002249C8">
      <w:pPr>
        <w:keepNext/>
        <w:ind w:firstLine="0"/>
        <w:jc w:val="center"/>
      </w:pPr>
      <w:r>
        <w:rPr>
          <w:noProof/>
        </w:rPr>
        <w:drawing>
          <wp:inline distT="0" distB="0" distL="0" distR="0" wp14:anchorId="6A7CC5CF" wp14:editId="4FBD9487">
            <wp:extent cx="2677363" cy="2040890"/>
            <wp:effectExtent l="0" t="0" r="8890" b="0"/>
            <wp:docPr id="1473720388" name="Chart 1">
              <a:extLst xmlns:a="http://schemas.openxmlformats.org/drawingml/2006/main">
                <a:ext uri="{FF2B5EF4-FFF2-40B4-BE49-F238E27FC236}">
                  <a16:creationId xmlns:a16="http://schemas.microsoft.com/office/drawing/2014/main" id="{4C2A1CA3-BCB0-7DD6-4B77-7DDE09432B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Pr>
          <w:noProof/>
        </w:rPr>
        <w:drawing>
          <wp:inline distT="0" distB="0" distL="0" distR="0" wp14:anchorId="36F7E253" wp14:editId="5EB2577A">
            <wp:extent cx="2684221" cy="2040890"/>
            <wp:effectExtent l="0" t="0" r="1905" b="0"/>
            <wp:docPr id="1531468975" name="Chart 1">
              <a:extLst xmlns:a="http://schemas.openxmlformats.org/drawingml/2006/main">
                <a:ext uri="{FF2B5EF4-FFF2-40B4-BE49-F238E27FC236}">
                  <a16:creationId xmlns:a16="http://schemas.microsoft.com/office/drawing/2014/main" id="{8768C864-3DE3-5428-F0F2-18E289AD88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D004E01" w14:textId="77777777" w:rsidR="002249C8" w:rsidRDefault="002249C8" w:rsidP="002249C8">
      <w:pPr>
        <w:keepNext/>
        <w:ind w:firstLine="0"/>
        <w:jc w:val="center"/>
      </w:pPr>
      <w:r w:rsidRPr="00CA057B">
        <w:rPr>
          <w:noProof/>
        </w:rPr>
        <w:drawing>
          <wp:inline distT="0" distB="0" distL="0" distR="0" wp14:anchorId="7AD2CE8A" wp14:editId="044A8191">
            <wp:extent cx="3774643" cy="224220"/>
            <wp:effectExtent l="0" t="0" r="0" b="4445"/>
            <wp:docPr id="178480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80524" name=""/>
                    <pic:cNvPicPr/>
                  </pic:nvPicPr>
                  <pic:blipFill>
                    <a:blip r:embed="rId40"/>
                    <a:stretch>
                      <a:fillRect/>
                    </a:stretch>
                  </pic:blipFill>
                  <pic:spPr>
                    <a:xfrm>
                      <a:off x="0" y="0"/>
                      <a:ext cx="3904037" cy="231906"/>
                    </a:xfrm>
                    <a:prstGeom prst="rect">
                      <a:avLst/>
                    </a:prstGeom>
                  </pic:spPr>
                </pic:pic>
              </a:graphicData>
            </a:graphic>
          </wp:inline>
        </w:drawing>
      </w:r>
      <w:r>
        <w:rPr>
          <w:noProof/>
        </w:rPr>
        <w:drawing>
          <wp:inline distT="0" distB="0" distL="0" distR="0" wp14:anchorId="39594DDA" wp14:editId="320C642F">
            <wp:extent cx="3928696" cy="2721218"/>
            <wp:effectExtent l="0" t="0" r="0" b="3175"/>
            <wp:docPr id="1797838670" name="Chart 1">
              <a:extLst xmlns:a="http://schemas.openxmlformats.org/drawingml/2006/main">
                <a:ext uri="{FF2B5EF4-FFF2-40B4-BE49-F238E27FC236}">
                  <a16:creationId xmlns:a16="http://schemas.microsoft.com/office/drawing/2014/main" id="{4E65BA76-0EFA-E76D-297E-944C7D49A5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FBD6C0B" w14:textId="77777777" w:rsidR="002249C8" w:rsidRDefault="002249C8" w:rsidP="002249C8">
      <w:pPr>
        <w:pStyle w:val="Caption"/>
        <w:rPr>
          <w:noProof/>
        </w:rPr>
      </w:pPr>
      <w:bookmarkStart w:id="133" w:name="_Ref163836694"/>
      <w:bookmarkStart w:id="134" w:name="_Toc165641151"/>
      <w:r>
        <w:t>Figure 4.</w:t>
      </w:r>
      <w:r>
        <w:fldChar w:fldCharType="begin"/>
      </w:r>
      <w:r>
        <w:instrText xml:space="preserve"> SEQ Figure \* ARABIC </w:instrText>
      </w:r>
      <w:r>
        <w:fldChar w:fldCharType="separate"/>
      </w:r>
      <w:r>
        <w:rPr>
          <w:noProof/>
        </w:rPr>
        <w:t>14</w:t>
      </w:r>
      <w:r>
        <w:fldChar w:fldCharType="end"/>
      </w:r>
      <w:bookmarkEnd w:id="133"/>
      <w:r>
        <w:t>: Effects of recycling only hydrogen (a) or ethylene (b)</w:t>
      </w:r>
      <w:r>
        <w:rPr>
          <w:noProof/>
        </w:rPr>
        <w:t xml:space="preserve"> in the PCFC system on the carbon selectivity of the products leaving the system and the CE; (c) effect of fully recycling hydrogen and ethylene together with respect to zero recycling</w:t>
      </w:r>
      <w:bookmarkEnd w:id="134"/>
    </w:p>
    <w:p w14:paraId="50E6DBD4" w14:textId="77777777" w:rsidR="002249C8" w:rsidRDefault="002249C8" w:rsidP="002249C8">
      <w:r>
        <w:t xml:space="preserve">In the individual recycling scenarios depicted in </w:t>
      </w:r>
      <w:r>
        <w:fldChar w:fldCharType="begin"/>
      </w:r>
      <w:r>
        <w:instrText xml:space="preserve"> REF _Ref163836694 \h </w:instrText>
      </w:r>
      <w:r>
        <w:fldChar w:fldCharType="separate"/>
      </w:r>
      <w:r>
        <w:t>Figure 4.</w:t>
      </w:r>
      <w:r>
        <w:rPr>
          <w:noProof/>
        </w:rPr>
        <w:t>14</w:t>
      </w:r>
      <w:r>
        <w:fldChar w:fldCharType="end"/>
      </w:r>
      <w:proofErr w:type="gramStart"/>
      <w:r>
        <w:t>a and</w:t>
      </w:r>
      <w:proofErr w:type="gramEnd"/>
      <w:r>
        <w:t xml:space="preserve"> 4.13b, the primary benefit of hydrogen recycling is an improved power production, while the ethylene recycling provides better MDA improvements. There are slight improvements in the CE of the cell in both scenarios, with the H2 recycle stream improving by 3.37% and the C2H4 recycle stream gaining just 0.47%. Both also saw improvements in the benzene selectivity, with the ethylene recycling resulting in a 7.4% improvement while hydrogen recycling yielded just 2.9% improvement. Continuing toluene’s relationship with hydrogen, recycling H2 proved to decrease the toluene output. </w:t>
      </w:r>
    </w:p>
    <w:p w14:paraId="438C3B58" w14:textId="77777777" w:rsidR="002249C8" w:rsidRPr="008E1B85" w:rsidRDefault="002249C8" w:rsidP="002249C8">
      <w:r>
        <w:t xml:space="preserve">The best case scenario in both individual recycling scenarios in </w:t>
      </w:r>
      <w:r>
        <w:fldChar w:fldCharType="begin"/>
      </w:r>
      <w:r>
        <w:instrText xml:space="preserve"> REF _Ref163836694 \h </w:instrText>
      </w:r>
      <w:r>
        <w:fldChar w:fldCharType="separate"/>
      </w:r>
      <w:r>
        <w:t>Figure 4.</w:t>
      </w:r>
      <w:r>
        <w:rPr>
          <w:noProof/>
        </w:rPr>
        <w:t>14</w:t>
      </w:r>
      <w:r>
        <w:fldChar w:fldCharType="end"/>
      </w:r>
      <w:r>
        <w:t xml:space="preserve">a/b occur at a full recycling load and imply that hydrogen and ethylene recycling can be combined to synergize the results, as shown in </w:t>
      </w:r>
      <w:r>
        <w:fldChar w:fldCharType="begin"/>
      </w:r>
      <w:r>
        <w:instrText xml:space="preserve"> REF _Ref163836694 \h </w:instrText>
      </w:r>
      <w:r>
        <w:fldChar w:fldCharType="separate"/>
      </w:r>
      <w:r>
        <w:t>Figure 4.</w:t>
      </w:r>
      <w:r>
        <w:rPr>
          <w:noProof/>
        </w:rPr>
        <w:t>14</w:t>
      </w:r>
      <w:r>
        <w:fldChar w:fldCharType="end"/>
      </w:r>
      <w:r>
        <w:t xml:space="preserve">c. The fully recycled scenario effectively combines the electrochemical benefits of </w:t>
      </w:r>
      <w:r>
        <w:fldChar w:fldCharType="begin"/>
      </w:r>
      <w:r>
        <w:instrText xml:space="preserve"> REF _Ref163836694 \h </w:instrText>
      </w:r>
      <w:r>
        <w:fldChar w:fldCharType="separate"/>
      </w:r>
      <w:r>
        <w:t>Figure 4.</w:t>
      </w:r>
      <w:r>
        <w:rPr>
          <w:noProof/>
        </w:rPr>
        <w:t>14</w:t>
      </w:r>
      <w:r>
        <w:fldChar w:fldCharType="end"/>
      </w:r>
      <w:r>
        <w:t xml:space="preserve">a with the MDA benefits of </w:t>
      </w:r>
      <w:r>
        <w:fldChar w:fldCharType="begin"/>
      </w:r>
      <w:r>
        <w:instrText xml:space="preserve"> REF _Ref163836694 \h </w:instrText>
      </w:r>
      <w:r>
        <w:fldChar w:fldCharType="separate"/>
      </w:r>
      <w:r>
        <w:t>Figure 4.</w:t>
      </w:r>
      <w:r>
        <w:rPr>
          <w:noProof/>
        </w:rPr>
        <w:t>14</w:t>
      </w:r>
      <w:r>
        <w:fldChar w:fldCharType="end"/>
      </w:r>
      <w:r>
        <w:t>b, yielding an 11.7% increase in benzene yield with a 3.8% CE increase to achieve a power density of 0.0138 Wcm</w:t>
      </w:r>
      <w:r>
        <w:rPr>
          <w:vertAlign w:val="superscript"/>
        </w:rPr>
        <w:t>-2</w:t>
      </w:r>
      <w:r>
        <w:t xml:space="preserve">. The significant increase in benzene is due to the complete removal of ethylene as a product and the reduction of toluene production from 9.4% to 4.8%. These trends are reiterated for a clearer comparison in </w:t>
      </w:r>
      <w:r>
        <w:fldChar w:fldCharType="begin"/>
      </w:r>
      <w:r>
        <w:instrText xml:space="preserve"> REF _Ref163839322 \h </w:instrText>
      </w:r>
      <w:r>
        <w:fldChar w:fldCharType="separate"/>
      </w:r>
      <w:r>
        <w:t>Figure 4.</w:t>
      </w:r>
      <w:r>
        <w:rPr>
          <w:noProof/>
        </w:rPr>
        <w:t>15</w:t>
      </w:r>
      <w:r>
        <w:fldChar w:fldCharType="end"/>
      </w:r>
      <w:r>
        <w:t>:</w:t>
      </w:r>
    </w:p>
    <w:p w14:paraId="75CD64F3" w14:textId="77777777" w:rsidR="002249C8" w:rsidRDefault="002249C8" w:rsidP="002249C8"/>
    <w:p w14:paraId="63A6B124" w14:textId="77777777" w:rsidR="002249C8" w:rsidRDefault="002249C8" w:rsidP="002249C8">
      <w:pPr>
        <w:keepNext/>
        <w:ind w:firstLine="0"/>
        <w:jc w:val="center"/>
      </w:pPr>
      <w:r>
        <w:rPr>
          <w:noProof/>
        </w:rPr>
        <w:drawing>
          <wp:inline distT="0" distB="0" distL="0" distR="0" wp14:anchorId="206C3D90" wp14:editId="738272A9">
            <wp:extent cx="3050439" cy="2296973"/>
            <wp:effectExtent l="0" t="0" r="0" b="8255"/>
            <wp:docPr id="862605017" name="Chart 1">
              <a:extLst xmlns:a="http://schemas.openxmlformats.org/drawingml/2006/main">
                <a:ext uri="{FF2B5EF4-FFF2-40B4-BE49-F238E27FC236}">
                  <a16:creationId xmlns:a16="http://schemas.microsoft.com/office/drawing/2014/main" id="{9AA5F8BD-BB2D-E2FC-B3C2-945F81316D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Pr>
          <w:noProof/>
        </w:rPr>
        <w:t xml:space="preserve"> </w:t>
      </w:r>
      <w:r>
        <w:rPr>
          <w:noProof/>
        </w:rPr>
        <w:drawing>
          <wp:inline distT="0" distB="0" distL="0" distR="0" wp14:anchorId="6E75A3D2" wp14:editId="321A94D1">
            <wp:extent cx="2816352" cy="2457907"/>
            <wp:effectExtent l="0" t="0" r="3175" b="0"/>
            <wp:docPr id="692071557" name="Chart 1">
              <a:extLst xmlns:a="http://schemas.openxmlformats.org/drawingml/2006/main">
                <a:ext uri="{FF2B5EF4-FFF2-40B4-BE49-F238E27FC236}">
                  <a16:creationId xmlns:a16="http://schemas.microsoft.com/office/drawing/2014/main" id="{37A3A459-563A-9AAC-56B7-E1AD9A8B0F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Pr>
          <w:noProof/>
        </w:rPr>
        <w:t xml:space="preserve"> </w:t>
      </w:r>
    </w:p>
    <w:p w14:paraId="0CE69D74" w14:textId="77777777" w:rsidR="002249C8" w:rsidRDefault="002249C8" w:rsidP="002249C8">
      <w:pPr>
        <w:pStyle w:val="Caption"/>
      </w:pPr>
      <w:bookmarkStart w:id="135" w:name="_Ref163839322"/>
      <w:bookmarkStart w:id="136" w:name="_Toc165641152"/>
      <w:r>
        <w:t>Figure 4.</w:t>
      </w:r>
      <w:r>
        <w:fldChar w:fldCharType="begin"/>
      </w:r>
      <w:r>
        <w:instrText xml:space="preserve"> SEQ Figure \* ARABIC </w:instrText>
      </w:r>
      <w:r>
        <w:fldChar w:fldCharType="separate"/>
      </w:r>
      <w:r>
        <w:rPr>
          <w:noProof/>
        </w:rPr>
        <w:t>15</w:t>
      </w:r>
      <w:r>
        <w:fldChar w:fldCharType="end"/>
      </w:r>
      <w:bookmarkEnd w:id="135"/>
      <w:r>
        <w:t>: Comparison of the ideal recycling scenario with individual recycling and pre-recycle results</w:t>
      </w:r>
      <w:bookmarkEnd w:id="136"/>
    </w:p>
    <w:p w14:paraId="063329C9" w14:textId="2FEBF8E7" w:rsidR="002249C8" w:rsidRDefault="002249C8" w:rsidP="002249C8">
      <w:r>
        <w:t xml:space="preserve">The synergized results of recycling both hydrogen and ethylene show notable improvements over the other recycling and the pre-recycling scenarios in all categories except toluene output. However, the improvements in the benzene outweigh the toluene losses. Most notably, the improvements in selectivity and power </w:t>
      </w:r>
      <w:r w:rsidR="0020124E">
        <w:t>are</w:t>
      </w:r>
      <w:r>
        <w:t xml:space="preserve"> made with no significant change in emissions. </w:t>
      </w:r>
    </w:p>
    <w:p w14:paraId="73D6B1CC" w14:textId="77777777" w:rsidR="002249C8" w:rsidRDefault="002249C8" w:rsidP="002249C8">
      <w:r>
        <w:t>Final takeaways from the recycling models are as follows:</w:t>
      </w:r>
    </w:p>
    <w:p w14:paraId="0E6FDEA4" w14:textId="77777777" w:rsidR="002249C8" w:rsidRDefault="002249C8" w:rsidP="002249C8">
      <w:pPr>
        <w:pStyle w:val="ListParagraph"/>
        <w:numPr>
          <w:ilvl w:val="0"/>
          <w:numId w:val="13"/>
        </w:numPr>
        <w:jc w:val="left"/>
      </w:pPr>
      <w:r>
        <w:t xml:space="preserve">If only hydrogen or ethylene could be recycled, ethylene takes priority since the </w:t>
      </w:r>
      <w:proofErr w:type="gramStart"/>
      <w:r>
        <w:t>aromatics</w:t>
      </w:r>
      <w:proofErr w:type="gramEnd"/>
      <w:r>
        <w:t xml:space="preserve"> improvement is more valuable than the power improvement</w:t>
      </w:r>
    </w:p>
    <w:p w14:paraId="74BCF30C" w14:textId="77777777" w:rsidR="002249C8" w:rsidRDefault="002249C8" w:rsidP="002249C8">
      <w:pPr>
        <w:pStyle w:val="ListParagraph"/>
        <w:numPr>
          <w:ilvl w:val="0"/>
          <w:numId w:val="13"/>
        </w:numPr>
        <w:jc w:val="left"/>
      </w:pPr>
      <w:r>
        <w:t>The ideal recycling scenario with maximum benzene selectively and the ideal balance of improved power density and mitigation of emissions occurs when both ethylene and hydrogen can be fully recycled into the stream</w:t>
      </w:r>
    </w:p>
    <w:p w14:paraId="0FC4F96A" w14:textId="77777777" w:rsidR="002249C8" w:rsidRDefault="002249C8" w:rsidP="002249C8">
      <w:pPr>
        <w:pStyle w:val="ListParagraph"/>
        <w:numPr>
          <w:ilvl w:val="1"/>
          <w:numId w:val="13"/>
        </w:numPr>
        <w:jc w:val="left"/>
      </w:pPr>
      <w:r>
        <w:t>Benzene selectivity increases by nearly 12% in ideal recycling conditions.</w:t>
      </w:r>
    </w:p>
    <w:p w14:paraId="12A11A46" w14:textId="77777777" w:rsidR="002249C8" w:rsidRDefault="002249C8" w:rsidP="002249C8">
      <w:pPr>
        <w:pStyle w:val="ListParagraph"/>
        <w:numPr>
          <w:ilvl w:val="0"/>
          <w:numId w:val="13"/>
        </w:numPr>
        <w:jc w:val="left"/>
      </w:pPr>
      <w:r>
        <w:t>Recycling streams cannot improve the emissions, since these are mostly determined by the water output</w:t>
      </w:r>
      <w:r w:rsidRPr="00C56DB1">
        <w:t xml:space="preserve"> </w:t>
      </w:r>
    </w:p>
    <w:p w14:paraId="49799CD6" w14:textId="4888BEAF" w:rsidR="002249C8" w:rsidRPr="00DA25C4" w:rsidRDefault="002249C8" w:rsidP="002249C8">
      <w:pPr>
        <w:pStyle w:val="ListParagraph"/>
        <w:numPr>
          <w:ilvl w:val="0"/>
          <w:numId w:val="13"/>
        </w:numPr>
        <w:jc w:val="left"/>
      </w:pPr>
      <w:r>
        <w:t xml:space="preserve">The </w:t>
      </w:r>
      <w:proofErr w:type="gramStart"/>
      <w:r>
        <w:t>final results</w:t>
      </w:r>
      <w:proofErr w:type="gramEnd"/>
      <w:r>
        <w:t xml:space="preserve"> of the basic, non-recycling PCFC exhibit marked improvements in the fuel conversion over the FBR model. It is also anticipated that catalyst regeneration will be largely mitigated in the PCFC, which is significant as the FBR required regeneration every six hours </w:t>
      </w:r>
      <w:r>
        <w:fldChar w:fldCharType="begin"/>
      </w:r>
      <w:r w:rsidR="00CA7A9D">
        <w:instrText xml:space="preserve"> ADDIN ZOTERO_ITEM CSL_CITATION {"citationID":"akesto7ruh","properties":{"formattedCitation":"[65]","plainCitation":"[65]","noteIndex":0},"citationItems":[{"id":851,"uris":["http://zotero.org/users/12063231/items/HXBJX4RZ"],"itemData":{"id":851,"type":"article-journal","container-title":"Nature Communications","title":"Direct conversion of methane to aromatics and hydrogen via a heterogeneous trimetallic synergistic catalyst","volume":"Accepted","author":[{"family":"Zhu","given":"P"},{"family":"Bian","given":"W"},{"family":"Liu","given":"B"},{"family":"Deng","given":"H"},{"family":"Wang","given":"L"},{"family":"Huang","given":"X"},{"family":"Spence","given":"S"},{"family":"Lin","given":"F"},{"family":"Duan","given":"C"},{"family":"Ding","given":"P"},{"family":"Dong","given":"P"},{"family":"Ding H","given":""}],"issued":{"date-parts":[["2024"]]}}}],"schema":"https://github.com/citation-style-language/schema/raw/master/csl-citation.json"} </w:instrText>
      </w:r>
      <w:r>
        <w:fldChar w:fldCharType="separate"/>
      </w:r>
      <w:r w:rsidR="00CA7A9D" w:rsidRPr="00CA7A9D">
        <w:rPr>
          <w:rFonts w:ascii="Aptos" w:hAnsi="Aptos"/>
        </w:rPr>
        <w:t>[65]</w:t>
      </w:r>
      <w:r>
        <w:fldChar w:fldCharType="end"/>
      </w:r>
      <w:r>
        <w:t xml:space="preserve">, but this comes at the cost of increased emissions in the PCFC </w:t>
      </w:r>
    </w:p>
    <w:p w14:paraId="1F58EB46" w14:textId="77777777" w:rsidR="002249C8" w:rsidRDefault="002249C8">
      <w:pPr>
        <w:spacing w:after="160" w:line="259" w:lineRule="auto"/>
        <w:ind w:firstLine="0"/>
        <w:jc w:val="left"/>
        <w:rPr>
          <w:rFonts w:asciiTheme="majorHAnsi" w:eastAsiaTheme="majorEastAsia" w:hAnsiTheme="majorHAnsi" w:cstheme="majorBidi"/>
          <w:b/>
          <w:sz w:val="36"/>
          <w:szCs w:val="40"/>
        </w:rPr>
      </w:pPr>
      <w:r>
        <w:br w:type="page"/>
      </w:r>
    </w:p>
    <w:p w14:paraId="674D155C" w14:textId="77777777" w:rsidR="002249C8" w:rsidRDefault="002249C8" w:rsidP="00B927C8">
      <w:pPr>
        <w:pStyle w:val="Heading1"/>
      </w:pPr>
    </w:p>
    <w:p w14:paraId="5B06C1CE" w14:textId="58C3B6EA" w:rsidR="00B927C8" w:rsidRDefault="00B927C8" w:rsidP="00B927C8">
      <w:pPr>
        <w:pStyle w:val="Heading1"/>
      </w:pPr>
      <w:bookmarkStart w:id="137" w:name="_Toc165641095"/>
      <w:r>
        <w:t>Chapter 5: Evaluation and Comparison</w:t>
      </w:r>
      <w:bookmarkEnd w:id="137"/>
    </w:p>
    <w:p w14:paraId="2D45F226" w14:textId="77777777" w:rsidR="00B927C8" w:rsidRPr="00C20012" w:rsidRDefault="00B927C8" w:rsidP="00B927C8"/>
    <w:p w14:paraId="6F676E60" w14:textId="574C6F32" w:rsidR="00B927C8" w:rsidRPr="001746A8" w:rsidRDefault="00B927C8" w:rsidP="00B927C8">
      <w:r w:rsidRPr="001746A8">
        <w:t xml:space="preserve">The aim of this </w:t>
      </w:r>
      <w:r>
        <w:t>chapter</w:t>
      </w:r>
      <w:r w:rsidRPr="001746A8">
        <w:t xml:space="preserve"> is to ascertain the viability of implementing a cogenerating protonic ceramic modular reactor to utilize currently stranded/flared natural gas as </w:t>
      </w:r>
      <w:r>
        <w:t>shown in Figure 1.2, as well as compare it to existing technologies.</w:t>
      </w:r>
      <w:r w:rsidRPr="001746A8">
        <w:t xml:space="preserve"> </w:t>
      </w:r>
      <w:r>
        <w:t xml:space="preserve">This </w:t>
      </w:r>
      <w:r w:rsidR="00E9792B">
        <w:t>is</w:t>
      </w:r>
      <w:r>
        <w:t xml:space="preserve"> accomplished by a </w:t>
      </w:r>
      <w:r w:rsidRPr="001746A8">
        <w:t>compar</w:t>
      </w:r>
      <w:r>
        <w:t>ison of the results from Chapter 4</w:t>
      </w:r>
      <w:r w:rsidRPr="001746A8">
        <w:t xml:space="preserve"> with competing technologies like traditional power plants, gas to liquids (GTL) plants and Fischer-Tropsch Synthesis (FTS) facilities.  </w:t>
      </w:r>
    </w:p>
    <w:p w14:paraId="6E023928" w14:textId="77777777" w:rsidR="00B927C8" w:rsidRPr="001746A8" w:rsidRDefault="00B927C8" w:rsidP="00B927C8">
      <w:pPr>
        <w:pStyle w:val="Heading2"/>
      </w:pPr>
      <w:bookmarkStart w:id="138" w:name="_Toc165641096"/>
      <w:r>
        <w:t>5.1 Methods</w:t>
      </w:r>
      <w:bookmarkEnd w:id="138"/>
    </w:p>
    <w:p w14:paraId="66579D1A" w14:textId="77777777" w:rsidR="00B927C8" w:rsidRDefault="00B927C8" w:rsidP="00B927C8">
      <w:pPr>
        <w:pStyle w:val="Heading3"/>
      </w:pPr>
      <w:bookmarkStart w:id="139" w:name="_Toc165641097"/>
      <w:r>
        <w:t>5.1.1 Evaluation Overview</w:t>
      </w:r>
      <w:bookmarkEnd w:id="139"/>
    </w:p>
    <w:p w14:paraId="4A32EC1A" w14:textId="37D18C7B" w:rsidR="00B927C8" w:rsidRPr="001746A8" w:rsidRDefault="00B927C8" w:rsidP="00B927C8">
      <w:r>
        <w:t>T</w:t>
      </w:r>
      <w:r w:rsidRPr="001746A8">
        <w:t xml:space="preserve">hree pillars of analysis for industrial applications are thermodynamic (i.e. efficiencies), environmental, and economical </w:t>
      </w:r>
      <w:r w:rsidRPr="001746A8">
        <w:fldChar w:fldCharType="begin"/>
      </w:r>
      <w:r w:rsidR="00CA7A9D">
        <w:instrText xml:space="preserve"> ADDIN ZOTERO_ITEM CSL_CITATION {"citationID":"t5UcY02q","properties":{"formattedCitation":"[100]","plainCitation":"[100]","noteIndex":0},"citationItems":[{"id":79,"uris":["http://zotero.org/users/12063231/items/NY6F2BAG"],"itemData":{"id":79,"type":"chapter","container-title":"Future Grid-Scale Energy Storage Solutions","ISBN":"978-0-323-90786-6","language":"en","note":"DOI: 10.1016/B978-0-323-90786-6.00003-0","page":"621-646","publisher":"Elsevier","source":"DOI.org (Crossref)","title":"Power-to-X","URL":"https://linkinghub.elsevier.com/retrieve/pii/B9780323907866000030","author":[{"family":"Sharifi","given":"Shakiba"},{"family":"Razmi","given":"Amir Reza"},{"family":"Nabat","given":"Mohammad Hossein"},{"family":"Liu","given":"J. Jay"},{"family":"Arabkoohsar","given":"Ahmad"},{"family":"Shahbakhti","given":"Mahdi"}],"accessed":{"date-parts":[["2023",9,8]]},"issued":{"date-parts":[["2023"]]}}}],"schema":"https://github.com/citation-style-language/schema/raw/master/csl-citation.json"} </w:instrText>
      </w:r>
      <w:r w:rsidRPr="001746A8">
        <w:fldChar w:fldCharType="separate"/>
      </w:r>
      <w:r w:rsidR="00CA7A9D" w:rsidRPr="00CA7A9D">
        <w:rPr>
          <w:rFonts w:ascii="Aptos" w:hAnsi="Aptos"/>
        </w:rPr>
        <w:t>[100]</w:t>
      </w:r>
      <w:r w:rsidRPr="001746A8">
        <w:fldChar w:fldCharType="end"/>
      </w:r>
      <w:r w:rsidRPr="001746A8">
        <w:t xml:space="preserve">. As such, the suggested technology and its expected capabilities are compared with competing technologies </w:t>
      </w:r>
      <w:proofErr w:type="gramStart"/>
      <w:r w:rsidRPr="001746A8">
        <w:t>with regard to</w:t>
      </w:r>
      <w:proofErr w:type="gramEnd"/>
      <w:r w:rsidRPr="001746A8">
        <w:t xml:space="preserve"> these three foundational backgrounds, with a heavy emphasis on economic viability. </w:t>
      </w:r>
    </w:p>
    <w:p w14:paraId="1E986C60" w14:textId="132C5437" w:rsidR="00B927C8" w:rsidRPr="001746A8" w:rsidRDefault="00B927C8" w:rsidP="00B927C8">
      <w:r w:rsidRPr="001746A8">
        <w:t>To ascertain whether the PC</w:t>
      </w:r>
      <w:r>
        <w:t>FC</w:t>
      </w:r>
      <w:r w:rsidRPr="001746A8">
        <w:t xml:space="preserve"> technology is competitive, the </w:t>
      </w:r>
      <w:r>
        <w:t>modeled</w:t>
      </w:r>
      <w:r w:rsidRPr="001746A8">
        <w:t xml:space="preserve"> status of the PC</w:t>
      </w:r>
      <w:r>
        <w:t>FC</w:t>
      </w:r>
      <w:r w:rsidRPr="001746A8">
        <w:t xml:space="preserve"> is compared to several commonly practiced techniques. These consist of GTL technology, FTS facilities, BTX plants, and power production technologies like natural gas power plants and alternative energy production methods. GTL is used as a case study and comparison throughout this document since the primary purpose of GTL processes is to produce useful fuels, hydrocarbons, and chemicals from natural gas and related feedstocks. One of the most common and mature GTL technologies for methane conversion is FTS. FTS plants take a hydrogen and carbon monoxide mixture, referred to as syngas, and convert it into hydrocarbon products like naphtha, light gases, gasoline, diesel, and heavy waxes </w:t>
      </w:r>
      <w:r w:rsidRPr="001746A8">
        <w:fldChar w:fldCharType="begin"/>
      </w:r>
      <w:r w:rsidR="00CA7A9D">
        <w:instrText xml:space="preserve"> ADDIN ZOTERO_ITEM CSL_CITATION {"citationID":"kB8T3AJd","properties":{"formattedCitation":"[100]","plainCitation":"[100]","noteIndex":0},"citationItems":[{"id":79,"uris":["http://zotero.org/users/12063231/items/NY6F2BAG"],"itemData":{"id":79,"type":"chapter","container-title":"Future Grid-Scale Energy Storage Solutions","ISBN":"978-0-323-90786-6","language":"en","note":"DOI: 10.1016/B978-0-323-90786-6.00003-0","page":"621-646","publisher":"Elsevier","source":"DOI.org (Crossref)","title":"Power-to-X","URL":"https://linkinghub.elsevier.com/retrieve/pii/B9780323907866000030","author":[{"family":"Sharifi","given":"Shakiba"},{"family":"Razmi","given":"Amir Reza"},{"family":"Nabat","given":"Mohammad Hossein"},{"family":"Liu","given":"J. Jay"},{"family":"Arabkoohsar","given":"Ahmad"},{"family":"Shahbakhti","given":"Mahdi"}],"accessed":{"date-parts":[["2023",9,8]]},"issued":{"date-parts":[["2023"]]}}}],"schema":"https://github.com/citation-style-language/schema/raw/master/csl-citation.json"} </w:instrText>
      </w:r>
      <w:r w:rsidRPr="001746A8">
        <w:fldChar w:fldCharType="separate"/>
      </w:r>
      <w:r w:rsidR="00CA7A9D" w:rsidRPr="00CA7A9D">
        <w:rPr>
          <w:rFonts w:ascii="Aptos" w:hAnsi="Aptos"/>
        </w:rPr>
        <w:t>[100]</w:t>
      </w:r>
      <w:r w:rsidRPr="001746A8">
        <w:fldChar w:fldCharType="end"/>
      </w:r>
      <w:r w:rsidRPr="001746A8">
        <w:t xml:space="preserve">. Because the specific desired product for the PCER system is aromatics, BTX plants serve as useful benchmarks for conversion and chemical production </w:t>
      </w:r>
      <w:r w:rsidR="00416C4F" w:rsidRPr="001746A8">
        <w:t>rates and</w:t>
      </w:r>
      <w:r w:rsidRPr="001746A8">
        <w:t xml:space="preserve"> are also used in the comparison study.</w:t>
      </w:r>
    </w:p>
    <w:p w14:paraId="58826AED" w14:textId="0F51F9C7" w:rsidR="00B927C8" w:rsidRDefault="00B927C8" w:rsidP="00B927C8">
      <w:r w:rsidRPr="001746A8">
        <w:t xml:space="preserve">As this is the first attempt at a system-level integration cost analysis of a </w:t>
      </w:r>
      <w:r>
        <w:t>PCFC utilizing MDA</w:t>
      </w:r>
      <w:r w:rsidRPr="001746A8">
        <w:t xml:space="preserve">, a model </w:t>
      </w:r>
      <w:r w:rsidR="00EB6FFF">
        <w:t>is</w:t>
      </w:r>
      <w:r w:rsidRPr="001746A8">
        <w:t xml:space="preserve"> constructed in Aspen-HYSYS to </w:t>
      </w:r>
      <w:r>
        <w:t>analyze the balance of plant costs and expectations of integrating a PCFC at a flaring site</w:t>
      </w:r>
      <w:r w:rsidRPr="001746A8">
        <w:t>.</w:t>
      </w:r>
      <w:r>
        <w:t xml:space="preserve"> Aspen-HYSYS is an incredibly useful process engineering software capable of easily modeling industrial applications, as well as presenting capital and operational cost estimations with its in-house economic analyzer tool.</w:t>
      </w:r>
      <w:r w:rsidRPr="001746A8">
        <w:t xml:space="preserve"> </w:t>
      </w:r>
      <w:r>
        <w:t xml:space="preserve">The economic analyzer within Aspen-HYSYS considers many factors including direct field costs, and both direct and indirect non-field costs. Direct field costs include factors such as equipment, piping, civil, instrumentation/controls, electrical equipment, insulation, and paint. Indirect field costs consider engineering, start-up, and construction expenses like scaffolding, rentals, and insurance. Indirect non-field costs include freight, contingencies, permits, taxes, and other project costs </w:t>
      </w:r>
      <w:r>
        <w:fldChar w:fldCharType="begin"/>
      </w:r>
      <w:r w:rsidR="00CA7A9D">
        <w:instrText xml:space="preserve"> ADDIN ZOTERO_ITEM CSL_CITATION {"citationID":"a1ug9l0m1fv","properties":{"formattedCitation":"[101]","plainCitation":"[101]","noteIndex":0},"citationItems":[{"id":870,"uris":["http://zotero.org/users/12063231/items/DXZ7HE5Y"],"itemData":{"id":870,"type":"webpage","abstract":"The new feature will be of interest to many HYSYS users due to its functionality in reasonable cost estimation of a project through a simple system an...","container-title":"Process Ecology","language":"en-ca","title":"Economic Evaluation using Aspen HYSYS","URL":"https://processecology.com/articles/economic-evaluation-using-aspen-hysys","author":[{"family":"Hajipour","given":"Samaneh"}],"accessed":{"date-parts":[["2024",4,21]]},"issued":{"date-parts":[["2014",6,26]]}}}],"schema":"https://github.com/citation-style-language/schema/raw/master/csl-citation.json"} </w:instrText>
      </w:r>
      <w:r>
        <w:fldChar w:fldCharType="separate"/>
      </w:r>
      <w:r w:rsidR="00CA7A9D" w:rsidRPr="00CA7A9D">
        <w:rPr>
          <w:rFonts w:ascii="Aptos" w:hAnsi="Aptos"/>
        </w:rPr>
        <w:t>[101]</w:t>
      </w:r>
      <w:r>
        <w:fldChar w:fldCharType="end"/>
      </w:r>
      <w:r>
        <w:t>. Overall, Aspen-HYSYS has the capability to provide a very effective benchmark prediction for new industrial system costs.</w:t>
      </w:r>
    </w:p>
    <w:p w14:paraId="1E4CEDF3" w14:textId="645FD14A" w:rsidR="00B927C8" w:rsidRDefault="00B927C8" w:rsidP="00B927C8">
      <w:r>
        <w:t>This Aspen-HYSYS model is used in tandem with the EES model to predict the impact of the PCFC system on the flare site. The data and background for the model is generated via a case study wherein the PCFC system is hypothetically implemented at a remote flaring site in North Dakota’s Bakken basin. The economic assessment performed here is relatively high-level</w:t>
      </w:r>
      <w:r w:rsidRPr="001746A8">
        <w:t>,</w:t>
      </w:r>
      <w:r>
        <w:t xml:space="preserve"> as a more detailed breakdown </w:t>
      </w:r>
      <w:r w:rsidR="00EB6FFF">
        <w:t>was</w:t>
      </w:r>
      <w:r>
        <w:t xml:space="preserve"> not necessary to reach early conclusions </w:t>
      </w:r>
      <w:r w:rsidR="007431F4">
        <w:t>about</w:t>
      </w:r>
      <w:r>
        <w:t xml:space="preserve"> the necessary improvements.</w:t>
      </w:r>
    </w:p>
    <w:p w14:paraId="085153AE" w14:textId="77777777" w:rsidR="00B927C8" w:rsidRDefault="00B927C8" w:rsidP="00B927C8">
      <w:pPr>
        <w:pStyle w:val="Heading3"/>
      </w:pPr>
      <w:bookmarkStart w:id="140" w:name="_Toc165641098"/>
      <w:r>
        <w:t>5.1.2 Aspen-HYSYS Modeled Use Case</w:t>
      </w:r>
      <w:bookmarkEnd w:id="140"/>
    </w:p>
    <w:p w14:paraId="3303E9DE" w14:textId="0A3E3EF1" w:rsidR="00B927C8" w:rsidRPr="001746A8" w:rsidRDefault="00B927C8" w:rsidP="00B927C8">
      <w:r>
        <w:t xml:space="preserve">Data for the use case is gathered from public wellhead data and previous use case studies that have used a similar location as an example. In this study, the selected site flares an average of 209,000 </w:t>
      </w:r>
      <w:proofErr w:type="spellStart"/>
      <w:r>
        <w:t>scf</w:t>
      </w:r>
      <w:proofErr w:type="spellEnd"/>
      <w:r>
        <w:t xml:space="preserve">/d of natural gas </w:t>
      </w:r>
      <w:r>
        <w:fldChar w:fldCharType="begin"/>
      </w:r>
      <w:r w:rsidR="00CA7A9D">
        <w:instrText xml:space="preserve"> ADDIN ZOTERO_ITEM CSL_CITATION {"citationID":"a1e0uo1a7ea","properties":{"formattedCitation":"[102]","plainCitation":"[102]","noteIndex":0},"citationItems":[{"id":874,"uris":["http://zotero.org/users/12063231/items/FWYXWTWY"],"itemData":{"id":874,"type":"document","publisher":"Duke University","title":"On-Site Flare Gas Utilization: Generating Electricity and Flue Gas for EOR","URL":"https://sites.duke.edu/adhoc_energy__environment_/files/2018/08/Flare-Gas_Flue-Gas-Poster.pdf","author":[{"family":"Goyne","given":"Javob"},{"family":"Holten","given":"Victor"},{"family":"Wang","given":"Rui"}],"issued":{"date-parts":[["2018"]]}}}],"schema":"https://github.com/citation-style-language/schema/raw/master/csl-citation.json"} </w:instrText>
      </w:r>
      <w:r>
        <w:fldChar w:fldCharType="separate"/>
      </w:r>
      <w:r w:rsidR="00CA7A9D" w:rsidRPr="00CA7A9D">
        <w:rPr>
          <w:rFonts w:ascii="Aptos" w:hAnsi="Aptos"/>
        </w:rPr>
        <w:t>[102]</w:t>
      </w:r>
      <w:r>
        <w:fldChar w:fldCharType="end"/>
      </w:r>
      <w:r>
        <w:t>. I</w:t>
      </w:r>
      <w:r w:rsidRPr="001746A8">
        <w:t xml:space="preserve">nitial gas conditions </w:t>
      </w:r>
      <w:r w:rsidR="0020124E">
        <w:t>are</w:t>
      </w:r>
      <w:r w:rsidRPr="001746A8">
        <w:t xml:space="preserve"> taken from arbitrary values that meet the equipment conditions outlined in ISO 10423:2003, also titled API 6A: Specification for Wellhead and Christmas Tree Equipment </w:t>
      </w:r>
      <w:r w:rsidRPr="001746A8">
        <w:fldChar w:fldCharType="begin"/>
      </w:r>
      <w:r w:rsidR="00CA7A9D">
        <w:instrText xml:space="preserve"> ADDIN ZOTERO_ITEM CSL_CITATION {"citationID":"aav8oi39q5","properties":{"formattedCitation":"[103]","plainCitation":"[103]","noteIndex":0},"citationItems":[{"id":39,"uris":["http://zotero.org/users/12063231/items/LWWUJLFP"],"itemData":{"id":39,"type":"book","call-number":"ISO 10423:2003","edition":"Nineteenth Edition","language":"en","source":"Zotero","title":"API 6A: Specification for Wellhead and Christmas Tree Equipment","URL":"https://law.resource.org/pub/us/cfr/ibr/002/api.6a.2004.pdf","author":[{"family":"American Petroleum Institute","given":""}]}}],"schema":"https://github.com/citation-style-language/schema/raw/master/csl-citation.json"} </w:instrText>
      </w:r>
      <w:r w:rsidRPr="001746A8">
        <w:fldChar w:fldCharType="separate"/>
      </w:r>
      <w:r w:rsidR="00CA7A9D" w:rsidRPr="00CA7A9D">
        <w:rPr>
          <w:rFonts w:ascii="Aptos" w:hAnsi="Aptos"/>
        </w:rPr>
        <w:t>[103]</w:t>
      </w:r>
      <w:r w:rsidRPr="001746A8">
        <w:fldChar w:fldCharType="end"/>
      </w:r>
      <w:r w:rsidRPr="001746A8">
        <w:t xml:space="preserve">. In addition, the composition of the gas </w:t>
      </w:r>
      <w:r w:rsidR="00EB6FFF">
        <w:t>is</w:t>
      </w:r>
      <w:r w:rsidRPr="001746A8">
        <w:t xml:space="preserve"> selected from arbitrary values provided by the standard ranges given in </w:t>
      </w:r>
      <w:proofErr w:type="spellStart"/>
      <w:r w:rsidRPr="001746A8">
        <w:t>Siazik</w:t>
      </w:r>
      <w:proofErr w:type="spellEnd"/>
      <w:r w:rsidRPr="001746A8">
        <w:t xml:space="preserve"> and Malcho’s work </w:t>
      </w:r>
      <w:r w:rsidRPr="001746A8">
        <w:fldChar w:fldCharType="begin"/>
      </w:r>
      <w:r w:rsidR="00CA7A9D">
        <w:instrText xml:space="preserve"> ADDIN ZOTERO_ITEM CSL_CITATION {"citationID":"a11fktf73bd","properties":{"formattedCitation":"[104]","plainCitation":"[104]","noteIndex":0},"citationItems":[{"id":28,"uris":["http://zotero.org/users/12063231/items/V3UWCWDF"],"itemData":{"id":28,"type":"article-journal","abstract":"Hydrates form a potential source of energy which can be used in the coming decades. Hydrates of natural gas make up the interesting features of saving energy. Storage of natural gas, methane in hydrates is particularly advantageous in terms of storage capacity, but also as the aspect of security of gas storage. The gas stored in this case, it is possible at lower temperatures and pressures as compared to other storage technologies. To one cubic meter of hydrate can store approximately 150-170 cubic meters of natural gas according to the thermobaric conditions and the composition of the gas. Article deals with the conditions of hydrates formation and design experimental facility.","collection-title":"12th international scientific conference of young scientists on sustainable, modern and safe transport","container-title":"Procedia Engineering","DOI":"10.1016/j.proeng.2017.06.135","ISSN":"1877-7058","journalAbbreviation":"Procedia Engineering","page":"782-787","source":"ScienceDirect","title":"Accumulation of Primary Energy Into Natural Gas Hydrates","volume":"192","author":[{"family":"Siažik","given":"Ján"},{"family":"Malcho","given":"Milan"}],"issued":{"date-parts":[["2017",1,1]]}}}],"schema":"https://github.com/citation-style-language/schema/raw/master/csl-citation.json"} </w:instrText>
      </w:r>
      <w:r w:rsidRPr="001746A8">
        <w:fldChar w:fldCharType="separate"/>
      </w:r>
      <w:r w:rsidR="00CA7A9D" w:rsidRPr="00CA7A9D">
        <w:rPr>
          <w:rFonts w:ascii="Aptos" w:hAnsi="Aptos"/>
        </w:rPr>
        <w:t>[104]</w:t>
      </w:r>
      <w:r w:rsidRPr="001746A8">
        <w:fldChar w:fldCharType="end"/>
      </w:r>
      <w:r w:rsidRPr="001746A8">
        <w:t xml:space="preserve"> and values provided in other natural gas processing models </w:t>
      </w:r>
      <w:r w:rsidRPr="001746A8">
        <w:fldChar w:fldCharType="begin"/>
      </w:r>
      <w:r w:rsidR="00CA7A9D">
        <w:instrText xml:space="preserve"> ADDIN ZOTERO_ITEM CSL_CITATION {"citationID":"a5n20ca4a","properties":{"formattedCitation":"[105], [106]","plainCitation":"[105], [106]","noteIndex":0},"citationItems":[{"id":27,"uris":["http://zotero.org/users/12063231/items/JM5LY2W9"],"itemData":{"id":27,"type":"motion_picture","abstract":"This video is about the simulation of the Natural Gas Sweetening Process with diethanolamine (DEA) in Aspen DEA. The major units of the process are:\n\n1. Absorber\n2. Distillation Column (Stripper)\n3. Shell and tube heat exchanger\n4. Set\n\n@ 00:12 Component list and property package\n@ 00:54 Natural gas feed stream\n@ 02:12 Amine stream and absorber setup\n@ 06:39 Amine regenrator column\n@ 08:36 Lean amine recyle\n\nTo read about the amine sweetening process please visit. https://www.chemiopedia.com/post/amin...\n\n\nPlease like and follow us on: \nFacebook: https://www.facebook.com/Chemiopedia\nInstagram: https://www.instagram.com/chemiopedia\nLinkedIn: https://www.linkedin.com/company/chem...\n\nJoin the Facebook group for interactive learning: https://www.facebook.com/groups/36392...\n\nFor more updates please visit: www.chemiopedia.com","dimensions":"12:06","source":"YouTube","title":"Natural Gas Sweetening Process with DEA || Aspen HYSYS","URL":"https://www.youtube.com/watch?v=gXU2d0f4IeA","director":[{"literal":"Chemiopedia"}],"accessed":{"date-parts":[["2023",10,18]]},"issued":{"date-parts":[["2021",11,18]]}}},{"id":26,"uris":["http://zotero.org/users/12063231/items/NNZHZKL9"],"itemData":{"id":26,"type":"motion_picture","abstract":"This tutorial is about the simulation of the Amine Sweetening Unit with the MDEA solvent. The units involves are absorber, strippers, pressure vessels, heat exchanger, and pumps.\n\nTo read about the amine sweetening process please visit. https://www.chemiopedia.com/post/amin...\n\nPlease like and follow us on: \nFacebook: https://www.facebook.com/Chemiopedia\nInstagram: https://www.instagram.com/chemiopedia\nLinkedIn: https://www.linkedin.com/company/chem...\n\nJoin the Facebook group for interactive learning: https://www.facebook.com/groups/36392...\n\nFor more updates please visit: www.chemiopedia.com","dimensions":"13:03","source":"YouTube","title":"Amine Sweetening Unit with MDEA || Aspen HYSYS","URL":"https://www.youtube.com/watch?v=G9kyi9OKVKg","director":[{"literal":"Chemiopedia"}],"accessed":{"date-parts":[["2023",10,18]]},"issued":{"date-parts":[["2020",8,31]]}}}],"schema":"https://github.com/citation-style-language/schema/raw/master/csl-citation.json"} </w:instrText>
      </w:r>
      <w:r w:rsidRPr="001746A8">
        <w:fldChar w:fldCharType="separate"/>
      </w:r>
      <w:r w:rsidR="00CA7A9D" w:rsidRPr="00CA7A9D">
        <w:rPr>
          <w:rFonts w:ascii="Aptos" w:hAnsi="Aptos"/>
        </w:rPr>
        <w:t>[105], [106]</w:t>
      </w:r>
      <w:r w:rsidRPr="001746A8">
        <w:fldChar w:fldCharType="end"/>
      </w:r>
      <w:r w:rsidRPr="001746A8">
        <w:t>. The exact composition from the beginning to the end of the model is provided in</w:t>
      </w:r>
      <w:r>
        <w:t xml:space="preserve"> </w:t>
      </w:r>
      <w:r>
        <w:fldChar w:fldCharType="begin"/>
      </w:r>
      <w:r>
        <w:instrText xml:space="preserve"> REF _Ref164645320 \h </w:instrText>
      </w:r>
      <w:r>
        <w:fldChar w:fldCharType="separate"/>
      </w:r>
      <w:r>
        <w:t>Table 5.</w:t>
      </w:r>
      <w:r>
        <w:rPr>
          <w:noProof/>
        </w:rPr>
        <w:t>1</w:t>
      </w:r>
      <w:r>
        <w:fldChar w:fldCharType="end"/>
      </w:r>
      <w:r w:rsidRPr="001746A8">
        <w:t>.</w:t>
      </w:r>
      <w:r>
        <w:t xml:space="preserve"> The result from this composition and average flare rate yields a mass flow rate of 177 kg/h through the EES and Aspen-HYSYS models.</w:t>
      </w:r>
      <w:r w:rsidRPr="001746A8">
        <w:fldChar w:fldCharType="begin"/>
      </w:r>
      <w:r w:rsidRPr="001746A8">
        <w:instrText xml:space="preserve"> LINK Excel.Sheet.12 "https://sooners-my.sharepoint.com/personal/jaden_norman_ou_edu/Documents/School/Kazempoor/Week 13-14 TEA Questions/TEA.xlsx" compositions!R1C1:R16C4 \a \f 5 \h  \* MERGEFORMAT </w:instrText>
      </w:r>
      <w:r w:rsidRPr="001746A8">
        <w:fldChar w:fldCharType="separate"/>
      </w:r>
    </w:p>
    <w:p w14:paraId="382FB135" w14:textId="77777777" w:rsidR="00B927C8" w:rsidRPr="001746A8" w:rsidRDefault="00B927C8" w:rsidP="00B927C8">
      <w:r w:rsidRPr="001746A8">
        <w:fldChar w:fldCharType="end"/>
      </w:r>
    </w:p>
    <w:p w14:paraId="18AE03A4" w14:textId="77777777" w:rsidR="00B927C8" w:rsidRDefault="00B927C8" w:rsidP="00B927C8">
      <w:pPr>
        <w:pStyle w:val="Caption"/>
        <w:keepNext/>
        <w:ind w:firstLine="0"/>
      </w:pPr>
      <w:bookmarkStart w:id="141" w:name="_Ref164645320"/>
      <w:bookmarkStart w:id="142" w:name="_Toc165641120"/>
      <w:r>
        <w:t>Table 5.</w:t>
      </w:r>
      <w:r>
        <w:fldChar w:fldCharType="begin"/>
      </w:r>
      <w:r>
        <w:instrText xml:space="preserve"> SEQ Table \* ARABIC </w:instrText>
      </w:r>
      <w:r>
        <w:fldChar w:fldCharType="separate"/>
      </w:r>
      <w:r>
        <w:rPr>
          <w:noProof/>
        </w:rPr>
        <w:t>1</w:t>
      </w:r>
      <w:r>
        <w:fldChar w:fldCharType="end"/>
      </w:r>
      <w:bookmarkEnd w:id="141"/>
      <w:r>
        <w:t>: Inlet molar concentration for Aspen-HYSYS model</w:t>
      </w:r>
      <w:bookmarkEnd w:id="142"/>
    </w:p>
    <w:tbl>
      <w:tblPr>
        <w:tblStyle w:val="TableGrid"/>
        <w:tblW w:w="4945" w:type="dxa"/>
        <w:jc w:val="center"/>
        <w:tblLook w:val="04A0" w:firstRow="1" w:lastRow="0" w:firstColumn="1" w:lastColumn="0" w:noHBand="0" w:noVBand="1"/>
      </w:tblPr>
      <w:tblGrid>
        <w:gridCol w:w="1523"/>
        <w:gridCol w:w="1759"/>
        <w:gridCol w:w="1663"/>
      </w:tblGrid>
      <w:tr w:rsidR="00B927C8" w:rsidRPr="00361A60" w14:paraId="6BBDF86C" w14:textId="77777777" w:rsidTr="00C77590">
        <w:trPr>
          <w:trHeight w:val="288"/>
          <w:jc w:val="center"/>
        </w:trPr>
        <w:tc>
          <w:tcPr>
            <w:tcW w:w="1523" w:type="dxa"/>
            <w:noWrap/>
            <w:hideMark/>
          </w:tcPr>
          <w:p w14:paraId="66CE65B2" w14:textId="77777777" w:rsidR="00B927C8" w:rsidRPr="00361A60" w:rsidRDefault="00B927C8" w:rsidP="00C77590">
            <w:pPr>
              <w:spacing w:line="240" w:lineRule="auto"/>
              <w:ind w:firstLine="0"/>
              <w:rPr>
                <w:rFonts w:eastAsia="Calibri" w:cs="Times New Roman"/>
              </w:rPr>
            </w:pPr>
          </w:p>
        </w:tc>
        <w:tc>
          <w:tcPr>
            <w:tcW w:w="1759" w:type="dxa"/>
            <w:noWrap/>
            <w:hideMark/>
          </w:tcPr>
          <w:p w14:paraId="17204392" w14:textId="77777777" w:rsidR="00B927C8" w:rsidRDefault="00B927C8" w:rsidP="00C77590">
            <w:pPr>
              <w:spacing w:line="240" w:lineRule="auto"/>
              <w:ind w:firstLine="0"/>
              <w:jc w:val="center"/>
              <w:rPr>
                <w:rFonts w:eastAsia="Calibri" w:cs="Times New Roman"/>
                <w:b/>
                <w:bCs/>
              </w:rPr>
            </w:pPr>
            <w:r w:rsidRPr="00361A60">
              <w:rPr>
                <w:rFonts w:eastAsia="Calibri" w:cs="Times New Roman"/>
                <w:b/>
                <w:bCs/>
              </w:rPr>
              <w:t>Common values</w:t>
            </w:r>
          </w:p>
          <w:p w14:paraId="4BCCECB7" w14:textId="77777777" w:rsidR="00B927C8" w:rsidRPr="00361A60" w:rsidRDefault="00B927C8" w:rsidP="00C77590">
            <w:pPr>
              <w:spacing w:line="240" w:lineRule="auto"/>
              <w:ind w:firstLine="0"/>
              <w:jc w:val="center"/>
              <w:rPr>
                <w:rFonts w:eastAsia="Calibri" w:cs="Times New Roman"/>
                <w:b/>
                <w:bCs/>
              </w:rPr>
            </w:pPr>
            <w:r>
              <w:rPr>
                <w:rFonts w:eastAsia="Calibri" w:cs="Times New Roman"/>
                <w:b/>
                <w:bCs/>
              </w:rPr>
              <w:t>(mol %)</w:t>
            </w:r>
          </w:p>
        </w:tc>
        <w:tc>
          <w:tcPr>
            <w:tcW w:w="1663" w:type="dxa"/>
            <w:noWrap/>
            <w:hideMark/>
          </w:tcPr>
          <w:p w14:paraId="0FA1F68F" w14:textId="77777777" w:rsidR="00B927C8" w:rsidRDefault="00B927C8" w:rsidP="00C77590">
            <w:pPr>
              <w:spacing w:line="240" w:lineRule="auto"/>
              <w:ind w:firstLine="0"/>
              <w:jc w:val="center"/>
              <w:rPr>
                <w:rFonts w:eastAsia="Calibri" w:cs="Times New Roman"/>
                <w:b/>
                <w:bCs/>
              </w:rPr>
            </w:pPr>
            <w:r>
              <w:rPr>
                <w:rFonts w:eastAsia="Calibri" w:cs="Times New Roman"/>
                <w:b/>
                <w:bCs/>
              </w:rPr>
              <w:t>Aspen-HYSYS Model</w:t>
            </w:r>
          </w:p>
          <w:p w14:paraId="537C89C4" w14:textId="77777777" w:rsidR="00B927C8" w:rsidRPr="00361A60" w:rsidRDefault="00B927C8" w:rsidP="00C77590">
            <w:pPr>
              <w:spacing w:line="240" w:lineRule="auto"/>
              <w:ind w:firstLine="0"/>
              <w:jc w:val="center"/>
              <w:rPr>
                <w:rFonts w:eastAsia="Calibri" w:cs="Times New Roman"/>
                <w:b/>
                <w:bCs/>
              </w:rPr>
            </w:pPr>
            <w:r>
              <w:rPr>
                <w:rFonts w:eastAsia="Calibri" w:cs="Times New Roman"/>
                <w:b/>
                <w:bCs/>
              </w:rPr>
              <w:t>(mol %)</w:t>
            </w:r>
          </w:p>
        </w:tc>
      </w:tr>
      <w:tr w:rsidR="00B927C8" w:rsidRPr="00361A60" w14:paraId="53B153C4" w14:textId="77777777" w:rsidTr="00C77590">
        <w:trPr>
          <w:trHeight w:val="288"/>
          <w:jc w:val="center"/>
        </w:trPr>
        <w:tc>
          <w:tcPr>
            <w:tcW w:w="1523" w:type="dxa"/>
            <w:noWrap/>
            <w:hideMark/>
          </w:tcPr>
          <w:p w14:paraId="71F0275D" w14:textId="77777777" w:rsidR="00B927C8" w:rsidRPr="00361A60" w:rsidRDefault="00B927C8" w:rsidP="00C77590">
            <w:pPr>
              <w:spacing w:line="240" w:lineRule="auto"/>
              <w:ind w:firstLine="0"/>
              <w:rPr>
                <w:rFonts w:eastAsia="Calibri" w:cs="Times New Roman"/>
                <w:b/>
                <w:bCs/>
              </w:rPr>
            </w:pPr>
            <w:r w:rsidRPr="00361A60">
              <w:rPr>
                <w:rFonts w:eastAsia="Calibri" w:cs="Times New Roman"/>
                <w:b/>
                <w:bCs/>
              </w:rPr>
              <w:t>Methane</w:t>
            </w:r>
          </w:p>
        </w:tc>
        <w:tc>
          <w:tcPr>
            <w:tcW w:w="1759" w:type="dxa"/>
            <w:noWrap/>
            <w:hideMark/>
          </w:tcPr>
          <w:p w14:paraId="25231CCA" w14:textId="77777777" w:rsidR="00B927C8" w:rsidRPr="00361A60" w:rsidRDefault="00B927C8" w:rsidP="00C77590">
            <w:pPr>
              <w:spacing w:line="240" w:lineRule="auto"/>
              <w:ind w:firstLine="0"/>
              <w:jc w:val="center"/>
              <w:rPr>
                <w:rFonts w:eastAsia="Calibri" w:cs="Times New Roman"/>
              </w:rPr>
            </w:pPr>
            <w:r w:rsidRPr="00361A60">
              <w:rPr>
                <w:rFonts w:eastAsia="Calibri" w:cs="Times New Roman"/>
              </w:rPr>
              <w:t>70-90</w:t>
            </w:r>
          </w:p>
        </w:tc>
        <w:tc>
          <w:tcPr>
            <w:tcW w:w="1663" w:type="dxa"/>
            <w:noWrap/>
            <w:hideMark/>
          </w:tcPr>
          <w:p w14:paraId="4F142A8D" w14:textId="77777777" w:rsidR="00B927C8" w:rsidRPr="00361A60" w:rsidRDefault="00B927C8" w:rsidP="00C77590">
            <w:pPr>
              <w:spacing w:line="240" w:lineRule="auto"/>
              <w:ind w:firstLine="0"/>
              <w:jc w:val="center"/>
              <w:rPr>
                <w:rFonts w:eastAsia="Calibri" w:cs="Times New Roman"/>
              </w:rPr>
            </w:pPr>
            <w:r w:rsidRPr="00390637">
              <w:t>0.7926</w:t>
            </w:r>
          </w:p>
        </w:tc>
      </w:tr>
      <w:tr w:rsidR="00B927C8" w:rsidRPr="00361A60" w14:paraId="45F78191" w14:textId="77777777" w:rsidTr="00C77590">
        <w:trPr>
          <w:trHeight w:val="288"/>
          <w:jc w:val="center"/>
        </w:trPr>
        <w:tc>
          <w:tcPr>
            <w:tcW w:w="1523" w:type="dxa"/>
            <w:noWrap/>
            <w:hideMark/>
          </w:tcPr>
          <w:p w14:paraId="54E7594C" w14:textId="77777777" w:rsidR="00B927C8" w:rsidRPr="00361A60" w:rsidRDefault="00B927C8" w:rsidP="00C77590">
            <w:pPr>
              <w:spacing w:line="240" w:lineRule="auto"/>
              <w:ind w:firstLine="0"/>
              <w:rPr>
                <w:rFonts w:eastAsia="Calibri" w:cs="Times New Roman"/>
                <w:b/>
                <w:bCs/>
              </w:rPr>
            </w:pPr>
            <w:r w:rsidRPr="00361A60">
              <w:rPr>
                <w:rFonts w:eastAsia="Calibri" w:cs="Times New Roman"/>
                <w:b/>
                <w:bCs/>
              </w:rPr>
              <w:t>Ethane</w:t>
            </w:r>
          </w:p>
        </w:tc>
        <w:tc>
          <w:tcPr>
            <w:tcW w:w="1759" w:type="dxa"/>
            <w:noWrap/>
            <w:hideMark/>
          </w:tcPr>
          <w:p w14:paraId="4A59A34F" w14:textId="77777777" w:rsidR="00B927C8" w:rsidRPr="00361A60" w:rsidRDefault="00B927C8" w:rsidP="00C77590">
            <w:pPr>
              <w:spacing w:line="240" w:lineRule="auto"/>
              <w:ind w:firstLine="0"/>
              <w:jc w:val="center"/>
              <w:rPr>
                <w:rFonts w:eastAsia="Calibri" w:cs="Times New Roman"/>
              </w:rPr>
            </w:pPr>
            <w:r w:rsidRPr="00361A60">
              <w:rPr>
                <w:rFonts w:eastAsia="Calibri" w:cs="Times New Roman"/>
              </w:rPr>
              <w:t>0-20</w:t>
            </w:r>
          </w:p>
        </w:tc>
        <w:tc>
          <w:tcPr>
            <w:tcW w:w="1663" w:type="dxa"/>
            <w:noWrap/>
            <w:hideMark/>
          </w:tcPr>
          <w:p w14:paraId="6BDADA59" w14:textId="77777777" w:rsidR="00B927C8" w:rsidRPr="00361A60" w:rsidRDefault="00B927C8" w:rsidP="00C77590">
            <w:pPr>
              <w:spacing w:line="240" w:lineRule="auto"/>
              <w:ind w:firstLine="0"/>
              <w:jc w:val="center"/>
              <w:rPr>
                <w:rFonts w:eastAsia="Calibri" w:cs="Times New Roman"/>
              </w:rPr>
            </w:pPr>
            <w:r>
              <w:rPr>
                <w:rFonts w:eastAsia="Calibri" w:cs="Times New Roman"/>
              </w:rPr>
              <w:t>0.0411</w:t>
            </w:r>
          </w:p>
        </w:tc>
      </w:tr>
      <w:tr w:rsidR="00B927C8" w:rsidRPr="00361A60" w14:paraId="232448A3" w14:textId="77777777" w:rsidTr="00C77590">
        <w:trPr>
          <w:trHeight w:val="288"/>
          <w:jc w:val="center"/>
        </w:trPr>
        <w:tc>
          <w:tcPr>
            <w:tcW w:w="1523" w:type="dxa"/>
            <w:noWrap/>
            <w:hideMark/>
          </w:tcPr>
          <w:p w14:paraId="43326D9E" w14:textId="77777777" w:rsidR="00B927C8" w:rsidRPr="00361A60" w:rsidRDefault="00B927C8" w:rsidP="00C77590">
            <w:pPr>
              <w:spacing w:line="240" w:lineRule="auto"/>
              <w:ind w:firstLine="0"/>
              <w:rPr>
                <w:rFonts w:eastAsia="Calibri" w:cs="Times New Roman"/>
                <w:b/>
                <w:bCs/>
              </w:rPr>
            </w:pPr>
            <w:r w:rsidRPr="00361A60">
              <w:rPr>
                <w:rFonts w:eastAsia="Calibri" w:cs="Times New Roman"/>
                <w:b/>
                <w:bCs/>
              </w:rPr>
              <w:t>Propane</w:t>
            </w:r>
          </w:p>
        </w:tc>
        <w:tc>
          <w:tcPr>
            <w:tcW w:w="1759" w:type="dxa"/>
            <w:noWrap/>
            <w:hideMark/>
          </w:tcPr>
          <w:p w14:paraId="00A42D5B" w14:textId="77777777" w:rsidR="00B927C8" w:rsidRPr="00361A60" w:rsidRDefault="00B927C8" w:rsidP="00C77590">
            <w:pPr>
              <w:spacing w:line="240" w:lineRule="auto"/>
              <w:ind w:firstLine="0"/>
              <w:jc w:val="center"/>
              <w:rPr>
                <w:rFonts w:eastAsia="Calibri" w:cs="Times New Roman"/>
              </w:rPr>
            </w:pPr>
            <w:r w:rsidRPr="00361A60">
              <w:rPr>
                <w:rFonts w:eastAsia="Calibri" w:cs="Times New Roman"/>
              </w:rPr>
              <w:t>0-20</w:t>
            </w:r>
          </w:p>
        </w:tc>
        <w:tc>
          <w:tcPr>
            <w:tcW w:w="1663" w:type="dxa"/>
            <w:noWrap/>
            <w:hideMark/>
          </w:tcPr>
          <w:p w14:paraId="356C9F33" w14:textId="77777777" w:rsidR="00B927C8" w:rsidRPr="00361A60" w:rsidRDefault="00B927C8" w:rsidP="00C77590">
            <w:pPr>
              <w:spacing w:line="240" w:lineRule="auto"/>
              <w:ind w:firstLine="0"/>
              <w:jc w:val="center"/>
              <w:rPr>
                <w:rFonts w:eastAsia="Calibri" w:cs="Times New Roman"/>
              </w:rPr>
            </w:pPr>
            <w:r>
              <w:t>0.003</w:t>
            </w:r>
          </w:p>
        </w:tc>
      </w:tr>
      <w:tr w:rsidR="00B927C8" w:rsidRPr="00361A60" w14:paraId="0D880842" w14:textId="77777777" w:rsidTr="00C77590">
        <w:trPr>
          <w:trHeight w:val="288"/>
          <w:jc w:val="center"/>
        </w:trPr>
        <w:tc>
          <w:tcPr>
            <w:tcW w:w="1523" w:type="dxa"/>
            <w:noWrap/>
            <w:hideMark/>
          </w:tcPr>
          <w:p w14:paraId="420363BD" w14:textId="77777777" w:rsidR="00B927C8" w:rsidRPr="00361A60" w:rsidRDefault="00B927C8" w:rsidP="00C77590">
            <w:pPr>
              <w:spacing w:line="240" w:lineRule="auto"/>
              <w:ind w:firstLine="0"/>
              <w:rPr>
                <w:rFonts w:eastAsia="Calibri" w:cs="Times New Roman"/>
                <w:b/>
                <w:bCs/>
              </w:rPr>
            </w:pPr>
            <w:r w:rsidRPr="00361A60">
              <w:rPr>
                <w:rFonts w:eastAsia="Calibri" w:cs="Times New Roman"/>
                <w:b/>
                <w:bCs/>
              </w:rPr>
              <w:t>CO2</w:t>
            </w:r>
          </w:p>
        </w:tc>
        <w:tc>
          <w:tcPr>
            <w:tcW w:w="1759" w:type="dxa"/>
            <w:noWrap/>
            <w:hideMark/>
          </w:tcPr>
          <w:p w14:paraId="1716314A" w14:textId="77777777" w:rsidR="00B927C8" w:rsidRPr="00361A60" w:rsidRDefault="00B927C8" w:rsidP="00C77590">
            <w:pPr>
              <w:spacing w:line="240" w:lineRule="auto"/>
              <w:ind w:firstLine="0"/>
              <w:jc w:val="center"/>
              <w:rPr>
                <w:rFonts w:eastAsia="Calibri" w:cs="Times New Roman"/>
              </w:rPr>
            </w:pPr>
            <w:r w:rsidRPr="00361A60">
              <w:rPr>
                <w:rFonts w:eastAsia="Calibri" w:cs="Times New Roman"/>
              </w:rPr>
              <w:t>0-8</w:t>
            </w:r>
          </w:p>
        </w:tc>
        <w:tc>
          <w:tcPr>
            <w:tcW w:w="1663" w:type="dxa"/>
            <w:noWrap/>
            <w:hideMark/>
          </w:tcPr>
          <w:p w14:paraId="496D9F60" w14:textId="77777777" w:rsidR="00B927C8" w:rsidRPr="00361A60" w:rsidRDefault="00B927C8" w:rsidP="00C77590">
            <w:pPr>
              <w:spacing w:line="240" w:lineRule="auto"/>
              <w:ind w:firstLine="0"/>
              <w:jc w:val="center"/>
              <w:rPr>
                <w:rFonts w:eastAsia="Calibri" w:cs="Times New Roman"/>
              </w:rPr>
            </w:pPr>
            <w:r>
              <w:t>0.0151</w:t>
            </w:r>
          </w:p>
        </w:tc>
      </w:tr>
      <w:tr w:rsidR="00B927C8" w:rsidRPr="00361A60" w14:paraId="523E9C2A" w14:textId="77777777" w:rsidTr="00C77590">
        <w:trPr>
          <w:trHeight w:val="288"/>
          <w:jc w:val="center"/>
        </w:trPr>
        <w:tc>
          <w:tcPr>
            <w:tcW w:w="1523" w:type="dxa"/>
            <w:noWrap/>
            <w:hideMark/>
          </w:tcPr>
          <w:p w14:paraId="36B19269" w14:textId="77777777" w:rsidR="00B927C8" w:rsidRPr="00361A60" w:rsidRDefault="00B927C8" w:rsidP="00C77590">
            <w:pPr>
              <w:spacing w:line="240" w:lineRule="auto"/>
              <w:ind w:firstLine="0"/>
              <w:rPr>
                <w:rFonts w:eastAsia="Calibri" w:cs="Times New Roman"/>
                <w:b/>
                <w:bCs/>
              </w:rPr>
            </w:pPr>
            <w:r w:rsidRPr="00361A60">
              <w:rPr>
                <w:rFonts w:eastAsia="Calibri" w:cs="Times New Roman"/>
                <w:b/>
                <w:bCs/>
              </w:rPr>
              <w:t>n-Butane</w:t>
            </w:r>
          </w:p>
        </w:tc>
        <w:tc>
          <w:tcPr>
            <w:tcW w:w="1759" w:type="dxa"/>
            <w:noWrap/>
            <w:hideMark/>
          </w:tcPr>
          <w:p w14:paraId="554A9618" w14:textId="77777777" w:rsidR="00B927C8" w:rsidRPr="00361A60" w:rsidRDefault="00B927C8" w:rsidP="00C77590">
            <w:pPr>
              <w:spacing w:line="240" w:lineRule="auto"/>
              <w:ind w:firstLine="0"/>
              <w:jc w:val="center"/>
              <w:rPr>
                <w:rFonts w:eastAsia="Calibri" w:cs="Times New Roman"/>
              </w:rPr>
            </w:pPr>
            <w:r w:rsidRPr="00361A60">
              <w:rPr>
                <w:rFonts w:eastAsia="Calibri" w:cs="Times New Roman"/>
              </w:rPr>
              <w:t>0-5</w:t>
            </w:r>
          </w:p>
        </w:tc>
        <w:tc>
          <w:tcPr>
            <w:tcW w:w="1663" w:type="dxa"/>
            <w:noWrap/>
            <w:hideMark/>
          </w:tcPr>
          <w:p w14:paraId="296CE94B" w14:textId="77777777" w:rsidR="00B927C8" w:rsidRPr="00361A60" w:rsidRDefault="00B927C8" w:rsidP="00C77590">
            <w:pPr>
              <w:spacing w:line="240" w:lineRule="auto"/>
              <w:ind w:firstLine="0"/>
              <w:jc w:val="center"/>
              <w:rPr>
                <w:rFonts w:eastAsia="Calibri" w:cs="Times New Roman"/>
              </w:rPr>
            </w:pPr>
            <w:r>
              <w:t>0.0203</w:t>
            </w:r>
          </w:p>
        </w:tc>
      </w:tr>
      <w:tr w:rsidR="00B927C8" w:rsidRPr="00361A60" w14:paraId="1952539F" w14:textId="77777777" w:rsidTr="00C77590">
        <w:trPr>
          <w:trHeight w:val="288"/>
          <w:jc w:val="center"/>
        </w:trPr>
        <w:tc>
          <w:tcPr>
            <w:tcW w:w="1523" w:type="dxa"/>
            <w:noWrap/>
            <w:hideMark/>
          </w:tcPr>
          <w:p w14:paraId="46F9E0C2" w14:textId="77777777" w:rsidR="00B927C8" w:rsidRPr="00361A60" w:rsidRDefault="00B927C8" w:rsidP="00C77590">
            <w:pPr>
              <w:spacing w:line="240" w:lineRule="auto"/>
              <w:ind w:firstLine="0"/>
              <w:rPr>
                <w:rFonts w:eastAsia="Calibri" w:cs="Times New Roman"/>
                <w:b/>
                <w:bCs/>
              </w:rPr>
            </w:pPr>
            <w:r w:rsidRPr="00361A60">
              <w:rPr>
                <w:rFonts w:eastAsia="Calibri" w:cs="Times New Roman"/>
                <w:b/>
                <w:bCs/>
              </w:rPr>
              <w:t>Nitrogen</w:t>
            </w:r>
          </w:p>
        </w:tc>
        <w:tc>
          <w:tcPr>
            <w:tcW w:w="1759" w:type="dxa"/>
            <w:noWrap/>
            <w:hideMark/>
          </w:tcPr>
          <w:p w14:paraId="7B3042B9" w14:textId="77777777" w:rsidR="00B927C8" w:rsidRPr="00361A60" w:rsidRDefault="00B927C8" w:rsidP="00C77590">
            <w:pPr>
              <w:spacing w:line="240" w:lineRule="auto"/>
              <w:ind w:firstLine="0"/>
              <w:jc w:val="center"/>
              <w:rPr>
                <w:rFonts w:eastAsia="Calibri" w:cs="Times New Roman"/>
              </w:rPr>
            </w:pPr>
            <w:r w:rsidRPr="00361A60">
              <w:rPr>
                <w:rFonts w:eastAsia="Calibri" w:cs="Times New Roman"/>
              </w:rPr>
              <w:t>0-5</w:t>
            </w:r>
          </w:p>
        </w:tc>
        <w:tc>
          <w:tcPr>
            <w:tcW w:w="1663" w:type="dxa"/>
            <w:noWrap/>
            <w:hideMark/>
          </w:tcPr>
          <w:p w14:paraId="057CA1A8" w14:textId="77777777" w:rsidR="00B927C8" w:rsidRPr="00361A60" w:rsidRDefault="00B927C8" w:rsidP="00C77590">
            <w:pPr>
              <w:spacing w:line="240" w:lineRule="auto"/>
              <w:ind w:firstLine="0"/>
              <w:jc w:val="center"/>
              <w:rPr>
                <w:rFonts w:eastAsia="Calibri" w:cs="Times New Roman"/>
              </w:rPr>
            </w:pPr>
            <w:r>
              <w:t>0.00</w:t>
            </w:r>
            <w:r w:rsidRPr="00390637">
              <w:t>99</w:t>
            </w:r>
          </w:p>
        </w:tc>
      </w:tr>
      <w:tr w:rsidR="00B927C8" w:rsidRPr="00361A60" w14:paraId="2682E720" w14:textId="77777777" w:rsidTr="00C77590">
        <w:trPr>
          <w:trHeight w:val="288"/>
          <w:jc w:val="center"/>
        </w:trPr>
        <w:tc>
          <w:tcPr>
            <w:tcW w:w="1523" w:type="dxa"/>
            <w:noWrap/>
            <w:hideMark/>
          </w:tcPr>
          <w:p w14:paraId="065EA6F9" w14:textId="77777777" w:rsidR="00B927C8" w:rsidRPr="00361A60" w:rsidRDefault="00B927C8" w:rsidP="00C77590">
            <w:pPr>
              <w:spacing w:line="240" w:lineRule="auto"/>
              <w:ind w:firstLine="0"/>
              <w:rPr>
                <w:rFonts w:eastAsia="Calibri" w:cs="Times New Roman"/>
                <w:b/>
                <w:bCs/>
              </w:rPr>
            </w:pPr>
            <w:r w:rsidRPr="00361A60">
              <w:rPr>
                <w:rFonts w:eastAsia="Calibri" w:cs="Times New Roman"/>
                <w:b/>
                <w:bCs/>
              </w:rPr>
              <w:t>i-Butane</w:t>
            </w:r>
          </w:p>
        </w:tc>
        <w:tc>
          <w:tcPr>
            <w:tcW w:w="1759" w:type="dxa"/>
            <w:noWrap/>
            <w:hideMark/>
          </w:tcPr>
          <w:p w14:paraId="78385860" w14:textId="77777777" w:rsidR="00B927C8" w:rsidRPr="00361A60" w:rsidRDefault="00B927C8" w:rsidP="00C77590">
            <w:pPr>
              <w:spacing w:line="240" w:lineRule="auto"/>
              <w:ind w:firstLine="0"/>
              <w:jc w:val="center"/>
              <w:rPr>
                <w:rFonts w:eastAsia="Calibri" w:cs="Times New Roman"/>
              </w:rPr>
            </w:pPr>
            <w:r w:rsidRPr="00361A60">
              <w:rPr>
                <w:rFonts w:eastAsia="Calibri" w:cs="Times New Roman"/>
              </w:rPr>
              <w:t>0-5</w:t>
            </w:r>
          </w:p>
        </w:tc>
        <w:tc>
          <w:tcPr>
            <w:tcW w:w="1663" w:type="dxa"/>
            <w:noWrap/>
            <w:hideMark/>
          </w:tcPr>
          <w:p w14:paraId="24A34460" w14:textId="77777777" w:rsidR="00B927C8" w:rsidRPr="00361A60" w:rsidRDefault="00B927C8" w:rsidP="00C77590">
            <w:pPr>
              <w:spacing w:line="240" w:lineRule="auto"/>
              <w:ind w:firstLine="0"/>
              <w:jc w:val="center"/>
              <w:rPr>
                <w:rFonts w:eastAsia="Calibri" w:cs="Times New Roman"/>
              </w:rPr>
            </w:pPr>
            <w:r>
              <w:t>0.0</w:t>
            </w:r>
            <w:r w:rsidRPr="00390637">
              <w:t>203</w:t>
            </w:r>
          </w:p>
        </w:tc>
      </w:tr>
      <w:tr w:rsidR="00B927C8" w:rsidRPr="00361A60" w14:paraId="0A08C5DF" w14:textId="77777777" w:rsidTr="00C77590">
        <w:trPr>
          <w:trHeight w:val="288"/>
          <w:jc w:val="center"/>
        </w:trPr>
        <w:tc>
          <w:tcPr>
            <w:tcW w:w="1523" w:type="dxa"/>
            <w:noWrap/>
            <w:hideMark/>
          </w:tcPr>
          <w:p w14:paraId="06E97EB6" w14:textId="77777777" w:rsidR="00B927C8" w:rsidRPr="00361A60" w:rsidRDefault="00B927C8" w:rsidP="00C77590">
            <w:pPr>
              <w:spacing w:line="240" w:lineRule="auto"/>
              <w:ind w:firstLine="0"/>
              <w:rPr>
                <w:rFonts w:eastAsia="Calibri" w:cs="Times New Roman"/>
                <w:b/>
                <w:bCs/>
              </w:rPr>
            </w:pPr>
            <w:r w:rsidRPr="00361A60">
              <w:rPr>
                <w:rFonts w:eastAsia="Calibri" w:cs="Times New Roman"/>
                <w:b/>
                <w:bCs/>
              </w:rPr>
              <w:t>n-Pentane</w:t>
            </w:r>
          </w:p>
        </w:tc>
        <w:tc>
          <w:tcPr>
            <w:tcW w:w="1759" w:type="dxa"/>
            <w:noWrap/>
            <w:hideMark/>
          </w:tcPr>
          <w:p w14:paraId="46AEB58D" w14:textId="77777777" w:rsidR="00B927C8" w:rsidRPr="00361A60" w:rsidRDefault="00B927C8" w:rsidP="00C77590">
            <w:pPr>
              <w:spacing w:line="240" w:lineRule="auto"/>
              <w:ind w:firstLine="0"/>
              <w:jc w:val="center"/>
              <w:rPr>
                <w:rFonts w:eastAsia="Calibri" w:cs="Times New Roman"/>
              </w:rPr>
            </w:pPr>
            <w:r w:rsidRPr="00361A60">
              <w:rPr>
                <w:rFonts w:eastAsia="Calibri" w:cs="Times New Roman"/>
              </w:rPr>
              <w:t>0-5</w:t>
            </w:r>
          </w:p>
        </w:tc>
        <w:tc>
          <w:tcPr>
            <w:tcW w:w="1663" w:type="dxa"/>
            <w:noWrap/>
            <w:hideMark/>
          </w:tcPr>
          <w:p w14:paraId="3777CD39" w14:textId="77777777" w:rsidR="00B927C8" w:rsidRPr="00361A60" w:rsidRDefault="00B927C8" w:rsidP="00C77590">
            <w:pPr>
              <w:spacing w:line="240" w:lineRule="auto"/>
              <w:ind w:firstLine="0"/>
              <w:jc w:val="center"/>
              <w:rPr>
                <w:rFonts w:eastAsia="Calibri" w:cs="Times New Roman"/>
              </w:rPr>
            </w:pPr>
            <w:r>
              <w:t>0.0099</w:t>
            </w:r>
          </w:p>
        </w:tc>
      </w:tr>
      <w:tr w:rsidR="00B927C8" w:rsidRPr="00361A60" w14:paraId="4BAAA964" w14:textId="77777777" w:rsidTr="00C77590">
        <w:trPr>
          <w:trHeight w:val="288"/>
          <w:jc w:val="center"/>
        </w:trPr>
        <w:tc>
          <w:tcPr>
            <w:tcW w:w="1523" w:type="dxa"/>
            <w:noWrap/>
            <w:hideMark/>
          </w:tcPr>
          <w:p w14:paraId="0D9BBE67" w14:textId="77777777" w:rsidR="00B927C8" w:rsidRPr="00361A60" w:rsidRDefault="00B927C8" w:rsidP="00C77590">
            <w:pPr>
              <w:spacing w:line="240" w:lineRule="auto"/>
              <w:ind w:firstLine="0"/>
              <w:rPr>
                <w:rFonts w:eastAsia="Calibri" w:cs="Times New Roman"/>
                <w:b/>
                <w:bCs/>
              </w:rPr>
            </w:pPr>
            <w:r w:rsidRPr="00361A60">
              <w:rPr>
                <w:rFonts w:eastAsia="Calibri" w:cs="Times New Roman"/>
                <w:b/>
                <w:bCs/>
              </w:rPr>
              <w:t>n-Hexane</w:t>
            </w:r>
          </w:p>
        </w:tc>
        <w:tc>
          <w:tcPr>
            <w:tcW w:w="1759" w:type="dxa"/>
            <w:noWrap/>
            <w:hideMark/>
          </w:tcPr>
          <w:p w14:paraId="2AE42659" w14:textId="77777777" w:rsidR="00B927C8" w:rsidRPr="00361A60" w:rsidRDefault="00B927C8" w:rsidP="00C77590">
            <w:pPr>
              <w:spacing w:line="240" w:lineRule="auto"/>
              <w:ind w:firstLine="0"/>
              <w:jc w:val="center"/>
              <w:rPr>
                <w:rFonts w:eastAsia="Calibri" w:cs="Times New Roman"/>
              </w:rPr>
            </w:pPr>
            <w:r w:rsidRPr="00361A60">
              <w:rPr>
                <w:rFonts w:eastAsia="Calibri" w:cs="Times New Roman"/>
              </w:rPr>
              <w:t>0-5</w:t>
            </w:r>
          </w:p>
        </w:tc>
        <w:tc>
          <w:tcPr>
            <w:tcW w:w="1663" w:type="dxa"/>
            <w:noWrap/>
            <w:hideMark/>
          </w:tcPr>
          <w:p w14:paraId="0D9FEF44" w14:textId="77777777" w:rsidR="00B927C8" w:rsidRPr="00361A60" w:rsidRDefault="00B927C8" w:rsidP="00C77590">
            <w:pPr>
              <w:spacing w:line="240" w:lineRule="auto"/>
              <w:ind w:firstLine="0"/>
              <w:jc w:val="center"/>
              <w:rPr>
                <w:rFonts w:eastAsia="Calibri" w:cs="Times New Roman"/>
              </w:rPr>
            </w:pPr>
            <w:r>
              <w:t>0.0061</w:t>
            </w:r>
          </w:p>
        </w:tc>
      </w:tr>
      <w:tr w:rsidR="00B927C8" w:rsidRPr="00361A60" w14:paraId="1F8F713B" w14:textId="77777777" w:rsidTr="00C77590">
        <w:trPr>
          <w:trHeight w:val="288"/>
          <w:jc w:val="center"/>
        </w:trPr>
        <w:tc>
          <w:tcPr>
            <w:tcW w:w="1523" w:type="dxa"/>
            <w:noWrap/>
            <w:hideMark/>
          </w:tcPr>
          <w:p w14:paraId="6D31492D" w14:textId="77777777" w:rsidR="00B927C8" w:rsidRPr="00361A60" w:rsidRDefault="00B927C8" w:rsidP="00C77590">
            <w:pPr>
              <w:spacing w:line="240" w:lineRule="auto"/>
              <w:ind w:firstLine="0"/>
              <w:rPr>
                <w:rFonts w:eastAsia="Calibri" w:cs="Times New Roman"/>
                <w:b/>
                <w:bCs/>
              </w:rPr>
            </w:pPr>
            <w:r w:rsidRPr="00361A60">
              <w:rPr>
                <w:rFonts w:eastAsia="Calibri" w:cs="Times New Roman"/>
                <w:b/>
                <w:bCs/>
              </w:rPr>
              <w:t>i-Pentane</w:t>
            </w:r>
          </w:p>
        </w:tc>
        <w:tc>
          <w:tcPr>
            <w:tcW w:w="1759" w:type="dxa"/>
            <w:noWrap/>
            <w:hideMark/>
          </w:tcPr>
          <w:p w14:paraId="16D13A1D" w14:textId="77777777" w:rsidR="00B927C8" w:rsidRPr="00361A60" w:rsidRDefault="00B927C8" w:rsidP="00C77590">
            <w:pPr>
              <w:spacing w:line="240" w:lineRule="auto"/>
              <w:ind w:firstLine="0"/>
              <w:jc w:val="center"/>
              <w:rPr>
                <w:rFonts w:eastAsia="Calibri" w:cs="Times New Roman"/>
              </w:rPr>
            </w:pPr>
            <w:r w:rsidRPr="00361A60">
              <w:rPr>
                <w:rFonts w:eastAsia="Calibri" w:cs="Times New Roman"/>
              </w:rPr>
              <w:t>0-5</w:t>
            </w:r>
          </w:p>
        </w:tc>
        <w:tc>
          <w:tcPr>
            <w:tcW w:w="1663" w:type="dxa"/>
            <w:noWrap/>
            <w:hideMark/>
          </w:tcPr>
          <w:p w14:paraId="73AF1A43" w14:textId="77777777" w:rsidR="00B927C8" w:rsidRPr="00361A60" w:rsidRDefault="00B927C8" w:rsidP="00C77590">
            <w:pPr>
              <w:spacing w:line="240" w:lineRule="auto"/>
              <w:ind w:firstLine="0"/>
              <w:jc w:val="center"/>
              <w:rPr>
                <w:rFonts w:eastAsia="Calibri" w:cs="Times New Roman"/>
              </w:rPr>
            </w:pPr>
            <w:r>
              <w:t>0.0</w:t>
            </w:r>
            <w:r w:rsidRPr="00390637">
              <w:t>12</w:t>
            </w:r>
            <w:r>
              <w:t>7</w:t>
            </w:r>
          </w:p>
        </w:tc>
      </w:tr>
      <w:tr w:rsidR="00B927C8" w:rsidRPr="00361A60" w14:paraId="1595E076" w14:textId="77777777" w:rsidTr="00C77590">
        <w:trPr>
          <w:trHeight w:val="288"/>
          <w:jc w:val="center"/>
        </w:trPr>
        <w:tc>
          <w:tcPr>
            <w:tcW w:w="1523" w:type="dxa"/>
            <w:noWrap/>
            <w:hideMark/>
          </w:tcPr>
          <w:p w14:paraId="5CF7A5B2" w14:textId="77777777" w:rsidR="00B927C8" w:rsidRPr="00361A60" w:rsidRDefault="00B927C8" w:rsidP="00C77590">
            <w:pPr>
              <w:spacing w:line="240" w:lineRule="auto"/>
              <w:ind w:firstLine="0"/>
              <w:rPr>
                <w:rFonts w:eastAsia="Calibri" w:cs="Times New Roman"/>
                <w:b/>
                <w:bCs/>
              </w:rPr>
            </w:pPr>
            <w:r w:rsidRPr="00361A60">
              <w:rPr>
                <w:rFonts w:eastAsia="Calibri" w:cs="Times New Roman"/>
                <w:b/>
                <w:bCs/>
              </w:rPr>
              <w:t>H2S</w:t>
            </w:r>
          </w:p>
        </w:tc>
        <w:tc>
          <w:tcPr>
            <w:tcW w:w="1759" w:type="dxa"/>
            <w:noWrap/>
            <w:hideMark/>
          </w:tcPr>
          <w:p w14:paraId="239C7F86" w14:textId="77777777" w:rsidR="00B927C8" w:rsidRPr="00361A60" w:rsidRDefault="00B927C8" w:rsidP="00C77590">
            <w:pPr>
              <w:spacing w:line="240" w:lineRule="auto"/>
              <w:ind w:firstLine="0"/>
              <w:jc w:val="center"/>
              <w:rPr>
                <w:rFonts w:eastAsia="Calibri" w:cs="Times New Roman"/>
              </w:rPr>
            </w:pPr>
            <w:r w:rsidRPr="00361A60">
              <w:rPr>
                <w:rFonts w:eastAsia="Calibri" w:cs="Times New Roman"/>
              </w:rPr>
              <w:t>0-5</w:t>
            </w:r>
          </w:p>
        </w:tc>
        <w:tc>
          <w:tcPr>
            <w:tcW w:w="1663" w:type="dxa"/>
            <w:noWrap/>
            <w:hideMark/>
          </w:tcPr>
          <w:p w14:paraId="45D4F3B2" w14:textId="77777777" w:rsidR="00B927C8" w:rsidRPr="00361A60" w:rsidRDefault="00B927C8" w:rsidP="00C77590">
            <w:pPr>
              <w:spacing w:line="240" w:lineRule="auto"/>
              <w:ind w:firstLine="0"/>
              <w:jc w:val="center"/>
              <w:rPr>
                <w:rFonts w:eastAsia="Calibri" w:cs="Times New Roman"/>
              </w:rPr>
            </w:pPr>
            <w:r w:rsidRPr="00390637">
              <w:t>0.000</w:t>
            </w:r>
            <w:r>
              <w:t>0</w:t>
            </w:r>
          </w:p>
        </w:tc>
      </w:tr>
      <w:tr w:rsidR="00B927C8" w:rsidRPr="00361A60" w14:paraId="1AE4D45F" w14:textId="77777777" w:rsidTr="00C77590">
        <w:trPr>
          <w:trHeight w:val="288"/>
          <w:jc w:val="center"/>
        </w:trPr>
        <w:tc>
          <w:tcPr>
            <w:tcW w:w="1523" w:type="dxa"/>
            <w:noWrap/>
          </w:tcPr>
          <w:p w14:paraId="31D0DED1" w14:textId="77777777" w:rsidR="00B927C8" w:rsidRPr="00361A60" w:rsidRDefault="00B927C8" w:rsidP="00C77590">
            <w:pPr>
              <w:spacing w:line="240" w:lineRule="auto"/>
              <w:ind w:firstLine="0"/>
              <w:rPr>
                <w:rFonts w:eastAsia="Calibri" w:cs="Times New Roman"/>
                <w:b/>
                <w:bCs/>
              </w:rPr>
            </w:pPr>
            <w:r>
              <w:rPr>
                <w:rFonts w:eastAsia="Calibri" w:cs="Times New Roman"/>
                <w:b/>
                <w:bCs/>
              </w:rPr>
              <w:t>Benzene</w:t>
            </w:r>
          </w:p>
        </w:tc>
        <w:tc>
          <w:tcPr>
            <w:tcW w:w="1759" w:type="dxa"/>
            <w:noWrap/>
          </w:tcPr>
          <w:p w14:paraId="3500CA7F" w14:textId="77777777" w:rsidR="00B927C8" w:rsidRPr="00361A60" w:rsidRDefault="00B927C8" w:rsidP="00C77590">
            <w:pPr>
              <w:spacing w:line="240" w:lineRule="auto"/>
              <w:ind w:firstLine="0"/>
              <w:jc w:val="center"/>
              <w:rPr>
                <w:rFonts w:eastAsia="Calibri" w:cs="Times New Roman"/>
              </w:rPr>
            </w:pPr>
            <w:r>
              <w:rPr>
                <w:rFonts w:eastAsia="Calibri" w:cs="Times New Roman"/>
              </w:rPr>
              <w:t>0</w:t>
            </w:r>
          </w:p>
        </w:tc>
        <w:tc>
          <w:tcPr>
            <w:tcW w:w="1663" w:type="dxa"/>
            <w:noWrap/>
          </w:tcPr>
          <w:p w14:paraId="7A654A6B" w14:textId="77777777" w:rsidR="00B927C8" w:rsidRPr="00361A60" w:rsidRDefault="00B927C8" w:rsidP="00C77590">
            <w:pPr>
              <w:spacing w:line="240" w:lineRule="auto"/>
              <w:ind w:firstLine="0"/>
              <w:jc w:val="center"/>
              <w:rPr>
                <w:rFonts w:eastAsia="Calibri" w:cs="Times New Roman"/>
              </w:rPr>
            </w:pPr>
            <w:r>
              <w:rPr>
                <w:rFonts w:eastAsia="Calibri" w:cs="Times New Roman"/>
              </w:rPr>
              <w:t>0.0000</w:t>
            </w:r>
          </w:p>
        </w:tc>
      </w:tr>
      <w:tr w:rsidR="00B927C8" w:rsidRPr="00361A60" w14:paraId="0B4DF568" w14:textId="77777777" w:rsidTr="00C77590">
        <w:trPr>
          <w:trHeight w:val="288"/>
          <w:jc w:val="center"/>
        </w:trPr>
        <w:tc>
          <w:tcPr>
            <w:tcW w:w="1523" w:type="dxa"/>
            <w:noWrap/>
          </w:tcPr>
          <w:p w14:paraId="57B410C2" w14:textId="77777777" w:rsidR="00B927C8" w:rsidRPr="00361A60" w:rsidRDefault="00B927C8" w:rsidP="00C77590">
            <w:pPr>
              <w:spacing w:line="240" w:lineRule="auto"/>
              <w:ind w:firstLine="0"/>
              <w:rPr>
                <w:rFonts w:eastAsia="Calibri" w:cs="Times New Roman"/>
                <w:b/>
                <w:bCs/>
              </w:rPr>
            </w:pPr>
            <w:r>
              <w:rPr>
                <w:rFonts w:eastAsia="Calibri" w:cs="Times New Roman"/>
                <w:b/>
                <w:bCs/>
              </w:rPr>
              <w:t>Water</w:t>
            </w:r>
          </w:p>
        </w:tc>
        <w:tc>
          <w:tcPr>
            <w:tcW w:w="1759" w:type="dxa"/>
            <w:noWrap/>
          </w:tcPr>
          <w:p w14:paraId="31F3D0EC" w14:textId="77777777" w:rsidR="00B927C8" w:rsidRPr="00361A60" w:rsidRDefault="00B927C8" w:rsidP="00C77590">
            <w:pPr>
              <w:spacing w:line="240" w:lineRule="auto"/>
              <w:ind w:firstLine="0"/>
              <w:jc w:val="center"/>
              <w:rPr>
                <w:rFonts w:eastAsia="Calibri" w:cs="Times New Roman"/>
              </w:rPr>
            </w:pPr>
            <w:r>
              <w:rPr>
                <w:rFonts w:eastAsia="Calibri" w:cs="Times New Roman"/>
              </w:rPr>
              <w:t>0-5</w:t>
            </w:r>
          </w:p>
        </w:tc>
        <w:tc>
          <w:tcPr>
            <w:tcW w:w="1663" w:type="dxa"/>
            <w:noWrap/>
          </w:tcPr>
          <w:p w14:paraId="71A2BD88" w14:textId="77777777" w:rsidR="00B927C8" w:rsidRPr="00361A60" w:rsidRDefault="00B927C8" w:rsidP="00C77590">
            <w:pPr>
              <w:spacing w:line="240" w:lineRule="auto"/>
              <w:ind w:firstLine="0"/>
              <w:jc w:val="center"/>
              <w:rPr>
                <w:rFonts w:eastAsia="Calibri" w:cs="Times New Roman"/>
              </w:rPr>
            </w:pPr>
            <w:r>
              <w:rPr>
                <w:rFonts w:eastAsia="Calibri" w:cs="Times New Roman"/>
              </w:rPr>
              <w:t>0.0419</w:t>
            </w:r>
          </w:p>
        </w:tc>
      </w:tr>
    </w:tbl>
    <w:p w14:paraId="48CC58F1" w14:textId="77777777" w:rsidR="00B927C8" w:rsidRPr="001746A8" w:rsidRDefault="00B927C8" w:rsidP="00B927C8"/>
    <w:p w14:paraId="627CFE4C" w14:textId="0272B9C5" w:rsidR="00B927C8" w:rsidRPr="001746A8" w:rsidRDefault="00B927C8" w:rsidP="00B927C8">
      <w:r w:rsidRPr="001746A8">
        <w:t xml:space="preserve">The gas is assumed to be sweet, as reported wellhead data indicates that there are a number of wellheads that produce sweet gas naturally </w:t>
      </w:r>
      <w:r w:rsidRPr="001746A8">
        <w:fldChar w:fldCharType="begin"/>
      </w:r>
      <w:r w:rsidR="00CA7A9D">
        <w:instrText xml:space="preserve"> ADDIN ZOTERO_ITEM CSL_CITATION {"citationID":"kUG90RNT","properties":{"formattedCitation":"[107]","plainCitation":"[107]","noteIndex":0},"citationItems":[{"id":38,"uris":["http://zotero.org/users/12063231/items/UG38PHBJ"],"itemData":{"id":38,"type":"webpage","container-title":"Hydrogen Sulfide (H2S) Fields &amp; Concentration Listings","title":"Hydrogen Sulfide H2S Fields &amp; Concentration Listings","URL":"https://www.rrc.texas.gov/oil-and-gas/research-and-statistics/field-data/hydrogen-sulfide-h2s/","author":[{"family":"Railroad Commission of Texas","given":""}],"accessed":{"date-parts":[["2023",10,9]]}}}],"schema":"https://github.com/citation-style-language/schema/raw/master/csl-citation.json"} </w:instrText>
      </w:r>
      <w:r w:rsidRPr="001746A8">
        <w:fldChar w:fldCharType="separate"/>
      </w:r>
      <w:r w:rsidR="00CA7A9D" w:rsidRPr="00CA7A9D">
        <w:rPr>
          <w:rFonts w:ascii="Aptos" w:hAnsi="Aptos"/>
        </w:rPr>
        <w:t>[107]</w:t>
      </w:r>
      <w:r w:rsidRPr="001746A8">
        <w:fldChar w:fldCharType="end"/>
      </w:r>
      <w:r>
        <w:t xml:space="preserve">, or have the capability to process raw natural gas onsite </w:t>
      </w:r>
      <w:r>
        <w:fldChar w:fldCharType="begin"/>
      </w:r>
      <w:r w:rsidR="00CA7A9D">
        <w:instrText xml:space="preserve"> ADDIN ZOTERO_ITEM CSL_CITATION {"citationID":"a18f99966mc","properties":{"formattedCitation":"[108]","plainCitation":"[108]","noteIndex":0},"citationItems":[{"id":873,"uris":["http://zotero.org/users/12063231/items/25LW2BKW"],"itemData":{"id":873,"type":"document","language":"English","publisher":"MTR Inc","title":"IMPROVE GAS TURBINE/ENGINE PERFORMANCE AND REDUCE MAINTENANCE USING MEMBRANES FOR FUEL GAS CONDITIONING","URL":"https://www.mtrinc.com/wp-content/uploads/2018/09/NG08-MTR-Power-Gen-NG-2015.pdf","author":[{"family":"Joshi","given":"Sachin"},{"family":"Hussain","given":"Hesham"},{"family":"Tiwari","given":"Priyanka"},{"family":"Rahman","given":"Daaniya"},{"family":"Aldajani","given":"Tim"}],"issued":{"date-parts":[["2015"]]}}}],"schema":"https://github.com/citation-style-language/schema/raw/master/csl-citation.json"} </w:instrText>
      </w:r>
      <w:r>
        <w:fldChar w:fldCharType="separate"/>
      </w:r>
      <w:r w:rsidR="00CA7A9D" w:rsidRPr="00CA7A9D">
        <w:rPr>
          <w:rFonts w:ascii="Aptos" w:hAnsi="Aptos"/>
        </w:rPr>
        <w:t>[108]</w:t>
      </w:r>
      <w:r>
        <w:fldChar w:fldCharType="end"/>
      </w:r>
      <w:r w:rsidRPr="001746A8">
        <w:t>. If the wellhead produces sour gas, then the assumption is made that the gas will have already gone through a sweetening process prior to entering the modeled</w:t>
      </w:r>
      <w:r>
        <w:t xml:space="preserve"> Aspen-HYSYS</w:t>
      </w:r>
      <w:r w:rsidRPr="001746A8">
        <w:t xml:space="preserve"> system </w:t>
      </w:r>
      <w:r>
        <w:t xml:space="preserve">shown in </w:t>
      </w:r>
      <w:r>
        <w:fldChar w:fldCharType="begin"/>
      </w:r>
      <w:r>
        <w:instrText xml:space="preserve"> REF _Ref147795591 \h </w:instrText>
      </w:r>
      <w:r>
        <w:fldChar w:fldCharType="separate"/>
      </w:r>
      <w:r w:rsidRPr="001746A8">
        <w:rPr>
          <w:i/>
          <w:iCs/>
        </w:rPr>
        <w:t xml:space="preserve">Figure </w:t>
      </w:r>
      <w:r>
        <w:rPr>
          <w:i/>
          <w:iCs/>
        </w:rPr>
        <w:t>5.</w:t>
      </w:r>
      <w:r>
        <w:rPr>
          <w:i/>
          <w:iCs/>
          <w:noProof/>
        </w:rPr>
        <w:t>1</w:t>
      </w:r>
      <w:r>
        <w:fldChar w:fldCharType="end"/>
      </w:r>
      <w:r>
        <w:t>.</w:t>
      </w:r>
    </w:p>
    <w:p w14:paraId="7034A743" w14:textId="77777777" w:rsidR="00B927C8" w:rsidRPr="001746A8" w:rsidRDefault="00B927C8" w:rsidP="00B927C8">
      <w:r w:rsidRPr="001746A8">
        <w:rPr>
          <w:noProof/>
        </w:rPr>
        <w:drawing>
          <wp:inline distT="0" distB="0" distL="0" distR="0" wp14:anchorId="4AFCC272" wp14:editId="5DBC71F1">
            <wp:extent cx="5061549" cy="1449144"/>
            <wp:effectExtent l="0" t="0" r="6350" b="0"/>
            <wp:docPr id="1762786054" name="Picture 1762786054" descr="A diagram of a chemical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786054" name="Picture 1762786054" descr="A diagram of a chemical process&#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061549" cy="1449144"/>
                    </a:xfrm>
                    <a:prstGeom prst="rect">
                      <a:avLst/>
                    </a:prstGeom>
                  </pic:spPr>
                </pic:pic>
              </a:graphicData>
            </a:graphic>
          </wp:inline>
        </w:drawing>
      </w:r>
    </w:p>
    <w:p w14:paraId="2F01A6A2" w14:textId="77777777" w:rsidR="00B927C8" w:rsidRPr="001746A8" w:rsidRDefault="00B927C8" w:rsidP="00400873">
      <w:pPr>
        <w:pStyle w:val="Caption"/>
      </w:pPr>
      <w:bookmarkStart w:id="143" w:name="_Ref147795591"/>
      <w:bookmarkStart w:id="144" w:name="_Toc165641153"/>
      <w:r w:rsidRPr="001746A8">
        <w:t xml:space="preserve">Figure </w:t>
      </w:r>
      <w:r>
        <w:t>5.</w:t>
      </w:r>
      <w:r w:rsidRPr="001746A8">
        <w:fldChar w:fldCharType="begin"/>
      </w:r>
      <w:r w:rsidRPr="001746A8">
        <w:instrText xml:space="preserve"> SEQ Figure \* ARABIC </w:instrText>
      </w:r>
      <w:r w:rsidRPr="001746A8">
        <w:fldChar w:fldCharType="separate"/>
      </w:r>
      <w:r>
        <w:rPr>
          <w:noProof/>
        </w:rPr>
        <w:t>1</w:t>
      </w:r>
      <w:r w:rsidRPr="001746A8">
        <w:fldChar w:fldCharType="end"/>
      </w:r>
      <w:bookmarkEnd w:id="143"/>
      <w:r w:rsidRPr="001746A8">
        <w:t>: Aspen-HYSYS system integration model of protonic ceramic modular reactor</w:t>
      </w:r>
      <w:bookmarkEnd w:id="144"/>
    </w:p>
    <w:p w14:paraId="6D6260E7" w14:textId="5C821116" w:rsidR="00B927C8" w:rsidRPr="001746A8" w:rsidRDefault="00B927C8" w:rsidP="00B927C8">
      <w:r>
        <w:t>I</w:t>
      </w:r>
      <w:r w:rsidRPr="001746A8">
        <w:t xml:space="preserve">n </w:t>
      </w:r>
      <w:r w:rsidRPr="001746A8">
        <w:fldChar w:fldCharType="begin"/>
      </w:r>
      <w:r w:rsidRPr="001746A8">
        <w:instrText xml:space="preserve"> REF _Ref147795591 \h </w:instrText>
      </w:r>
      <w:r w:rsidRPr="001746A8">
        <w:fldChar w:fldCharType="separate"/>
      </w:r>
      <w:r w:rsidR="004A4FD3" w:rsidRPr="001746A8">
        <w:rPr>
          <w:iCs/>
        </w:rPr>
        <w:t xml:space="preserve">Figure </w:t>
      </w:r>
      <w:r w:rsidR="004A4FD3">
        <w:rPr>
          <w:iCs/>
        </w:rPr>
        <w:t>5.</w:t>
      </w:r>
      <w:r w:rsidR="004A4FD3">
        <w:rPr>
          <w:iCs/>
          <w:noProof/>
        </w:rPr>
        <w:t>1</w:t>
      </w:r>
      <w:r w:rsidRPr="001746A8">
        <w:fldChar w:fldCharType="end"/>
      </w:r>
      <w:r>
        <w:t>, t</w:t>
      </w:r>
      <w:r w:rsidRPr="001746A8">
        <w:t xml:space="preserve">he </w:t>
      </w:r>
      <w:r>
        <w:t>flare gas</w:t>
      </w:r>
      <w:r w:rsidRPr="001746A8">
        <w:t xml:space="preserve"> is first routed </w:t>
      </w:r>
      <w:r>
        <w:t xml:space="preserve">to a storage </w:t>
      </w:r>
      <w:r w:rsidR="00DA25EF">
        <w:t>vessel,</w:t>
      </w:r>
      <w:r>
        <w:t xml:space="preserve"> so the operation of the PCFC does not fluctuate with the same irregularity of a flare. Some flares are only operated for four hours per day </w:t>
      </w:r>
      <w:r>
        <w:fldChar w:fldCharType="begin"/>
      </w:r>
      <w:r w:rsidR="00CA7A9D">
        <w:instrText xml:space="preserve"> ADDIN ZOTERO_ITEM CSL_CITATION {"citationID":"a139s0jr4et","properties":{"formattedCitation":"[102]","plainCitation":"[102]","noteIndex":0},"citationItems":[{"id":874,"uris":["http://zotero.org/users/12063231/items/FWYXWTWY"],"itemData":{"id":874,"type":"document","publisher":"Duke University","title":"On-Site Flare Gas Utilization: Generating Electricity and Flue Gas for EOR","URL":"https://sites.duke.edu/adhoc_energy__environment_/files/2018/08/Flare-Gas_Flue-Gas-Poster.pdf","author":[{"family":"Goyne","given":"Javob"},{"family":"Holten","given":"Victor"},{"family":"Wang","given":"Rui"}],"issued":{"date-parts":[["2018"]]}}}],"schema":"https://github.com/citation-style-language/schema/raw/master/csl-citation.json"} </w:instrText>
      </w:r>
      <w:r>
        <w:fldChar w:fldCharType="separate"/>
      </w:r>
      <w:r w:rsidR="00CA7A9D" w:rsidRPr="00CA7A9D">
        <w:rPr>
          <w:rFonts w:ascii="Aptos" w:hAnsi="Aptos"/>
        </w:rPr>
        <w:t>[102]</w:t>
      </w:r>
      <w:r>
        <w:fldChar w:fldCharType="end"/>
      </w:r>
      <w:r>
        <w:t xml:space="preserve">, which would force extremely high flow rates through the PCFC and render it ineffective for aromatics production. This can be mitigated </w:t>
      </w:r>
      <w:proofErr w:type="gramStart"/>
      <w:r>
        <w:t>by the use of</w:t>
      </w:r>
      <w:proofErr w:type="gramEnd"/>
      <w:r>
        <w:t xml:space="preserve"> a storage vessel to extend the same flow of gas over a 24-hour period to ease the flowrate through the PCFC system. A small portion of the flare gas is then used in a fired heater to heat the gas to the PCFC inlet temperature</w:t>
      </w:r>
      <w:r w:rsidRPr="001746A8">
        <w:t xml:space="preserve">. PCFCs cannot be accurately modeled with the basic setup of Aspen-HYSYS. </w:t>
      </w:r>
      <w:r>
        <w:t>Instead</w:t>
      </w:r>
      <w:r w:rsidRPr="001746A8">
        <w:t>, the relevant outcomes</w:t>
      </w:r>
      <w:r>
        <w:t xml:space="preserve"> from chapter 4</w:t>
      </w:r>
      <w:r w:rsidRPr="001746A8">
        <w:t xml:space="preserve"> can be modeled</w:t>
      </w:r>
      <w:r>
        <w:t xml:space="preserve"> within the Aspen-HYSYS program</w:t>
      </w:r>
      <w:r w:rsidRPr="001746A8">
        <w:t xml:space="preserve"> by a conversion reactor with set conversion % rates. </w:t>
      </w:r>
      <w:r>
        <w:t xml:space="preserve">The product is then cooled for aromatics extraction and sent to a carbon capture system (CCS) and recycling flow. CCS’s can be incredibly complex systems to model, so the simplified component splitter tool </w:t>
      </w:r>
      <w:r w:rsidR="00EB6FFF">
        <w:t>is</w:t>
      </w:r>
      <w:r>
        <w:t xml:space="preserve"> used instead of building out a CCS sub-model. A component splitter in Aspen-HYSYS is a tool used to model the outcomes of an outside system, in this case the CCS and aromatics separation unit. The resulting mass flow of the aromatics and carbon species should match the </w:t>
      </w:r>
      <w:r w:rsidR="00767650">
        <w:t>average</w:t>
      </w:r>
      <w:r>
        <w:t xml:space="preserve"> mass flow of gas that would have gone through the flare. Non-converted gas is recycled back to the inlet via the component splitter. </w:t>
      </w:r>
    </w:p>
    <w:p w14:paraId="722C65C4" w14:textId="584D356D" w:rsidR="00B927C8" w:rsidRDefault="00B927C8" w:rsidP="00B927C8">
      <w:r w:rsidRPr="001746A8">
        <w:t xml:space="preserve">The end product </w:t>
      </w:r>
      <w:r>
        <w:t xml:space="preserve">coming out of the cooler </w:t>
      </w:r>
      <w:r w:rsidR="00E9792B">
        <w:t>is</w:t>
      </w:r>
      <w:r>
        <w:t xml:space="preserve"> unconverted gas and</w:t>
      </w:r>
      <w:r w:rsidRPr="001746A8">
        <w:t xml:space="preserve"> aromatics</w:t>
      </w:r>
      <w:r>
        <w:t>,</w:t>
      </w:r>
      <w:r w:rsidRPr="001746A8">
        <w:t xml:space="preserve"> alongside nonaromatic</w:t>
      </w:r>
      <w:r>
        <w:t xml:space="preserve"> MDA</w:t>
      </w:r>
      <w:r w:rsidRPr="001746A8">
        <w:t xml:space="preserve"> byproducts consisting mostly of carbon </w:t>
      </w:r>
      <w:r>
        <w:t>oxide emissions</w:t>
      </w:r>
      <w:r w:rsidRPr="001746A8">
        <w:t xml:space="preserve">, ethane and ethylene </w:t>
      </w:r>
      <w:r w:rsidRPr="001746A8">
        <w:fldChar w:fldCharType="begin"/>
      </w:r>
      <w:r w:rsidR="00CA7A9D">
        <w:instrText xml:space="preserve"> ADDIN ZOTERO_ITEM CSL_CITATION {"citationID":"3nNUKytS","properties":{"formattedCitation":"[109]","plainCitation":"[109]","noteIndex":0},"citationItems":[{"id":155,"uris":["http://zotero.org/users/12063231/items/PWWE8D4F"],"itemData":{"id":155,"type":"article-journal","abstract":"Direct nonoxidative methane conversion (DNMC) transforms CH4 to higher (C2+) hydrocarbons and H2 in a single step, but its utility is challenged by low CH4 equilibrium conversion, carbon deposition (coking), and its endothermic reaction energy requirement. This work reports a heat-exchanged autothermal H2-permeable tubular membrane reactor composed of a thin mixed ionic-electronic conducting SrCe0.7Zr0.2Eu0.1O3–δ membrane supported on a porous SrCe0.8Zr0.2O3–δ tube in which a Fe/SiO2 DNMC catalyst is packed, that concurrently tackles all of these challenges. The H2-permeation flux drives CH4 conversion. O2 from an air simulant (O2/He mixture) sweep outside the membrane reacts with permeated H2 to provide heat for the endothermic DNMC reaction. The energy balance between the endothermic DNMC and exothermic H2 combustion on opposite sides of the membrane is achieved, demonstrating the feasibility for autothermal operation using a simple air sweep gas. Moreover, the back diffusion of O2 from the sweep side to the catalyst side oxidizes any deposited carbon into CO. Thus, for the first time demonstrating all the desired attributes, a heat-exchanged H2-permeable membrane reactor capable of achieving single-step auto-thermal DNMC catalysis while simultaneously improving CH4 conversion and preventing coking is achieved.","container-title":"Advanced Energy Materials","DOI":"10.1002/aenm.202102782","ISSN":"1614-6840","issue":"46","language":"en","license":"© 2021 Wiley-VCH GmbH","note":"_eprint: https://onlinelibrary.wiley.com/doi/pdf/10.1002/aenm.202102782","page":"2102782","source":"Wiley Online Library","title":"Direct Nonoxidative Methane Conversion in an Autothermal Hydrogen-Permeable Membrane Reactor","volume":"11","author":[{"family":"Sakbodin","given":"Mann"},{"family":"Schulman","given":"Emily"},{"family":"Cheng","given":"Sichao"},{"family":"Huang","given":"Yi-Lin"},{"family":"Pan","given":"Ying"},{"family":"Albertus","given":"Paul"},{"family":"Wachsman","given":"Eric D."},{"family":"Liu","given":"Dongxia"}],"issued":{"date-parts":[["2021"]]}}}],"schema":"https://github.com/citation-style-language/schema/raw/master/csl-citation.json"} </w:instrText>
      </w:r>
      <w:r w:rsidRPr="001746A8">
        <w:fldChar w:fldCharType="separate"/>
      </w:r>
      <w:r w:rsidR="00CA7A9D" w:rsidRPr="00CA7A9D">
        <w:rPr>
          <w:rFonts w:ascii="Aptos" w:hAnsi="Aptos"/>
        </w:rPr>
        <w:t>[109]</w:t>
      </w:r>
      <w:r w:rsidRPr="001746A8">
        <w:fldChar w:fldCharType="end"/>
      </w:r>
      <w:r w:rsidRPr="001746A8">
        <w:t xml:space="preserve">. The </w:t>
      </w:r>
      <w:r>
        <w:t>aromatics</w:t>
      </w:r>
      <w:r w:rsidRPr="001746A8">
        <w:t xml:space="preserve"> are easily filtered out in the cooling process as </w:t>
      </w:r>
      <w:r>
        <w:t>they</w:t>
      </w:r>
      <w:r w:rsidRPr="001746A8">
        <w:t xml:space="preserve"> achieve liquid conditions </w:t>
      </w:r>
      <w:r>
        <w:t>beginning at ~80</w:t>
      </w:r>
      <m:oMath>
        <m:r>
          <w:rPr>
            <w:rFonts w:ascii="Cambria Math" w:hAnsi="Cambria Math"/>
          </w:rPr>
          <m:t>℃</m:t>
        </m:r>
      </m:oMath>
      <w:r>
        <w:rPr>
          <w:rFonts w:eastAsiaTheme="minorEastAsia"/>
        </w:rPr>
        <w:t xml:space="preserve"> at atmospheric pressure</w:t>
      </w:r>
      <w:r>
        <w:t>,</w:t>
      </w:r>
      <w:r w:rsidRPr="001746A8">
        <w:t xml:space="preserve"> over 100</w:t>
      </w:r>
      <m:oMath>
        <m:r>
          <w:rPr>
            <w:rFonts w:ascii="Cambria Math" w:hAnsi="Cambria Math"/>
          </w:rPr>
          <m:t>°</m:t>
        </m:r>
      </m:oMath>
      <w:r w:rsidRPr="001746A8">
        <w:t>C higher than methane and other byproducts. Ethane and ethylene can continue to be reformed in the PCFC to generate aromatics and therefore</w:t>
      </w:r>
      <w:r>
        <w:t xml:space="preserve"> should not be</w:t>
      </w:r>
      <w:r w:rsidRPr="001746A8">
        <w:t xml:space="preserve"> separated from the main gas feed stream </w:t>
      </w:r>
      <w:r w:rsidRPr="001746A8">
        <w:fldChar w:fldCharType="begin"/>
      </w:r>
      <w:r w:rsidR="00CA7A9D">
        <w:instrText xml:space="preserve"> ADDIN ZOTERO_ITEM CSL_CITATION {"citationID":"zK0oHgux","properties":{"formattedCitation":"[15], [110]","plainCitation":"[15], [110]","noteIndex":0},"citationItems":[{"id":40,"uris":["http://zotero.org/users/12063231/items/5MNMJS3V"],"itemData":{"id":40,"type":"article-journal","abstract":"Protonic ceramic ethane fuel cells fed by hydrocarbon fuels are demonstrated to be effective energy conversion devices. However, their practical application is impeded by a lack of anode materials combining excellent catalytic activity with good chemical stability and anti-carbon deposition properties. In this work, in which Sr2Fe1.5Mo0.5O6-δ (SFM) double perovskite oxide is used as the matrix framework, catalytic activity toward H2 and C2H6 oxidation is systematically investigated using Ba-doping. It is found that the concentration of the oxygen vacancy is gradually improved with increased Ba content to significantly enhance catalytic activity toward H2 and C2H6 oxidation. From the series studied, Ba0.6Sr1.4Fe1.5Mo0.5O6-δ exhibits the highest catalytic activity, while the power densities of the electrolyte-supported Ba0.6SFM/BaCe0.7Zr0.1Y0.2O3-δ (BCZY)/La0.58Sr0.4Co0.2Fe0.8O3-δ (LSCF)-Sm0.2Ce0.8O2-δ (SDC) single cell reach 205 and 138 mW cm–2 at 750°C in H2 and C2H6, respectively. The ethane conversion rate of the experimental cell is shown to reach 38.4%, while simultaneously maintaining ethylene selectivity at 95%. Furthermore, the single cell exhibits no significant attenuation during stable operation for 20 h, as well as demonstrating excellent anti-coking performance. The proposed results suggest that Ba0.6Sr1.4Fe1.5Mo0.5O6-δ represents a promising anode material for efficient hydrocarbon-related electrochemical conversion to realize the coproduction of ethylene and power in protonic ceramic ethane fuel cells.","container-title":"Journal of the American Ceramic Society","DOI":"10.1111/jace.18329","ISSN":"1551-2916","issue":"5","language":"en","license":"© 2022 The American Ceramic Society","note":"_eprint: https://onlinelibrary.wiley.com/doi/pdf/10.1111/jace.18329","page":"3613-3624","source":"Wiley Online Library","title":"Barium-doped Sr2Fe1.5Mo0.5O6-δ perovskite anode materials for protonic ceramic fuel cells for ethane conversion","volume":"105","author":[{"family":"Fan","given":"Yun"},{"family":"Xi","given":"Xiuan"},{"family":"Li","given":"Jun"},{"family":"Wang","given":"Qi"},{"family":"Xiang","given":"Kun"},{"family":"Medvedev","given":"Dmitry"},{"family":"Luo","given":"Jing-Li"},{"family":"Fu","given":"Xian-Zhu"}],"issued":{"date-parts":[["2022"]]}}},{"id":176,"uris":["http://zotero.org/users/12063231/items/RNASIFC3"],"itemData":{"id":176,"type":"article-journal","abstract":"Ethylene is a vital chemical worldwide but its production is very energy-intensive with high CO2 emissions. C2H6-fueled proton ceramic fuel cells (PCFCs) are promising electrochemical processes for cogeneration of ethylene and electric power with high performance and low emission. Herein, a tubular thermos-electrochemical model is established to investigate the characteristics of C2H6-fueled PCFC. Parametric studies are performed to examine the effects of operating voltage, inlet fuel flow rate, and inlet temperature on PCFC cogeneration performance. PCFC under open-circuit voltage (OCV) condition at 700 °C, the ethane conversion and ethylene selectivity are 15.69% and 99.47%, respectively. The ethylene production is enhanced by the electrochemical reaction. At 0.4 V and 700 °C, the conversion of ethane is increased to 32.59% and the PCFC can deliver a peak power density of 146.12 mW cm−2. Increasing the inlet temperature significantly improves the cogeneration performance of PCFC but also increases the temperature gradient in the cell. In addition, H2 depletion in the anode results in local electrochemical performance degradation. The results demonstrate the enhanced ethylene production by electrochemical processes and the operating and structural parameters can be optimized in the subsequent study to further improve ethylene production.","container-title":"Journal of Power Sources","DOI":"10.1016/j.jpowsour.2022.231503","ISSN":"0378-7753","journalAbbreviation":"Journal of Power Sources","language":"en","page":"231503","source":"ScienceDirect","title":"Ethylene and power cogeneration from proton ceramic fuel cells (PCFC): A thermo-electrochemical modelling study","title-short":"Ethylene and power cogeneration from proton ceramic fuel cells (PCFC)","volume":"536","author":[{"family":"Li","given":"Zheng"},{"family":"He","given":"Qijiao"},{"family":"Wang","given":"Chen"},{"family":"Xu","given":"Qidong"},{"family":"Guo","given":"Meiting"},{"family":"Bello","given":"Idris Temitope"},{"family":"Ni","given":"Meng"}],"issued":{"date-parts":[["2022",7,15]]}}}],"schema":"https://github.com/citation-style-language/schema/raw/master/csl-citation.json"} </w:instrText>
      </w:r>
      <w:r w:rsidRPr="001746A8">
        <w:fldChar w:fldCharType="separate"/>
      </w:r>
      <w:r w:rsidR="00CA7A9D" w:rsidRPr="00CA7A9D">
        <w:rPr>
          <w:rFonts w:ascii="Aptos" w:hAnsi="Aptos"/>
        </w:rPr>
        <w:t>[15], [110]</w:t>
      </w:r>
      <w:r w:rsidRPr="001746A8">
        <w:fldChar w:fldCharType="end"/>
      </w:r>
      <w:r w:rsidRPr="001746A8">
        <w:t>. At this point</w:t>
      </w:r>
      <w:r>
        <w:t xml:space="preserve"> in</w:t>
      </w:r>
      <w:r w:rsidRPr="001746A8">
        <w:t xml:space="preserve">, the stream labeled “NG to recycle” would return to the “Raw NG” stream to repeat the cycle. </w:t>
      </w:r>
    </w:p>
    <w:p w14:paraId="2C49071E" w14:textId="77777777" w:rsidR="00B927C8" w:rsidRPr="001746A8" w:rsidRDefault="00B927C8" w:rsidP="00B927C8">
      <w:pPr>
        <w:pStyle w:val="Heading3"/>
      </w:pPr>
      <w:bookmarkStart w:id="145" w:name="_Toc165641099"/>
      <w:r>
        <w:t>5.1.3 Costing Approach</w:t>
      </w:r>
      <w:bookmarkEnd w:id="145"/>
    </w:p>
    <w:p w14:paraId="08A2C791" w14:textId="13F789E0" w:rsidR="00B927C8" w:rsidRPr="001746A8" w:rsidRDefault="00B927C8" w:rsidP="00B927C8">
      <w:r w:rsidRPr="001746A8">
        <w:t>To evaluate the profits of the system, a</w:t>
      </w:r>
      <w:r>
        <w:t xml:space="preserve">n </w:t>
      </w:r>
      <w:r w:rsidRPr="001746A8">
        <w:t xml:space="preserve">estimate for the price of the two primary products of the system </w:t>
      </w:r>
      <w:r w:rsidR="00EB6FFF">
        <w:t>is</w:t>
      </w:r>
      <w:r w:rsidRPr="001746A8">
        <w:t xml:space="preserve"> considered, </w:t>
      </w:r>
      <w:r>
        <w:t>namely,</w:t>
      </w:r>
      <w:r w:rsidRPr="001746A8">
        <w:t xml:space="preserve"> the price of electricity for the plant</w:t>
      </w:r>
      <w:r>
        <w:t>,</w:t>
      </w:r>
      <w:r w:rsidRPr="001746A8">
        <w:t xml:space="preserve"> and</w:t>
      </w:r>
      <w:r>
        <w:t xml:space="preserve"> the</w:t>
      </w:r>
      <w:r w:rsidRPr="001746A8">
        <w:t xml:space="preserve"> sale price of aromatic chemicals. The average ultimate price for electricity in the U.S. is around 12 cents per kWh </w:t>
      </w:r>
      <w:r w:rsidRPr="001746A8">
        <w:fldChar w:fldCharType="begin"/>
      </w:r>
      <w:r w:rsidR="00CA7A9D">
        <w:instrText xml:space="preserve"> ADDIN ZOTERO_ITEM CSL_CITATION {"citationID":"a3gokd1llf","properties":{"formattedCitation":"[111]","plainCitation":"[111]","noteIndex":0},"citationItems":[{"id":56,"uris":["http://zotero.org/users/12063231/items/HQZIHTXM"],"itemData":{"id":56,"type":"webpage","abstract":"Energy Information Administration - EIA - Official Energy Statistics from the U.S. Government","title":"Electric Power Monthly - U.S. Energy Information Administration (EIA)","URL":"https://www.eia.gov/electricity/monthly/index.php","accessed":{"date-parts":[["2023",9,20]]}}}],"schema":"https://github.com/citation-style-language/schema/raw/master/csl-citation.json"} </w:instrText>
      </w:r>
      <w:r w:rsidRPr="001746A8">
        <w:fldChar w:fldCharType="separate"/>
      </w:r>
      <w:r w:rsidR="00CA7A9D" w:rsidRPr="00CA7A9D">
        <w:rPr>
          <w:rFonts w:ascii="Aptos" w:hAnsi="Aptos"/>
        </w:rPr>
        <w:t>[111]</w:t>
      </w:r>
      <w:r w:rsidRPr="001746A8">
        <w:fldChar w:fldCharType="end"/>
      </w:r>
      <w:r w:rsidRPr="001746A8">
        <w:t>,</w:t>
      </w:r>
      <w:r>
        <w:t xml:space="preserve"> and this number is used here even though it is substantially higher than the industrial average due to the elevated cost of electricity in remote locations such as are considered in this use case. T</w:t>
      </w:r>
      <w:r w:rsidRPr="001746A8">
        <w:t xml:space="preserve">he price for benzene and aromatics has more fluctuation, as seen in </w:t>
      </w:r>
      <w:r w:rsidRPr="001746A8">
        <w:fldChar w:fldCharType="begin"/>
      </w:r>
      <w:r w:rsidRPr="001746A8">
        <w:instrText xml:space="preserve"> REF _Ref147788961 \h </w:instrText>
      </w:r>
      <w:r w:rsidRPr="001746A8">
        <w:fldChar w:fldCharType="separate"/>
      </w:r>
      <w:r w:rsidR="004A4FD3" w:rsidRPr="001746A8">
        <w:rPr>
          <w:iCs/>
        </w:rPr>
        <w:t xml:space="preserve">Figure </w:t>
      </w:r>
      <w:r w:rsidR="004A4FD3">
        <w:rPr>
          <w:iCs/>
        </w:rPr>
        <w:t>5.</w:t>
      </w:r>
      <w:r w:rsidR="004A4FD3">
        <w:rPr>
          <w:iCs/>
          <w:noProof/>
        </w:rPr>
        <w:t>2</w:t>
      </w:r>
      <w:r w:rsidRPr="001746A8">
        <w:fldChar w:fldCharType="end"/>
      </w:r>
      <w:r w:rsidRPr="001746A8">
        <w:t>.</w:t>
      </w:r>
    </w:p>
    <w:p w14:paraId="67CECBF5" w14:textId="77777777" w:rsidR="00B927C8" w:rsidRPr="001746A8" w:rsidRDefault="00B927C8" w:rsidP="00B927C8">
      <w:pPr>
        <w:jc w:val="center"/>
      </w:pPr>
      <w:r w:rsidRPr="001746A8">
        <w:rPr>
          <w:noProof/>
        </w:rPr>
        <w:drawing>
          <wp:inline distT="0" distB="0" distL="0" distR="0" wp14:anchorId="216C2549" wp14:editId="4CDF293A">
            <wp:extent cx="3025775" cy="2184400"/>
            <wp:effectExtent l="0" t="0" r="3175" b="6350"/>
            <wp:docPr id="944564508" name="Picture 944564508" descr="A graph of a graph with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564508" name="Picture 944564508" descr="A graph of a graph with numbers and lines&#10;&#10;Description automatically generated with medium confidence"/>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2747" t="1819" r="1788" b="6874"/>
                    <a:stretch/>
                  </pic:blipFill>
                  <pic:spPr bwMode="auto">
                    <a:xfrm>
                      <a:off x="0" y="0"/>
                      <a:ext cx="3037234" cy="2192673"/>
                    </a:xfrm>
                    <a:prstGeom prst="rect">
                      <a:avLst/>
                    </a:prstGeom>
                    <a:noFill/>
                    <a:ln>
                      <a:noFill/>
                    </a:ln>
                    <a:extLst>
                      <a:ext uri="{53640926-AAD7-44D8-BBD7-CCE9431645EC}">
                        <a14:shadowObscured xmlns:a14="http://schemas.microsoft.com/office/drawing/2010/main"/>
                      </a:ext>
                    </a:extLst>
                  </pic:spPr>
                </pic:pic>
              </a:graphicData>
            </a:graphic>
          </wp:inline>
        </w:drawing>
      </w:r>
    </w:p>
    <w:p w14:paraId="03735E62" w14:textId="5BBE9346" w:rsidR="00B927C8" w:rsidRPr="001746A8" w:rsidRDefault="00B927C8" w:rsidP="004A4FD3">
      <w:pPr>
        <w:pStyle w:val="Caption"/>
      </w:pPr>
      <w:bookmarkStart w:id="146" w:name="_Ref147788961"/>
      <w:bookmarkStart w:id="147" w:name="_Toc165641154"/>
      <w:r w:rsidRPr="001746A8">
        <w:t xml:space="preserve">Figure </w:t>
      </w:r>
      <w:r>
        <w:t>5.</w:t>
      </w:r>
      <w:r w:rsidRPr="001746A8">
        <w:fldChar w:fldCharType="begin"/>
      </w:r>
      <w:r w:rsidRPr="001746A8">
        <w:instrText xml:space="preserve"> SEQ Figure \* ARABIC </w:instrText>
      </w:r>
      <w:r w:rsidRPr="001746A8">
        <w:fldChar w:fldCharType="separate"/>
      </w:r>
      <w:r>
        <w:rPr>
          <w:noProof/>
        </w:rPr>
        <w:t>2</w:t>
      </w:r>
      <w:r w:rsidRPr="001746A8">
        <w:fldChar w:fldCharType="end"/>
      </w:r>
      <w:bookmarkEnd w:id="146"/>
      <w:r w:rsidRPr="001746A8">
        <w:t xml:space="preserve">: Average market price for aromatic chemicals from 2018-2023. </w:t>
      </w:r>
      <w:r w:rsidRPr="005F6DC5">
        <w:t xml:space="preserve">The dashed blue line represents the approximate average for the price of BTX materials, around $3/gallon since 2018. </w:t>
      </w:r>
      <w:r w:rsidRPr="001746A8">
        <w:t xml:space="preserve">Figure </w:t>
      </w:r>
      <w:r>
        <w:t>re</w:t>
      </w:r>
      <w:r w:rsidRPr="001746A8">
        <w:t xml:space="preserve">produced with permission from reference </w:t>
      </w:r>
      <w:r w:rsidRPr="001746A8">
        <w:fldChar w:fldCharType="begin"/>
      </w:r>
      <w:r w:rsidR="00CA7A9D">
        <w:instrText xml:space="preserve"> ADDIN ZOTERO_ITEM CSL_CITATION {"citationID":"arctbbsrld","properties":{"formattedCitation":"[112]","plainCitation":"[112]","noteIndex":0},"citationItems":[{"id":44,"uris":["http://zotero.org/users/12063231/items/RXVAMNTZ"],"itemData":{"id":44,"type":"webpage","abstract":"Ethanol, Fuels and Co-Product Pricing Market Outlook: U.S. ethanol prices ended last week 6 percent higher but pared those gains in early week trading and fell 5.3 percent through Tuesday’s close. Midwest wholesale rack ethanol prices were higher to end last week but were down 3.6 percent through Tuesday’s market close to their last quote … Continue reading \"Ethanol Market and Pricing Data – September 20, 2023\"","language":"en-US","title":"Ethanol Market and Pricing Data Report: September 20, 2023","URL":"https://grains.org/ethanol_report/ethanol-market-and-pricing-data-september-20-2023/","author":[{"family":"World Perspectives, Inc.","given":""},{"family":"U.S. Grains Council","given":""}],"accessed":{"date-parts":[["2023",9,20]]},"issued":{"date-parts":[["2023",9,20]]}}}],"schema":"https://github.com/citation-style-language/schema/raw/master/csl-citation.json"} </w:instrText>
      </w:r>
      <w:r w:rsidRPr="001746A8">
        <w:fldChar w:fldCharType="separate"/>
      </w:r>
      <w:r w:rsidR="00CA7A9D" w:rsidRPr="00CA7A9D">
        <w:rPr>
          <w:rFonts w:ascii="Aptos" w:hAnsi="Aptos"/>
        </w:rPr>
        <w:t>[112]</w:t>
      </w:r>
      <w:bookmarkEnd w:id="147"/>
      <w:r w:rsidRPr="001746A8">
        <w:fldChar w:fldCharType="end"/>
      </w:r>
    </w:p>
    <w:p w14:paraId="7BF88A0C" w14:textId="77777777" w:rsidR="00B927C8" w:rsidRPr="001746A8" w:rsidRDefault="00B927C8" w:rsidP="00B927C8">
      <w:r w:rsidRPr="001746A8">
        <w:t xml:space="preserve">These </w:t>
      </w:r>
      <w:r>
        <w:t>two products</w:t>
      </w:r>
      <w:r w:rsidRPr="001746A8">
        <w:t xml:space="preserve"> can be combined to determine a gross profit value for the system. The aromatics product is assumed to be transported to a BTX facility </w:t>
      </w:r>
      <w:r>
        <w:t>or other customer, while the generated power is likely to be used onsite.</w:t>
      </w:r>
      <w:r w:rsidRPr="001746A8">
        <w:t xml:space="preserve"> </w:t>
      </w:r>
      <w:r>
        <w:t>Combining these profits is done using</w:t>
      </w:r>
      <w:r w:rsidRPr="001746A8">
        <w:t xml:space="preserve"> the following formula:</w:t>
      </w:r>
    </w:p>
    <w:p w14:paraId="08D4F443" w14:textId="77777777" w:rsidR="00B927C8" w:rsidRPr="00CC4DFB" w:rsidRDefault="00B927C8" w:rsidP="00B927C8">
      <w:pPr>
        <w:jc w:val="right"/>
      </w:pPr>
      <m:oMath>
        <m:r>
          <w:rPr>
            <w:rFonts w:ascii="Cambria Math" w:hAnsi="Cambria Math"/>
          </w:rPr>
          <m:t>Gross Profits= </m:t>
        </m:r>
        <m:sSub>
          <m:sSubPr>
            <m:ctrlPr>
              <w:rPr>
                <w:rFonts w:ascii="Cambria Math" w:hAnsi="Cambria Math"/>
                <w:i/>
                <w:iCs/>
              </w:rPr>
            </m:ctrlPr>
          </m:sSubPr>
          <m:e>
            <m:r>
              <w:rPr>
                <w:rFonts w:ascii="Cambria Math" w:hAnsi="Cambria Math"/>
              </w:rPr>
              <m:t>E</m:t>
            </m:r>
          </m:e>
          <m:sub>
            <m:r>
              <w:rPr>
                <w:rFonts w:ascii="Cambria Math" w:hAnsi="Cambria Math"/>
              </w:rPr>
              <m:t>PCFC</m:t>
            </m:r>
          </m:sub>
        </m:sSub>
        <m:r>
          <w:rPr>
            <w:rFonts w:ascii="Cambria Math" w:hAnsi="Cambria Math"/>
          </w:rPr>
          <m:t>*</m:t>
        </m:r>
        <m:f>
          <m:fPr>
            <m:ctrlPr>
              <w:rPr>
                <w:rFonts w:ascii="Cambria Math" w:hAnsi="Cambria Math"/>
                <w:i/>
                <w:iCs/>
              </w:rPr>
            </m:ctrlPr>
          </m:fPr>
          <m:num>
            <m:r>
              <w:rPr>
                <w:rFonts w:ascii="Cambria Math" w:hAnsi="Cambria Math"/>
              </w:rPr>
              <m:t>$</m:t>
            </m:r>
          </m:num>
          <m:den>
            <m:r>
              <w:rPr>
                <w:rFonts w:ascii="Cambria Math" w:hAnsi="Cambria Math"/>
              </w:rPr>
              <m:t>kWh</m:t>
            </m:r>
          </m:den>
        </m:f>
        <m:r>
          <w:rPr>
            <w:rFonts w:ascii="Cambria Math" w:hAnsi="Cambria Math"/>
          </w:rPr>
          <m:t>+BT</m:t>
        </m:r>
        <m:sSub>
          <m:sSubPr>
            <m:ctrlPr>
              <w:rPr>
                <w:rFonts w:ascii="Cambria Math" w:hAnsi="Cambria Math"/>
                <w:i/>
                <w:iCs/>
              </w:rPr>
            </m:ctrlPr>
          </m:sSubPr>
          <m:e>
            <m:r>
              <w:rPr>
                <w:rFonts w:ascii="Cambria Math" w:hAnsi="Cambria Math"/>
              </w:rPr>
              <m:t>X</m:t>
            </m:r>
          </m:e>
          <m:sub>
            <m:r>
              <w:rPr>
                <w:rFonts w:ascii="Cambria Math" w:hAnsi="Cambria Math"/>
              </w:rPr>
              <m:t>PCFC</m:t>
            </m:r>
          </m:sub>
        </m:sSub>
        <m:r>
          <w:rPr>
            <w:rFonts w:ascii="Cambria Math" w:hAnsi="Cambria Math"/>
          </w:rPr>
          <m:t>*</m:t>
        </m:r>
        <m:f>
          <m:fPr>
            <m:ctrlPr>
              <w:rPr>
                <w:rFonts w:ascii="Cambria Math" w:hAnsi="Cambria Math"/>
                <w:i/>
                <w:iCs/>
              </w:rPr>
            </m:ctrlPr>
          </m:fPr>
          <m:num>
            <m:r>
              <w:rPr>
                <w:rFonts w:ascii="Cambria Math" w:hAnsi="Cambria Math"/>
              </w:rPr>
              <m:t>$3</m:t>
            </m:r>
          </m:num>
          <m:den>
            <m:r>
              <w:rPr>
                <w:rFonts w:ascii="Cambria Math" w:hAnsi="Cambria Math"/>
              </w:rPr>
              <m:t>gallon</m:t>
            </m:r>
          </m:den>
        </m:f>
      </m:oMath>
      <w:r>
        <w:rPr>
          <w:rFonts w:eastAsiaTheme="minorEastAsia"/>
          <w:iCs/>
        </w:rPr>
        <w:tab/>
      </w:r>
      <w:r>
        <w:rPr>
          <w:rFonts w:eastAsiaTheme="minorEastAsia"/>
          <w:iCs/>
        </w:rPr>
        <w:tab/>
      </w:r>
      <w:r>
        <w:rPr>
          <w:rFonts w:eastAsiaTheme="minorEastAsia"/>
          <w:iCs/>
        </w:rPr>
        <w:tab/>
        <w:t>(5.1)</w:t>
      </w:r>
    </w:p>
    <w:p w14:paraId="6CAB523A" w14:textId="02D3B434" w:rsidR="00B927C8" w:rsidRPr="00A92CF4" w:rsidRDefault="00B927C8" w:rsidP="00B927C8">
      <w:r w:rsidRPr="001746A8">
        <w:t xml:space="preserve">Where </w:t>
      </w:r>
      <m:oMath>
        <m:sSub>
          <m:sSubPr>
            <m:ctrlPr>
              <w:rPr>
                <w:rFonts w:ascii="Cambria Math" w:hAnsi="Cambria Math"/>
                <w:i/>
              </w:rPr>
            </m:ctrlPr>
          </m:sSubPr>
          <m:e>
            <m:r>
              <w:rPr>
                <w:rFonts w:ascii="Cambria Math" w:hAnsi="Cambria Math"/>
              </w:rPr>
              <m:t>E</m:t>
            </m:r>
          </m:e>
          <m:sub>
            <m:r>
              <w:rPr>
                <w:rFonts w:ascii="Cambria Math" w:hAnsi="Cambria Math"/>
              </w:rPr>
              <m:t>PCER</m:t>
            </m:r>
          </m:sub>
        </m:sSub>
      </m:oMath>
      <w:r w:rsidRPr="001746A8">
        <w:t xml:space="preserve"> is the electricity generated by the modular reactor, and </w:t>
      </w:r>
      <m:oMath>
        <m:r>
          <w:rPr>
            <w:rFonts w:ascii="Cambria Math" w:hAnsi="Cambria Math"/>
          </w:rPr>
          <m:t>BT</m:t>
        </m:r>
        <m:sSub>
          <m:sSubPr>
            <m:ctrlPr>
              <w:rPr>
                <w:rFonts w:ascii="Cambria Math" w:hAnsi="Cambria Math"/>
                <w:i/>
              </w:rPr>
            </m:ctrlPr>
          </m:sSubPr>
          <m:e>
            <m:r>
              <w:rPr>
                <w:rFonts w:ascii="Cambria Math" w:hAnsi="Cambria Math"/>
              </w:rPr>
              <m:t>X</m:t>
            </m:r>
          </m:e>
          <m:sub>
            <m:r>
              <w:rPr>
                <w:rFonts w:ascii="Cambria Math" w:hAnsi="Cambria Math"/>
              </w:rPr>
              <m:t>PCER</m:t>
            </m:r>
          </m:sub>
        </m:sSub>
      </m:oMath>
      <w:r w:rsidRPr="001746A8">
        <w:t xml:space="preserve"> is the amount of BTX/aromatic product generated by the PC</w:t>
      </w:r>
      <w:r>
        <w:t>FC</w:t>
      </w:r>
      <w:r w:rsidRPr="001746A8">
        <w:t xml:space="preserve"> in gallons. The capital cost of the system </w:t>
      </w:r>
      <w:r w:rsidR="00EB6FFF">
        <w:t>is</w:t>
      </w:r>
      <w:r w:rsidRPr="001746A8">
        <w:t xml:space="preserve"> determined </w:t>
      </w:r>
      <w:r>
        <w:t xml:space="preserve">by combining the capital cost estimated by the Aspen-HYSYS software with an estimate of the PCFC manufacturing and installation costs. Notably, Aspen-HYSYS cost estimations largely ignore processes modeled by component splitters. As such, the aromatics separator is considered to take the place of the PCFC with regard to the Aspen-HYSYS cost estimations; and the CCS is factored in afterwards as a lump sum and is assumed to be either a small-scale modular adsorption CCS or a modular CCS sold by Carbon Clean  </w:t>
      </w:r>
      <w:r>
        <w:fldChar w:fldCharType="begin"/>
      </w:r>
      <w:r w:rsidR="00CA7A9D">
        <w:instrText xml:space="preserve"> ADDIN ZOTERO_ITEM CSL_CITATION {"citationID":"a1ed22494p8","properties":{"formattedCitation":"[113]","plainCitation":"[113]","noteIndex":0},"citationItems":[{"id":875,"uris":["http://zotero.org/users/12063231/items/AWLCRP8C"],"itemData":{"id":875,"type":"webpage","abstract":"Our revolutionary carbon capture systems are modularised and containerised, making CO2 capture for industry more efficient than ever.","language":"en","title":"Modular carbon capture systems for industry | Carbon Clean","URL":"https://www.carbonclean.com/modular-carbon-capture-systems","accessed":{"date-parts":[["2024",4,22]]}}}],"schema":"https://github.com/citation-style-language/schema/raw/master/csl-citation.json"} </w:instrText>
      </w:r>
      <w:r>
        <w:fldChar w:fldCharType="separate"/>
      </w:r>
      <w:r w:rsidR="00CA7A9D" w:rsidRPr="00CA7A9D">
        <w:rPr>
          <w:rFonts w:ascii="Aptos" w:hAnsi="Aptos"/>
        </w:rPr>
        <w:t>[113]</w:t>
      </w:r>
      <w:r>
        <w:fldChar w:fldCharType="end"/>
      </w:r>
      <w:r>
        <w:t>. Modular CCSs have gradually become a more popular industry, with Carbon Clean offering an affordable 10 tCO</w:t>
      </w:r>
      <w:r>
        <w:rPr>
          <w:vertAlign w:val="subscript"/>
        </w:rPr>
        <w:t>2</w:t>
      </w:r>
      <w:r>
        <w:t xml:space="preserve">/d CCS  </w:t>
      </w:r>
      <w:r>
        <w:fldChar w:fldCharType="begin"/>
      </w:r>
      <w:r w:rsidR="00CA7A9D">
        <w:instrText xml:space="preserve"> ADDIN ZOTERO_ITEM CSL_CITATION {"citationID":"a2hpen34ls1","properties":{"formattedCitation":"[113], [114]","plainCitation":"[113], [114]","noteIndex":0},"citationItems":[{"id":877,"uris":["http://zotero.org/users/12063231/items/CZPT2ESR"],"itemData":{"id":877,"type":"webpage","abstract":"The firm says its CycloneCC takes up one-tenth the space and operates at half the cost of conventional approaches","container-title":"Chemical &amp; Engineering News","language":"en","title":"Carbon Clean launches modular CO₂ capture system","URL":"https://cen.acs.org/environment/climate-change/Carbon-Clean-launches-modular-CO2/99/web/2021/11","accessed":{"date-parts":[["2024",4,22]]}}},{"id":875,"uris":["http://zotero.org/users/12063231/items/AWLCRP8C"],"itemData":{"id":875,"type":"webpage","abstract":"Our revolutionary carbon capture systems are modularised and containerised, making CO2 capture for industry more efficient than ever.","language":"en","title":"Modular carbon capture systems for industry | Carbon Clean","URL":"https://www.carbonclean.com/modular-carbon-capture-systems","accessed":{"date-parts":[["2024",4,22]]}}}],"schema":"https://github.com/citation-style-language/schema/raw/master/csl-citation.json"} </w:instrText>
      </w:r>
      <w:r>
        <w:fldChar w:fldCharType="separate"/>
      </w:r>
      <w:r w:rsidR="00CA7A9D" w:rsidRPr="00CA7A9D">
        <w:rPr>
          <w:rFonts w:ascii="Aptos" w:hAnsi="Aptos"/>
        </w:rPr>
        <w:t>[113], [114]</w:t>
      </w:r>
      <w:r>
        <w:fldChar w:fldCharType="end"/>
      </w:r>
      <w:r>
        <w:t xml:space="preserve">. </w:t>
      </w:r>
    </w:p>
    <w:p w14:paraId="037E7B80" w14:textId="069CAA70" w:rsidR="00B927C8" w:rsidRPr="001746A8" w:rsidRDefault="00B927C8" w:rsidP="00B927C8">
      <w:r>
        <w:t xml:space="preserve">PCFC installation costs are relatively complex, and a trusted approach for estimating this important factor was not available at the time of this writing. Instead, the average ratio between the equipment and installation costs of the balance of plant components in the Aspen-HYSYS economic analyzer tool </w:t>
      </w:r>
      <w:r w:rsidR="00EB6FFF">
        <w:t>is</w:t>
      </w:r>
      <w:r>
        <w:t xml:space="preserve"> applied to the PCFC equipment cost to provide an estimate for the PCFC installation. This factor likely has the largest potential margin of error of the factors considered in the cost analysis. </w:t>
      </w:r>
      <w:r w:rsidRPr="001746A8">
        <w:t xml:space="preserve">Once the </w:t>
      </w:r>
      <w:r>
        <w:t>g</w:t>
      </w:r>
      <w:r w:rsidRPr="001746A8">
        <w:t xml:space="preserve">ross profits are calculated, the total spending per year can be subtracted to find the net revenue per year of the system’s operation. </w:t>
      </w:r>
    </w:p>
    <w:p w14:paraId="26549DDE" w14:textId="77777777" w:rsidR="00B927C8" w:rsidRPr="00081319" w:rsidRDefault="00B927C8" w:rsidP="00B927C8">
      <w:pPr>
        <w:jc w:val="right"/>
      </w:pPr>
      <m:oMath>
        <m:r>
          <w:rPr>
            <w:rFonts w:ascii="Cambria Math" w:hAnsi="Cambria Math"/>
            <w:vertAlign w:val="subscript"/>
          </w:rPr>
          <m:t>Net Revenue=Gross Profits-</m:t>
        </m:r>
        <m:d>
          <m:dPr>
            <m:ctrlPr>
              <w:rPr>
                <w:rFonts w:ascii="Cambria Math" w:hAnsi="Cambria Math"/>
                <w:i/>
                <w:vertAlign w:val="subscript"/>
              </w:rPr>
            </m:ctrlPr>
          </m:dPr>
          <m:e>
            <m:r>
              <w:rPr>
                <w:rFonts w:ascii="Cambria Math" w:hAnsi="Cambria Math"/>
                <w:vertAlign w:val="subscript"/>
              </w:rPr>
              <m:t>O&amp;M+</m:t>
            </m:r>
            <m:sSub>
              <m:sSubPr>
                <m:ctrlPr>
                  <w:rPr>
                    <w:rFonts w:ascii="Cambria Math" w:hAnsi="Cambria Math"/>
                    <w:i/>
                    <w:vertAlign w:val="subscript"/>
                  </w:rPr>
                </m:ctrlPr>
              </m:sSubPr>
              <m:e>
                <m:r>
                  <w:rPr>
                    <w:rFonts w:ascii="Cambria Math" w:hAnsi="Cambria Math"/>
                    <w:vertAlign w:val="subscript"/>
                  </w:rPr>
                  <m:t>C</m:t>
                </m:r>
              </m:e>
              <m:sub>
                <m:r>
                  <w:rPr>
                    <w:rFonts w:ascii="Cambria Math" w:hAnsi="Cambria Math"/>
                    <w:vertAlign w:val="subscript"/>
                  </w:rPr>
                  <m:t>Transport</m:t>
                </m:r>
              </m:sub>
            </m:sSub>
            <m:r>
              <w:rPr>
                <w:rFonts w:ascii="Cambria Math" w:hAnsi="Cambria Math"/>
                <w:vertAlign w:val="subscript"/>
              </w:rPr>
              <m:t>+Cap</m:t>
            </m:r>
          </m:e>
        </m:d>
      </m:oMath>
      <w:r>
        <w:rPr>
          <w:rFonts w:eastAsiaTheme="minorEastAsia"/>
          <w:vertAlign w:val="subscript"/>
        </w:rPr>
        <w:tab/>
      </w:r>
      <w:r>
        <w:rPr>
          <w:rFonts w:eastAsiaTheme="minorEastAsia"/>
          <w:vertAlign w:val="subscript"/>
        </w:rPr>
        <w:tab/>
      </w:r>
      <w:r>
        <w:rPr>
          <w:rFonts w:eastAsiaTheme="minorEastAsia"/>
          <w:vertAlign w:val="subscript"/>
        </w:rPr>
        <w:tab/>
      </w:r>
      <w:r>
        <w:rPr>
          <w:rFonts w:eastAsiaTheme="minorEastAsia"/>
        </w:rPr>
        <w:t>(5.2)</w:t>
      </w:r>
    </w:p>
    <w:p w14:paraId="17390240" w14:textId="77777777" w:rsidR="00B927C8" w:rsidRDefault="00B927C8" w:rsidP="00B927C8">
      <w:r w:rsidRPr="001746A8">
        <w:t xml:space="preserve">Where </w:t>
      </w:r>
      <m:oMath>
        <m:r>
          <w:rPr>
            <w:rFonts w:ascii="Cambria Math" w:hAnsi="Cambria Math"/>
          </w:rPr>
          <m:t>O&amp;M</m:t>
        </m:r>
      </m:oMath>
      <w:r w:rsidRPr="001746A8">
        <w:t xml:space="preserve"> represents the </w:t>
      </w:r>
      <w:r>
        <w:t xml:space="preserve">annual </w:t>
      </w:r>
      <w:r w:rsidRPr="001746A8">
        <w:t xml:space="preserve">operations and maintenance cost as directly calculated by Aspen-HYSYS, plus an additional $70/kW for the PCFC, </w:t>
      </w:r>
      <m:oMath>
        <m:sSub>
          <m:sSubPr>
            <m:ctrlPr>
              <w:rPr>
                <w:rFonts w:ascii="Cambria Math" w:hAnsi="Cambria Math"/>
                <w:i/>
              </w:rPr>
            </m:ctrlPr>
          </m:sSubPr>
          <m:e>
            <m:r>
              <w:rPr>
                <w:rFonts w:ascii="Cambria Math" w:hAnsi="Cambria Math"/>
              </w:rPr>
              <m:t>C</m:t>
            </m:r>
          </m:e>
          <m:sub>
            <m:r>
              <w:rPr>
                <w:rFonts w:ascii="Cambria Math" w:hAnsi="Cambria Math"/>
              </w:rPr>
              <m:t>Transport</m:t>
            </m:r>
          </m:sub>
        </m:sSub>
      </m:oMath>
      <w:r w:rsidRPr="001746A8">
        <w:t xml:space="preserve"> represents the cost of transporting the aromatic chemicals from the wellhead to a customer or BTX facility, and </w:t>
      </w:r>
      <m:oMath>
        <m:r>
          <w:rPr>
            <w:rFonts w:ascii="Cambria Math" w:hAnsi="Cambria Math"/>
          </w:rPr>
          <m:t>Cap</m:t>
        </m:r>
      </m:oMath>
      <w:r w:rsidRPr="001746A8">
        <w:t xml:space="preserve"> represents a yearly payback of </w:t>
      </w:r>
      <w:r>
        <w:t>10</w:t>
      </w:r>
      <w:r w:rsidRPr="001746A8">
        <w:t xml:space="preserve">% of the system capital costs for a total payback period of </w:t>
      </w:r>
      <w:r>
        <w:t>10</w:t>
      </w:r>
      <w:r w:rsidRPr="001746A8">
        <w:t xml:space="preserve"> years, after which time this </w:t>
      </w:r>
      <w:r>
        <w:t>factor</w:t>
      </w:r>
      <w:r w:rsidRPr="001746A8">
        <w:t xml:space="preserve"> can be removed for additional profit.</w:t>
      </w:r>
    </w:p>
    <w:p w14:paraId="0118185C" w14:textId="760A832B" w:rsidR="00B927C8" w:rsidRDefault="00B927C8" w:rsidP="00B927C8">
      <w:r>
        <w:t xml:space="preserve">The transportation costs can be significant when there is no piping infrastructure, as considered here in the use case. For this cost, a variety of factors </w:t>
      </w:r>
      <w:r w:rsidR="0020124E">
        <w:t>are</w:t>
      </w:r>
      <w:r>
        <w:t xml:space="preserve"> considered, including the hourly rate for a truck driver, cost of two 60,000 </w:t>
      </w:r>
      <w:proofErr w:type="spellStart"/>
      <w:r>
        <w:t>lb</w:t>
      </w:r>
      <w:proofErr w:type="spellEnd"/>
      <w:r>
        <w:t xml:space="preserve"> trailers, one truck, vehicle maintenance, and a 500-mile round trip distance. Two trailers are needed so that aromatics can continue to be stored during transportation. The values considered and references from which they </w:t>
      </w:r>
      <w:r w:rsidR="0020124E">
        <w:t>are</w:t>
      </w:r>
      <w:r>
        <w:t xml:space="preserve"> taken are shown in </w:t>
      </w:r>
      <w:r>
        <w:fldChar w:fldCharType="begin"/>
      </w:r>
      <w:r>
        <w:instrText xml:space="preserve"> REF _Ref164645378 \h </w:instrText>
      </w:r>
      <w:r>
        <w:fldChar w:fldCharType="separate"/>
      </w:r>
      <w:r>
        <w:t>Table 5.</w:t>
      </w:r>
      <w:r>
        <w:rPr>
          <w:noProof/>
        </w:rPr>
        <w:t>2</w:t>
      </w:r>
      <w:r>
        <w:fldChar w:fldCharType="end"/>
      </w:r>
      <w:r>
        <w:t>.</w:t>
      </w:r>
    </w:p>
    <w:p w14:paraId="146B435D" w14:textId="77777777" w:rsidR="00B927C8" w:rsidRDefault="00B927C8" w:rsidP="00B927C8">
      <w:pPr>
        <w:pStyle w:val="Caption"/>
        <w:keepNext/>
      </w:pPr>
      <w:bookmarkStart w:id="148" w:name="_Ref164645378"/>
      <w:bookmarkStart w:id="149" w:name="_Toc165641121"/>
      <w:r>
        <w:t>Table 5.</w:t>
      </w:r>
      <w:r>
        <w:fldChar w:fldCharType="begin"/>
      </w:r>
      <w:r>
        <w:instrText xml:space="preserve"> SEQ Table \* ARABIC </w:instrText>
      </w:r>
      <w:r>
        <w:fldChar w:fldCharType="separate"/>
      </w:r>
      <w:r>
        <w:rPr>
          <w:noProof/>
        </w:rPr>
        <w:t>2</w:t>
      </w:r>
      <w:r>
        <w:fldChar w:fldCharType="end"/>
      </w:r>
      <w:bookmarkEnd w:id="148"/>
      <w:r>
        <w:t>: Transportation Cost Factors</w:t>
      </w:r>
      <w:bookmarkEnd w:id="149"/>
    </w:p>
    <w:tbl>
      <w:tblPr>
        <w:tblStyle w:val="TableGrid"/>
        <w:tblW w:w="8815" w:type="dxa"/>
        <w:jc w:val="center"/>
        <w:tblLook w:val="04A0" w:firstRow="1" w:lastRow="0" w:firstColumn="1" w:lastColumn="0" w:noHBand="0" w:noVBand="1"/>
      </w:tblPr>
      <w:tblGrid>
        <w:gridCol w:w="5153"/>
        <w:gridCol w:w="2195"/>
        <w:gridCol w:w="1467"/>
      </w:tblGrid>
      <w:tr w:rsidR="00B927C8" w:rsidRPr="006A037C" w14:paraId="2C5F54D7" w14:textId="77777777" w:rsidTr="00092E33">
        <w:trPr>
          <w:trHeight w:val="285"/>
          <w:jc w:val="center"/>
        </w:trPr>
        <w:tc>
          <w:tcPr>
            <w:tcW w:w="5153" w:type="dxa"/>
            <w:noWrap/>
          </w:tcPr>
          <w:p w14:paraId="7203F444" w14:textId="77777777" w:rsidR="00B927C8" w:rsidRPr="0060074C" w:rsidRDefault="00B927C8" w:rsidP="00C77590">
            <w:pPr>
              <w:spacing w:line="240" w:lineRule="auto"/>
              <w:ind w:firstLine="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Factor</w:t>
            </w:r>
          </w:p>
        </w:tc>
        <w:tc>
          <w:tcPr>
            <w:tcW w:w="2195" w:type="dxa"/>
          </w:tcPr>
          <w:p w14:paraId="1CBEC3DD" w14:textId="77777777" w:rsidR="00B927C8" w:rsidRPr="0060074C" w:rsidRDefault="00B927C8" w:rsidP="00C77590">
            <w:pPr>
              <w:spacing w:line="240" w:lineRule="auto"/>
              <w:ind w:firstLine="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Cost</w:t>
            </w:r>
          </w:p>
        </w:tc>
        <w:tc>
          <w:tcPr>
            <w:tcW w:w="1467" w:type="dxa"/>
          </w:tcPr>
          <w:p w14:paraId="5D6CA769" w14:textId="77777777" w:rsidR="00B927C8" w:rsidRPr="0060074C" w:rsidRDefault="00B927C8" w:rsidP="00C77590">
            <w:pPr>
              <w:spacing w:line="240" w:lineRule="auto"/>
              <w:ind w:firstLine="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Reference</w:t>
            </w:r>
          </w:p>
        </w:tc>
      </w:tr>
      <w:tr w:rsidR="00B927C8" w:rsidRPr="006A037C" w14:paraId="473CB137" w14:textId="77777777" w:rsidTr="00092E33">
        <w:trPr>
          <w:trHeight w:val="285"/>
          <w:jc w:val="center"/>
        </w:trPr>
        <w:tc>
          <w:tcPr>
            <w:tcW w:w="5153" w:type="dxa"/>
            <w:noWrap/>
            <w:hideMark/>
          </w:tcPr>
          <w:p w14:paraId="604692F2" w14:textId="77777777" w:rsidR="00B927C8" w:rsidRPr="0060074C" w:rsidRDefault="00B927C8" w:rsidP="00C77590">
            <w:pPr>
              <w:spacing w:line="240" w:lineRule="auto"/>
              <w:ind w:firstLine="0"/>
              <w:rPr>
                <w:rFonts w:ascii="Calibri" w:eastAsia="Times New Roman" w:hAnsi="Calibri" w:cs="Calibri"/>
                <w:color w:val="000000"/>
                <w:kern w:val="0"/>
                <w14:ligatures w14:val="none"/>
              </w:rPr>
            </w:pPr>
            <w:r w:rsidRPr="0060074C">
              <w:rPr>
                <w:rFonts w:ascii="Calibri" w:eastAsia="Times New Roman" w:hAnsi="Calibri" w:cs="Calibri"/>
                <w:color w:val="000000"/>
                <w:kern w:val="0"/>
                <w14:ligatures w14:val="none"/>
              </w:rPr>
              <w:t xml:space="preserve">mean annual driver cost per </w:t>
            </w:r>
            <w:r>
              <w:rPr>
                <w:rFonts w:ascii="Calibri" w:eastAsia="Times New Roman" w:hAnsi="Calibri" w:cs="Calibri"/>
                <w:color w:val="000000"/>
                <w:kern w:val="0"/>
                <w14:ligatures w14:val="none"/>
              </w:rPr>
              <w:t>the Bureau of Labor Statistics</w:t>
            </w:r>
          </w:p>
        </w:tc>
        <w:tc>
          <w:tcPr>
            <w:tcW w:w="2195" w:type="dxa"/>
          </w:tcPr>
          <w:p w14:paraId="0E803BC3" w14:textId="77777777" w:rsidR="00B927C8" w:rsidRPr="0060074C" w:rsidRDefault="00B927C8" w:rsidP="00C77590">
            <w:pPr>
              <w:spacing w:line="240" w:lineRule="auto"/>
              <w:ind w:firstLine="0"/>
              <w:rPr>
                <w:rFonts w:ascii="Calibri" w:eastAsia="Times New Roman" w:hAnsi="Calibri" w:cs="Calibri"/>
                <w:color w:val="000000"/>
                <w:kern w:val="0"/>
                <w14:ligatures w14:val="none"/>
              </w:rPr>
            </w:pPr>
            <w:r w:rsidRPr="0060074C">
              <w:rPr>
                <w:rFonts w:ascii="Calibri" w:eastAsia="Times New Roman" w:hAnsi="Calibri" w:cs="Calibri"/>
                <w:color w:val="000000"/>
                <w:kern w:val="0"/>
                <w14:ligatures w14:val="none"/>
              </w:rPr>
              <w:t xml:space="preserve">$53,090.00 </w:t>
            </w:r>
          </w:p>
        </w:tc>
        <w:tc>
          <w:tcPr>
            <w:tcW w:w="1467" w:type="dxa"/>
          </w:tcPr>
          <w:p w14:paraId="68816641" w14:textId="3FEFBEC0" w:rsidR="00B927C8" w:rsidRPr="0060074C" w:rsidRDefault="00B927C8" w:rsidP="00C77590">
            <w:pPr>
              <w:spacing w:line="240" w:lineRule="auto"/>
              <w:ind w:firstLine="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fldChar w:fldCharType="begin"/>
            </w:r>
            <w:r w:rsidR="00CA7A9D">
              <w:rPr>
                <w:rFonts w:ascii="Calibri" w:eastAsia="Times New Roman" w:hAnsi="Calibri" w:cs="Calibri"/>
                <w:color w:val="000000"/>
                <w:kern w:val="0"/>
                <w14:ligatures w14:val="none"/>
              </w:rPr>
              <w:instrText xml:space="preserve"> ADDIN ZOTERO_ITEM CSL_CITATION {"citationID":"a5351add2j","properties":{"formattedCitation":"[115]","plainCitation":"[115]","noteIndex":0},"citationItems":[{"id":41,"uris":["http://zotero.org/users/12063231/items/X6GHZLBT"],"itemData":{"id":41,"type":"webpage","language":"en","title":"Heavy and Tractor-Trailer Truck Drivers","URL":"https://www.bls.gov/oes/current/oes533032.htm","accessed":{"date-parts":[["2023",10,6]]}}}],"schema":"https://github.com/citation-style-language/schema/raw/master/csl-citation.json"} </w:instrText>
            </w:r>
            <w:r>
              <w:rPr>
                <w:rFonts w:ascii="Calibri" w:eastAsia="Times New Roman" w:hAnsi="Calibri" w:cs="Calibri"/>
                <w:color w:val="000000"/>
                <w:kern w:val="0"/>
                <w14:ligatures w14:val="none"/>
              </w:rPr>
              <w:fldChar w:fldCharType="separate"/>
            </w:r>
            <w:r w:rsidR="00CA7A9D" w:rsidRPr="00CA7A9D">
              <w:rPr>
                <w:rFonts w:ascii="Calibri" w:hAnsi="Calibri" w:cs="Calibri"/>
              </w:rPr>
              <w:t>[115]</w:t>
            </w:r>
            <w:r>
              <w:rPr>
                <w:rFonts w:ascii="Calibri" w:eastAsia="Times New Roman" w:hAnsi="Calibri" w:cs="Calibri"/>
                <w:color w:val="000000"/>
                <w:kern w:val="0"/>
                <w14:ligatures w14:val="none"/>
              </w:rPr>
              <w:fldChar w:fldCharType="end"/>
            </w:r>
          </w:p>
        </w:tc>
      </w:tr>
      <w:tr w:rsidR="00B927C8" w:rsidRPr="006A037C" w14:paraId="0892E314" w14:textId="77777777" w:rsidTr="00092E33">
        <w:trPr>
          <w:trHeight w:val="285"/>
          <w:jc w:val="center"/>
        </w:trPr>
        <w:tc>
          <w:tcPr>
            <w:tcW w:w="5153" w:type="dxa"/>
            <w:noWrap/>
            <w:hideMark/>
          </w:tcPr>
          <w:p w14:paraId="7E677081" w14:textId="77777777" w:rsidR="00B927C8" w:rsidRPr="0060074C" w:rsidRDefault="00B927C8" w:rsidP="00C77590">
            <w:pPr>
              <w:spacing w:line="240" w:lineRule="auto"/>
              <w:ind w:firstLine="0"/>
              <w:rPr>
                <w:rFonts w:ascii="Calibri" w:eastAsia="Times New Roman" w:hAnsi="Calibri" w:cs="Calibri"/>
                <w:color w:val="000000"/>
                <w:kern w:val="0"/>
                <w14:ligatures w14:val="none"/>
              </w:rPr>
            </w:pPr>
            <w:r w:rsidRPr="0060074C">
              <w:rPr>
                <w:rFonts w:ascii="Calibri" w:eastAsia="Times New Roman" w:hAnsi="Calibri" w:cs="Calibri"/>
                <w:color w:val="000000"/>
                <w:kern w:val="0"/>
                <w14:ligatures w14:val="none"/>
              </w:rPr>
              <w:t>assumed trip distance (miles)</w:t>
            </w:r>
          </w:p>
        </w:tc>
        <w:tc>
          <w:tcPr>
            <w:tcW w:w="2195" w:type="dxa"/>
          </w:tcPr>
          <w:p w14:paraId="615409C9" w14:textId="77777777" w:rsidR="00B927C8" w:rsidRPr="0060074C" w:rsidRDefault="00B927C8" w:rsidP="00C77590">
            <w:pPr>
              <w:spacing w:line="240" w:lineRule="auto"/>
              <w:ind w:firstLine="0"/>
              <w:rPr>
                <w:rFonts w:ascii="Calibri" w:eastAsia="Times New Roman" w:hAnsi="Calibri" w:cs="Calibri"/>
                <w:color w:val="000000"/>
                <w:kern w:val="0"/>
                <w14:ligatures w14:val="none"/>
              </w:rPr>
            </w:pPr>
            <w:r w:rsidRPr="0060074C">
              <w:rPr>
                <w:rFonts w:ascii="Calibri" w:eastAsia="Times New Roman" w:hAnsi="Calibri" w:cs="Calibri"/>
                <w:color w:val="000000"/>
                <w:kern w:val="0"/>
                <w14:ligatures w14:val="none"/>
              </w:rPr>
              <w:t>500</w:t>
            </w:r>
          </w:p>
        </w:tc>
        <w:tc>
          <w:tcPr>
            <w:tcW w:w="1467" w:type="dxa"/>
          </w:tcPr>
          <w:p w14:paraId="700846D9" w14:textId="77777777" w:rsidR="00B927C8" w:rsidRPr="0060074C" w:rsidRDefault="00B927C8" w:rsidP="00C77590">
            <w:pPr>
              <w:spacing w:line="240" w:lineRule="auto"/>
              <w:ind w:firstLine="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Use Case</w:t>
            </w:r>
          </w:p>
        </w:tc>
      </w:tr>
      <w:tr w:rsidR="00B927C8" w:rsidRPr="006A037C" w14:paraId="007AC6DC" w14:textId="77777777" w:rsidTr="00092E33">
        <w:trPr>
          <w:trHeight w:val="285"/>
          <w:jc w:val="center"/>
        </w:trPr>
        <w:tc>
          <w:tcPr>
            <w:tcW w:w="5153" w:type="dxa"/>
            <w:noWrap/>
            <w:hideMark/>
          </w:tcPr>
          <w:p w14:paraId="061E2DA4" w14:textId="77777777" w:rsidR="00B927C8" w:rsidRPr="0060074C" w:rsidRDefault="00B927C8" w:rsidP="00C77590">
            <w:pPr>
              <w:spacing w:line="240" w:lineRule="auto"/>
              <w:ind w:firstLine="0"/>
              <w:rPr>
                <w:rFonts w:ascii="Calibri" w:eastAsia="Times New Roman" w:hAnsi="Calibri" w:cs="Calibri"/>
                <w:color w:val="000000"/>
                <w:kern w:val="0"/>
                <w14:ligatures w14:val="none"/>
              </w:rPr>
            </w:pPr>
            <w:r w:rsidRPr="0060074C">
              <w:rPr>
                <w:rFonts w:ascii="Calibri" w:eastAsia="Times New Roman" w:hAnsi="Calibri" w:cs="Calibri"/>
                <w:color w:val="000000"/>
                <w:kern w:val="0"/>
                <w14:ligatures w14:val="none"/>
              </w:rPr>
              <w:t>assumed mpg</w:t>
            </w:r>
          </w:p>
        </w:tc>
        <w:tc>
          <w:tcPr>
            <w:tcW w:w="2195" w:type="dxa"/>
          </w:tcPr>
          <w:p w14:paraId="4EC9A8F8" w14:textId="77777777" w:rsidR="00B927C8" w:rsidRPr="0060074C" w:rsidRDefault="00B927C8" w:rsidP="00C77590">
            <w:pPr>
              <w:spacing w:line="240" w:lineRule="auto"/>
              <w:ind w:firstLine="0"/>
              <w:rPr>
                <w:rFonts w:ascii="Calibri" w:eastAsia="Times New Roman" w:hAnsi="Calibri" w:cs="Calibri"/>
                <w:color w:val="000000"/>
                <w:kern w:val="0"/>
                <w14:ligatures w14:val="none"/>
              </w:rPr>
            </w:pPr>
            <w:r w:rsidRPr="0060074C">
              <w:rPr>
                <w:rFonts w:ascii="Calibri" w:eastAsia="Times New Roman" w:hAnsi="Calibri" w:cs="Calibri"/>
                <w:color w:val="000000"/>
                <w:kern w:val="0"/>
                <w14:ligatures w14:val="none"/>
              </w:rPr>
              <w:t>7</w:t>
            </w:r>
          </w:p>
        </w:tc>
        <w:tc>
          <w:tcPr>
            <w:tcW w:w="1467" w:type="dxa"/>
          </w:tcPr>
          <w:p w14:paraId="29641B5F" w14:textId="77777777" w:rsidR="00B927C8" w:rsidRPr="0060074C" w:rsidRDefault="00B927C8" w:rsidP="00C77590">
            <w:pPr>
              <w:spacing w:line="240" w:lineRule="auto"/>
              <w:ind w:firstLine="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Use Case</w:t>
            </w:r>
          </w:p>
        </w:tc>
      </w:tr>
      <w:tr w:rsidR="00B927C8" w:rsidRPr="006A037C" w14:paraId="3733812D" w14:textId="77777777" w:rsidTr="00092E33">
        <w:trPr>
          <w:trHeight w:val="285"/>
          <w:jc w:val="center"/>
        </w:trPr>
        <w:tc>
          <w:tcPr>
            <w:tcW w:w="5153" w:type="dxa"/>
            <w:noWrap/>
            <w:hideMark/>
          </w:tcPr>
          <w:p w14:paraId="012B9402" w14:textId="6650DC32" w:rsidR="00B927C8" w:rsidRPr="0060074C" w:rsidRDefault="00B927C8" w:rsidP="00C77590">
            <w:pPr>
              <w:spacing w:line="240" w:lineRule="auto"/>
              <w:ind w:firstLine="0"/>
              <w:rPr>
                <w:rFonts w:ascii="Calibri" w:eastAsia="Times New Roman" w:hAnsi="Calibri" w:cs="Calibri"/>
                <w:color w:val="000000"/>
                <w:kern w:val="0"/>
                <w14:ligatures w14:val="none"/>
              </w:rPr>
            </w:pPr>
            <w:r w:rsidRPr="0060074C">
              <w:rPr>
                <w:rFonts w:ascii="Calibri" w:eastAsia="Times New Roman" w:hAnsi="Calibri" w:cs="Calibri"/>
                <w:color w:val="000000"/>
                <w:kern w:val="0"/>
                <w14:ligatures w14:val="none"/>
              </w:rPr>
              <w:t xml:space="preserve">estimated </w:t>
            </w:r>
            <w:r w:rsidR="00016D08" w:rsidRPr="0060074C">
              <w:rPr>
                <w:rFonts w:ascii="Calibri" w:eastAsia="Times New Roman" w:hAnsi="Calibri" w:cs="Calibri"/>
                <w:color w:val="000000"/>
                <w:kern w:val="0"/>
                <w14:ligatures w14:val="none"/>
              </w:rPr>
              <w:t>diesel</w:t>
            </w:r>
            <w:r w:rsidRPr="0060074C">
              <w:rPr>
                <w:rFonts w:ascii="Calibri" w:eastAsia="Times New Roman" w:hAnsi="Calibri" w:cs="Calibri"/>
                <w:color w:val="000000"/>
                <w:kern w:val="0"/>
                <w14:ligatures w14:val="none"/>
              </w:rPr>
              <w:t xml:space="preserve"> price</w:t>
            </w:r>
            <w:r>
              <w:rPr>
                <w:rFonts w:ascii="Calibri" w:eastAsia="Times New Roman" w:hAnsi="Calibri" w:cs="Calibri"/>
                <w:color w:val="000000"/>
                <w:kern w:val="0"/>
                <w14:ligatures w14:val="none"/>
              </w:rPr>
              <w:t xml:space="preserve"> per gallon</w:t>
            </w:r>
          </w:p>
        </w:tc>
        <w:tc>
          <w:tcPr>
            <w:tcW w:w="2195" w:type="dxa"/>
          </w:tcPr>
          <w:p w14:paraId="7FD9B909" w14:textId="77777777" w:rsidR="00B927C8" w:rsidRPr="0060074C" w:rsidRDefault="00B927C8" w:rsidP="00C77590">
            <w:pPr>
              <w:spacing w:line="240" w:lineRule="auto"/>
              <w:ind w:firstLine="0"/>
              <w:rPr>
                <w:rFonts w:ascii="Calibri" w:eastAsia="Times New Roman" w:hAnsi="Calibri" w:cs="Calibri"/>
                <w:color w:val="000000"/>
                <w:kern w:val="0"/>
                <w14:ligatures w14:val="none"/>
              </w:rPr>
            </w:pPr>
            <w:r w:rsidRPr="0060074C">
              <w:rPr>
                <w:rFonts w:ascii="Calibri" w:eastAsia="Times New Roman" w:hAnsi="Calibri" w:cs="Calibri"/>
                <w:color w:val="000000"/>
                <w:kern w:val="0"/>
                <w14:ligatures w14:val="none"/>
              </w:rPr>
              <w:t xml:space="preserve">$4.50 </w:t>
            </w:r>
          </w:p>
        </w:tc>
        <w:tc>
          <w:tcPr>
            <w:tcW w:w="1467" w:type="dxa"/>
          </w:tcPr>
          <w:p w14:paraId="5E9C8F54" w14:textId="77777777" w:rsidR="00B927C8" w:rsidRPr="0060074C" w:rsidRDefault="00B927C8" w:rsidP="00C77590">
            <w:pPr>
              <w:spacing w:line="240" w:lineRule="auto"/>
              <w:ind w:firstLine="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Use Case</w:t>
            </w:r>
          </w:p>
        </w:tc>
      </w:tr>
      <w:tr w:rsidR="00B927C8" w:rsidRPr="0060074C" w14:paraId="4D30DE00" w14:textId="77777777" w:rsidTr="00092E33">
        <w:trPr>
          <w:trHeight w:val="285"/>
          <w:jc w:val="center"/>
        </w:trPr>
        <w:tc>
          <w:tcPr>
            <w:tcW w:w="5153" w:type="dxa"/>
            <w:noWrap/>
            <w:hideMark/>
          </w:tcPr>
          <w:p w14:paraId="4DEF7842" w14:textId="77777777" w:rsidR="00B927C8" w:rsidRPr="0060074C" w:rsidRDefault="00B927C8" w:rsidP="00C77590">
            <w:pPr>
              <w:spacing w:line="240" w:lineRule="auto"/>
              <w:ind w:firstLine="0"/>
              <w:rPr>
                <w:rFonts w:ascii="Calibri" w:eastAsia="Times New Roman" w:hAnsi="Calibri" w:cs="Calibri"/>
                <w:color w:val="000000"/>
                <w:kern w:val="0"/>
                <w14:ligatures w14:val="none"/>
              </w:rPr>
            </w:pPr>
            <w:r w:rsidRPr="0060074C">
              <w:rPr>
                <w:rFonts w:ascii="Calibri" w:eastAsia="Times New Roman" w:hAnsi="Calibri" w:cs="Calibri"/>
                <w:color w:val="000000"/>
                <w:kern w:val="0"/>
                <w14:ligatures w14:val="none"/>
              </w:rPr>
              <w:t>cost of 60klb capacity tractor/trailer</w:t>
            </w:r>
          </w:p>
        </w:tc>
        <w:tc>
          <w:tcPr>
            <w:tcW w:w="2195" w:type="dxa"/>
          </w:tcPr>
          <w:p w14:paraId="76E55ECE" w14:textId="77777777" w:rsidR="00B927C8" w:rsidRPr="0060074C" w:rsidRDefault="00B927C8" w:rsidP="00C77590">
            <w:pPr>
              <w:spacing w:line="240" w:lineRule="auto"/>
              <w:ind w:firstLine="0"/>
              <w:rPr>
                <w:rFonts w:ascii="Calibri" w:eastAsia="Times New Roman" w:hAnsi="Calibri" w:cs="Calibri"/>
                <w:color w:val="000000"/>
                <w:kern w:val="0"/>
                <w14:ligatures w14:val="none"/>
              </w:rPr>
            </w:pPr>
            <w:r w:rsidRPr="0060074C">
              <w:rPr>
                <w:rFonts w:ascii="Calibri" w:eastAsia="Times New Roman" w:hAnsi="Calibri" w:cs="Calibri"/>
                <w:color w:val="000000"/>
                <w:kern w:val="0"/>
                <w14:ligatures w14:val="none"/>
              </w:rPr>
              <w:t xml:space="preserve">$250,000.00 </w:t>
            </w:r>
          </w:p>
        </w:tc>
        <w:tc>
          <w:tcPr>
            <w:tcW w:w="1467" w:type="dxa"/>
          </w:tcPr>
          <w:p w14:paraId="5872F514" w14:textId="45B2B394" w:rsidR="00B927C8" w:rsidRPr="0060074C" w:rsidRDefault="00B927C8" w:rsidP="00C77590">
            <w:pPr>
              <w:spacing w:line="240" w:lineRule="auto"/>
              <w:ind w:firstLine="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fldChar w:fldCharType="begin"/>
            </w:r>
            <w:r w:rsidR="00CA7A9D">
              <w:rPr>
                <w:rFonts w:ascii="Calibri" w:eastAsia="Times New Roman" w:hAnsi="Calibri" w:cs="Calibri"/>
                <w:color w:val="000000"/>
                <w:kern w:val="0"/>
                <w14:ligatures w14:val="none"/>
              </w:rPr>
              <w:instrText xml:space="preserve"> ADDIN ZOTERO_ITEM CSL_CITATION {"citationID":"a1100el1bhl","properties":{"formattedCitation":"[116]","plainCitation":"[116]","noteIndex":0},"citationItems":[{"id":47,"uris":["http://zotero.org/users/12063231/items/K6T7HE8V"],"itemData":{"id":47,"type":"report","abstract":"This  memorandum  documents  the technical  analysis  performed  to estimate  the  natural  gas  volume required to breakeven on cost for the various flare gas capture options.  This memo 1) discusses the  background and  various  constraints  to  the  capture  of  flare  gas,  2)  analyzes  the  various  options  to overcome these constraints,  3)  reviews  the  cost  estimates  for  the  capture  options,  4)  presents  the  breakeven  flare  gas  volume  analysis,  and  5)  concludes  with  remarks  on  the  findings. The memo focuses its analysis on producing oil wells with associated gas flaring.","title":"Breakeven Analysis for Four Flare Gas Capture Options","URL":"https://www.edf.org/sites/default/files/content/blm_breakeven_analysis_memo_final_4_22_2016.reviewed.pdf","author":[{"family":"ICF International","given":""}],"issued":{"date-parts":[["2016",4,22]]}}}],"schema":"https://github.com/citation-style-language/schema/raw/master/csl-citation.json"} </w:instrText>
            </w:r>
            <w:r>
              <w:rPr>
                <w:rFonts w:ascii="Calibri" w:eastAsia="Times New Roman" w:hAnsi="Calibri" w:cs="Calibri"/>
                <w:color w:val="000000"/>
                <w:kern w:val="0"/>
                <w14:ligatures w14:val="none"/>
              </w:rPr>
              <w:fldChar w:fldCharType="separate"/>
            </w:r>
            <w:r w:rsidR="00CA7A9D" w:rsidRPr="00CA7A9D">
              <w:rPr>
                <w:rFonts w:ascii="Calibri" w:hAnsi="Calibri" w:cs="Calibri"/>
              </w:rPr>
              <w:t>[116]</w:t>
            </w:r>
            <w:r>
              <w:rPr>
                <w:rFonts w:ascii="Calibri" w:eastAsia="Times New Roman" w:hAnsi="Calibri" w:cs="Calibri"/>
                <w:color w:val="000000"/>
                <w:kern w:val="0"/>
                <w14:ligatures w14:val="none"/>
              </w:rPr>
              <w:fldChar w:fldCharType="end"/>
            </w:r>
          </w:p>
        </w:tc>
      </w:tr>
      <w:tr w:rsidR="00B927C8" w:rsidRPr="0060074C" w14:paraId="7E82FAED" w14:textId="77777777" w:rsidTr="00092E33">
        <w:trPr>
          <w:trHeight w:val="285"/>
          <w:jc w:val="center"/>
        </w:trPr>
        <w:tc>
          <w:tcPr>
            <w:tcW w:w="5153" w:type="dxa"/>
            <w:noWrap/>
            <w:hideMark/>
          </w:tcPr>
          <w:p w14:paraId="66C188C1" w14:textId="77777777" w:rsidR="00B927C8" w:rsidRPr="0060074C" w:rsidRDefault="00B927C8" w:rsidP="00C77590">
            <w:pPr>
              <w:spacing w:line="240" w:lineRule="auto"/>
              <w:ind w:firstLine="0"/>
              <w:rPr>
                <w:rFonts w:ascii="Calibri" w:eastAsia="Times New Roman" w:hAnsi="Calibri" w:cs="Calibri"/>
                <w:color w:val="000000"/>
                <w:kern w:val="0"/>
                <w14:ligatures w14:val="none"/>
              </w:rPr>
            </w:pPr>
            <w:r w:rsidRPr="0060074C">
              <w:rPr>
                <w:rFonts w:ascii="Calibri" w:eastAsia="Times New Roman" w:hAnsi="Calibri" w:cs="Calibri"/>
                <w:color w:val="000000"/>
                <w:kern w:val="0"/>
                <w14:ligatures w14:val="none"/>
              </w:rPr>
              <w:t>cost of spare trailer</w:t>
            </w:r>
          </w:p>
        </w:tc>
        <w:tc>
          <w:tcPr>
            <w:tcW w:w="2195" w:type="dxa"/>
          </w:tcPr>
          <w:p w14:paraId="29A83D64" w14:textId="77777777" w:rsidR="00B927C8" w:rsidRPr="0060074C" w:rsidRDefault="00B927C8" w:rsidP="00C77590">
            <w:pPr>
              <w:spacing w:line="240" w:lineRule="auto"/>
              <w:ind w:firstLine="0"/>
              <w:rPr>
                <w:rFonts w:ascii="Calibri" w:eastAsia="Times New Roman" w:hAnsi="Calibri" w:cs="Calibri"/>
                <w:color w:val="000000"/>
                <w:kern w:val="0"/>
                <w14:ligatures w14:val="none"/>
              </w:rPr>
            </w:pPr>
            <w:r w:rsidRPr="0060074C">
              <w:rPr>
                <w:rFonts w:ascii="Calibri" w:eastAsia="Times New Roman" w:hAnsi="Calibri" w:cs="Calibri"/>
                <w:color w:val="000000"/>
                <w:kern w:val="0"/>
                <w14:ligatures w14:val="none"/>
              </w:rPr>
              <w:t xml:space="preserve">$100,000.00 </w:t>
            </w:r>
          </w:p>
        </w:tc>
        <w:tc>
          <w:tcPr>
            <w:tcW w:w="1467" w:type="dxa"/>
          </w:tcPr>
          <w:p w14:paraId="3647E0AC" w14:textId="44B77581" w:rsidR="00B927C8" w:rsidRPr="0060074C" w:rsidRDefault="00B927C8" w:rsidP="00C77590">
            <w:pPr>
              <w:spacing w:line="240" w:lineRule="auto"/>
              <w:ind w:firstLine="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fldChar w:fldCharType="begin"/>
            </w:r>
            <w:r w:rsidR="00CA7A9D">
              <w:rPr>
                <w:rFonts w:ascii="Calibri" w:eastAsia="Times New Roman" w:hAnsi="Calibri" w:cs="Calibri"/>
                <w:color w:val="000000"/>
                <w:kern w:val="0"/>
                <w14:ligatures w14:val="none"/>
              </w:rPr>
              <w:instrText xml:space="preserve"> ADDIN ZOTERO_ITEM CSL_CITATION {"citationID":"qtBzD739","properties":{"formattedCitation":"[116]","plainCitation":"[116]","noteIndex":0},"citationItems":[{"id":47,"uris":["http://zotero.org/users/12063231/items/K6T7HE8V"],"itemData":{"id":47,"type":"report","abstract":"This  memorandum  documents  the technical  analysis  performed  to estimate  the  natural  gas  volume required to breakeven on cost for the various flare gas capture options.  This memo 1) discusses the  background and  various  constraints  to  the  capture  of  flare  gas,  2)  analyzes  the  various  options  to overcome these constraints,  3)  reviews  the  cost  estimates  for  the  capture  options,  4)  presents  the  breakeven  flare  gas  volume  analysis,  and  5)  concludes  with  remarks  on  the  findings. The memo focuses its analysis on producing oil wells with associated gas flaring.","title":"Breakeven Analysis for Four Flare Gas Capture Options","URL":"https://www.edf.org/sites/default/files/content/blm_breakeven_analysis_memo_final_4_22_2016.reviewed.pdf","author":[{"family":"ICF International","given":""}],"issued":{"date-parts":[["2016",4,22]]}}}],"schema":"https://github.com/citation-style-language/schema/raw/master/csl-citation.json"} </w:instrText>
            </w:r>
            <w:r>
              <w:rPr>
                <w:rFonts w:ascii="Calibri" w:eastAsia="Times New Roman" w:hAnsi="Calibri" w:cs="Calibri"/>
                <w:color w:val="000000"/>
                <w:kern w:val="0"/>
                <w14:ligatures w14:val="none"/>
              </w:rPr>
              <w:fldChar w:fldCharType="separate"/>
            </w:r>
            <w:r w:rsidR="00CA7A9D" w:rsidRPr="00CA7A9D">
              <w:rPr>
                <w:rFonts w:ascii="Calibri" w:hAnsi="Calibri" w:cs="Calibri"/>
              </w:rPr>
              <w:t>[116]</w:t>
            </w:r>
            <w:r>
              <w:rPr>
                <w:rFonts w:ascii="Calibri" w:eastAsia="Times New Roman" w:hAnsi="Calibri" w:cs="Calibri"/>
                <w:color w:val="000000"/>
                <w:kern w:val="0"/>
                <w14:ligatures w14:val="none"/>
              </w:rPr>
              <w:fldChar w:fldCharType="end"/>
            </w:r>
          </w:p>
        </w:tc>
      </w:tr>
      <w:tr w:rsidR="00B927C8" w:rsidRPr="0060074C" w14:paraId="19994FAE" w14:textId="77777777" w:rsidTr="00092E33">
        <w:trPr>
          <w:trHeight w:val="285"/>
          <w:jc w:val="center"/>
        </w:trPr>
        <w:tc>
          <w:tcPr>
            <w:tcW w:w="5153" w:type="dxa"/>
            <w:noWrap/>
            <w:hideMark/>
          </w:tcPr>
          <w:p w14:paraId="01E14B24" w14:textId="2723D597" w:rsidR="00B927C8" w:rsidRPr="0060074C" w:rsidRDefault="00B927C8" w:rsidP="00C77590">
            <w:pPr>
              <w:spacing w:line="240" w:lineRule="auto"/>
              <w:ind w:firstLine="0"/>
              <w:rPr>
                <w:rFonts w:ascii="Calibri" w:eastAsia="Times New Roman" w:hAnsi="Calibri" w:cs="Calibri"/>
                <w:color w:val="000000"/>
                <w:kern w:val="0"/>
                <w14:ligatures w14:val="none"/>
              </w:rPr>
            </w:pPr>
            <w:r w:rsidRPr="0060074C">
              <w:rPr>
                <w:rFonts w:ascii="Calibri" w:eastAsia="Times New Roman" w:hAnsi="Calibri" w:cs="Calibri"/>
                <w:color w:val="000000"/>
                <w:kern w:val="0"/>
                <w14:ligatures w14:val="none"/>
              </w:rPr>
              <w:t xml:space="preserve">annual </w:t>
            </w:r>
            <w:r>
              <w:rPr>
                <w:rFonts w:ascii="Calibri" w:eastAsia="Times New Roman" w:hAnsi="Calibri" w:cs="Calibri"/>
                <w:color w:val="000000"/>
                <w:kern w:val="0"/>
                <w14:ligatures w14:val="none"/>
              </w:rPr>
              <w:t xml:space="preserve">maintenance/contingency for </w:t>
            </w:r>
            <w:r w:rsidRPr="0060074C">
              <w:rPr>
                <w:rFonts w:ascii="Calibri" w:eastAsia="Times New Roman" w:hAnsi="Calibri" w:cs="Calibri"/>
                <w:color w:val="000000"/>
                <w:kern w:val="0"/>
                <w14:ligatures w14:val="none"/>
              </w:rPr>
              <w:t>tractor/</w:t>
            </w:r>
            <w:r w:rsidR="00016D08" w:rsidRPr="0060074C">
              <w:rPr>
                <w:rFonts w:ascii="Calibri" w:eastAsia="Times New Roman" w:hAnsi="Calibri" w:cs="Calibri"/>
                <w:color w:val="000000"/>
                <w:kern w:val="0"/>
                <w14:ligatures w14:val="none"/>
              </w:rPr>
              <w:t>trailer</w:t>
            </w:r>
          </w:p>
        </w:tc>
        <w:tc>
          <w:tcPr>
            <w:tcW w:w="2195" w:type="dxa"/>
          </w:tcPr>
          <w:p w14:paraId="3B0C4D11" w14:textId="77777777" w:rsidR="00B927C8" w:rsidRPr="0060074C" w:rsidRDefault="00B927C8" w:rsidP="00C77590">
            <w:pPr>
              <w:spacing w:line="240" w:lineRule="auto"/>
              <w:ind w:firstLine="0"/>
              <w:rPr>
                <w:rFonts w:ascii="Calibri" w:eastAsia="Times New Roman" w:hAnsi="Calibri" w:cs="Calibri"/>
                <w:color w:val="000000"/>
                <w:kern w:val="0"/>
                <w14:ligatures w14:val="none"/>
              </w:rPr>
            </w:pPr>
            <w:r w:rsidRPr="0060074C">
              <w:rPr>
                <w:rFonts w:ascii="Calibri" w:eastAsia="Times New Roman" w:hAnsi="Calibri" w:cs="Calibri"/>
                <w:color w:val="000000"/>
                <w:kern w:val="0"/>
                <w14:ligatures w14:val="none"/>
              </w:rPr>
              <w:t xml:space="preserve">$70,000.00 </w:t>
            </w:r>
          </w:p>
        </w:tc>
        <w:tc>
          <w:tcPr>
            <w:tcW w:w="1467" w:type="dxa"/>
          </w:tcPr>
          <w:p w14:paraId="61F5465D" w14:textId="5EC9E910" w:rsidR="00B927C8" w:rsidRPr="0060074C" w:rsidRDefault="00B927C8" w:rsidP="00C77590">
            <w:pPr>
              <w:spacing w:line="240" w:lineRule="auto"/>
              <w:ind w:firstLine="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fldChar w:fldCharType="begin"/>
            </w:r>
            <w:r w:rsidR="00CA7A9D">
              <w:rPr>
                <w:rFonts w:ascii="Calibri" w:eastAsia="Times New Roman" w:hAnsi="Calibri" w:cs="Calibri"/>
                <w:color w:val="000000"/>
                <w:kern w:val="0"/>
                <w14:ligatures w14:val="none"/>
              </w:rPr>
              <w:instrText xml:space="preserve"> ADDIN ZOTERO_ITEM CSL_CITATION {"citationID":"nLR6luM9","properties":{"formattedCitation":"[116]","plainCitation":"[116]","noteIndex":0},"citationItems":[{"id":47,"uris":["http://zotero.org/users/12063231/items/K6T7HE8V"],"itemData":{"id":47,"type":"report","abstract":"This  memorandum  documents  the technical  analysis  performed  to estimate  the  natural  gas  volume required to breakeven on cost for the various flare gas capture options.  This memo 1) discusses the  background and  various  constraints  to  the  capture  of  flare  gas,  2)  analyzes  the  various  options  to overcome these constraints,  3)  reviews  the  cost  estimates  for  the  capture  options,  4)  presents  the  breakeven  flare  gas  volume  analysis,  and  5)  concludes  with  remarks  on  the  findings. The memo focuses its analysis on producing oil wells with associated gas flaring.","title":"Breakeven Analysis for Four Flare Gas Capture Options","URL":"https://www.edf.org/sites/default/files/content/blm_breakeven_analysis_memo_final_4_22_2016.reviewed.pdf","author":[{"family":"ICF International","given":""}],"issued":{"date-parts":[["2016",4,22]]}}}],"schema":"https://github.com/citation-style-language/schema/raw/master/csl-citation.json"} </w:instrText>
            </w:r>
            <w:r>
              <w:rPr>
                <w:rFonts w:ascii="Calibri" w:eastAsia="Times New Roman" w:hAnsi="Calibri" w:cs="Calibri"/>
                <w:color w:val="000000"/>
                <w:kern w:val="0"/>
                <w14:ligatures w14:val="none"/>
              </w:rPr>
              <w:fldChar w:fldCharType="separate"/>
            </w:r>
            <w:r w:rsidR="00CA7A9D" w:rsidRPr="00CA7A9D">
              <w:rPr>
                <w:rFonts w:ascii="Calibri" w:hAnsi="Calibri" w:cs="Calibri"/>
              </w:rPr>
              <w:t>[116]</w:t>
            </w:r>
            <w:r>
              <w:rPr>
                <w:rFonts w:ascii="Calibri" w:eastAsia="Times New Roman" w:hAnsi="Calibri" w:cs="Calibri"/>
                <w:color w:val="000000"/>
                <w:kern w:val="0"/>
                <w14:ligatures w14:val="none"/>
              </w:rPr>
              <w:fldChar w:fldCharType="end"/>
            </w:r>
          </w:p>
        </w:tc>
      </w:tr>
      <w:tr w:rsidR="00B927C8" w:rsidRPr="0060074C" w14:paraId="3F7A25D9" w14:textId="77777777" w:rsidTr="00092E33">
        <w:trPr>
          <w:trHeight w:val="285"/>
          <w:jc w:val="center"/>
        </w:trPr>
        <w:tc>
          <w:tcPr>
            <w:tcW w:w="5153" w:type="dxa"/>
            <w:noWrap/>
          </w:tcPr>
          <w:p w14:paraId="29927D49" w14:textId="77777777" w:rsidR="00B927C8" w:rsidRPr="0060074C" w:rsidRDefault="00B927C8" w:rsidP="00C77590">
            <w:pPr>
              <w:spacing w:line="240" w:lineRule="auto"/>
              <w:ind w:firstLine="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Upfront cost payback period</w:t>
            </w:r>
          </w:p>
        </w:tc>
        <w:tc>
          <w:tcPr>
            <w:tcW w:w="2195" w:type="dxa"/>
          </w:tcPr>
          <w:p w14:paraId="73DD2066" w14:textId="77777777" w:rsidR="00B927C8" w:rsidRPr="0060074C" w:rsidRDefault="00B927C8" w:rsidP="00C77590">
            <w:pPr>
              <w:spacing w:line="240" w:lineRule="auto"/>
              <w:ind w:firstLine="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5 years</w:t>
            </w:r>
          </w:p>
        </w:tc>
        <w:tc>
          <w:tcPr>
            <w:tcW w:w="1467" w:type="dxa"/>
          </w:tcPr>
          <w:p w14:paraId="0530E2D1" w14:textId="77777777" w:rsidR="00B927C8" w:rsidRDefault="00B927C8" w:rsidP="00C77590">
            <w:pPr>
              <w:spacing w:line="240" w:lineRule="auto"/>
              <w:ind w:firstLine="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Use Case</w:t>
            </w:r>
          </w:p>
        </w:tc>
      </w:tr>
    </w:tbl>
    <w:p w14:paraId="4C0AB8F8" w14:textId="77777777" w:rsidR="00B927C8" w:rsidRPr="001746A8" w:rsidRDefault="00B927C8" w:rsidP="00B927C8"/>
    <w:p w14:paraId="5266D257" w14:textId="77777777" w:rsidR="00B927C8" w:rsidRPr="001746A8" w:rsidRDefault="00B927C8" w:rsidP="00B927C8">
      <w:pPr>
        <w:pStyle w:val="Heading2"/>
      </w:pPr>
      <w:bookmarkStart w:id="150" w:name="_Toc165641100"/>
      <w:r>
        <w:t>5.2 Competing Technologies</w:t>
      </w:r>
      <w:bookmarkEnd w:id="150"/>
    </w:p>
    <w:p w14:paraId="4DA0420D" w14:textId="77777777" w:rsidR="00B927C8" w:rsidRPr="001746A8" w:rsidRDefault="00B927C8" w:rsidP="00B927C8">
      <w:r w:rsidRPr="001746A8">
        <w:t xml:space="preserve">To establish grounds for whether the suggested technology is economically viable, some target ranges can be determined based on the competing technologies. Considering the dual purpose of the modular </w:t>
      </w:r>
      <w:r>
        <w:t>PCFC system</w:t>
      </w:r>
      <w:r w:rsidRPr="001746A8">
        <w:t xml:space="preserve">, targets are first established based on existing GTL facilities, and additional targets are set based on power production technologies. </w:t>
      </w:r>
    </w:p>
    <w:p w14:paraId="1812BC86" w14:textId="77777777" w:rsidR="00B927C8" w:rsidRPr="001746A8" w:rsidRDefault="00B927C8" w:rsidP="00B927C8">
      <w:pPr>
        <w:pStyle w:val="Heading3"/>
      </w:pPr>
      <w:bookmarkStart w:id="151" w:name="_Toc149143178"/>
      <w:bookmarkStart w:id="152" w:name="_Toc165641101"/>
      <w:r>
        <w:t xml:space="preserve">5.2.1 </w:t>
      </w:r>
      <w:r w:rsidRPr="001746A8">
        <w:t>Existing chemical production costs</w:t>
      </w:r>
      <w:bookmarkEnd w:id="151"/>
      <w:bookmarkEnd w:id="152"/>
    </w:p>
    <w:p w14:paraId="21D72551" w14:textId="10F882C6" w:rsidR="00B927C8" w:rsidRPr="001746A8" w:rsidRDefault="00B927C8" w:rsidP="00B927C8">
      <w:r w:rsidRPr="001746A8">
        <w:t>Ramberg, et al.</w:t>
      </w:r>
      <w:r>
        <w:fldChar w:fldCharType="begin"/>
      </w:r>
      <w:r w:rsidR="00CA7A9D">
        <w:instrText xml:space="preserve"> ADDIN ZOTERO_ITEM CSL_CITATION {"citationID":"a2nu8q60gog","properties":{"formattedCitation":"[117]","plainCitation":"[117]","noteIndex":0},"citationItems":[{"id":78,"uris":["http://zotero.org/users/12063231/items/TRJI8KXG"],"itemData":{"id":78,"type":"article-journal","abstract":"This paper explores the viability of a gas-to-liquids (GTL) technology and examines how GTL penetration could shape the evolution of the crude oil–natural gas price ratio. Much research has established the cointegrated relationship between crude oil and natural gas prices in the U.S. The persistently low U.S. natural gas prices in recent years seem to mark a shift in this relationship, and have led some in industry to begin considering investments in GTL capacity in the US. In order to look forward over decades when the underlying economic drivers may be outside of historical experience, we use a computable general equilibrium model of the global economy to evaluate the economic viability of GTL and its impact on the evolution of the crude oil–natural gas price ratio. Our results are negative for the potential role of GTL. In order to produce any meaningful penetration of GTL, we find it necessary to evaluate scenarios that seem extreme. With any carbon cap GTL is not viable. Moreover, even without a carbon cap of any kind, extremely optimistic assumptions about (i) the cost and efficiency of GTL technology and about (ii) the available resource base of natural gas and the cost of extraction, before the technology penetrates and it impacts the evolution of the crude oil–natural gas price ratio.","container-title":"Energy Economics","DOI":"10.1016/j.eneco.2017.01.017","ISSN":"0140-9883","journalAbbreviation":"Energy Economics","page":"13-21","source":"ScienceDirect","title":"The economic viability of gas-to-liquids technology and the crude oil–natural gas price relationship","volume":"63","author":[{"family":"Ramberg","given":"David J."},{"family":"Henry Chen","given":"Y. H."},{"family":"Paltsev","given":"Sergey"},{"family":"Parsons","given":"John E."}],"issued":{"date-parts":[["2017",3,1]]}}}],"schema":"https://github.com/citation-style-language/schema/raw/master/csl-citation.json"} </w:instrText>
      </w:r>
      <w:r>
        <w:fldChar w:fldCharType="separate"/>
      </w:r>
      <w:r w:rsidR="00CA7A9D" w:rsidRPr="00CA7A9D">
        <w:rPr>
          <w:rFonts w:ascii="Aptos" w:hAnsi="Aptos"/>
        </w:rPr>
        <w:t>[117]</w:t>
      </w:r>
      <w:r>
        <w:fldChar w:fldCharType="end"/>
      </w:r>
      <w:r w:rsidRPr="001746A8">
        <w:t xml:space="preserve"> performed an impressive study on the economic viability of GTL processes.</w:t>
      </w:r>
      <w:r>
        <w:t xml:space="preserve"> They </w:t>
      </w:r>
      <w:r w:rsidRPr="001746A8">
        <w:t xml:space="preserve">estimated that standard, industrial GTL plants have a capital cost of $68k per b/d capacity. This estimation </w:t>
      </w:r>
      <w:r w:rsidR="00EB6FFF">
        <w:t>is</w:t>
      </w:r>
      <w:r w:rsidRPr="001746A8">
        <w:t xml:space="preserve"> determined by examining the capital, operations and maintenance, labor, and natural gas input costs associated with plants on a scale of ~120,000 b/d of output</w:t>
      </w:r>
      <w:r>
        <w:t>, implying approximately $8.16 billion in initial capital costs</w:t>
      </w:r>
      <w:r w:rsidRPr="001746A8">
        <w:t xml:space="preserve">. The operations and maintenance costs </w:t>
      </w:r>
      <w:r w:rsidR="0020124E">
        <w:t>are</w:t>
      </w:r>
      <w:r w:rsidRPr="001746A8">
        <w:t xml:space="preserve"> further estimated as 4% of the capital cost, with an expected lifetime of ~25 years</w:t>
      </w:r>
      <w:r w:rsidRPr="001746A8">
        <w:fldChar w:fldCharType="begin"/>
      </w:r>
      <w:r w:rsidR="00CA7A9D">
        <w:instrText xml:space="preserve"> ADDIN ZOTERO_ITEM CSL_CITATION {"citationID":"VHWnA1tt","properties":{"formattedCitation":"[117]","plainCitation":"[117]","noteIndex":0},"citationItems":[{"id":78,"uris":["http://zotero.org/users/12063231/items/TRJI8KXG"],"itemData":{"id":78,"type":"article-journal","abstract":"This paper explores the viability of a gas-to-liquids (GTL) technology and examines how GTL penetration could shape the evolution of the crude oil–natural gas price ratio. Much research has established the cointegrated relationship between crude oil and natural gas prices in the U.S. The persistently low U.S. natural gas prices in recent years seem to mark a shift in this relationship, and have led some in industry to begin considering investments in GTL capacity in the US. In order to look forward over decades when the underlying economic drivers may be outside of historical experience, we use a computable general equilibrium model of the global economy to evaluate the economic viability of GTL and its impact on the evolution of the crude oil–natural gas price ratio. Our results are negative for the potential role of GTL. In order to produce any meaningful penetration of GTL, we find it necessary to evaluate scenarios that seem extreme. With any carbon cap GTL is not viable. Moreover, even without a carbon cap of any kind, extremely optimistic assumptions about (i) the cost and efficiency of GTL technology and about (ii) the available resource base of natural gas and the cost of extraction, before the technology penetrates and it impacts the evolution of the crude oil–natural gas price ratio.","container-title":"Energy Economics","DOI":"10.1016/j.eneco.2017.01.017","ISSN":"0140-9883","journalAbbreviation":"Energy Economics","page":"13-21","source":"ScienceDirect","title":"The economic viability of gas-to-liquids technology and the crude oil–natural gas price relationship","volume":"63","author":[{"family":"Ramberg","given":"David J."},{"family":"Henry Chen","given":"Y. H."},{"family":"Paltsev","given":"Sergey"},{"family":"Parsons","given":"John E."}],"issued":{"date-parts":[["2017",3,1]]}}}],"schema":"https://github.com/citation-style-language/schema/raw/master/csl-citation.json"} </w:instrText>
      </w:r>
      <w:r w:rsidRPr="001746A8">
        <w:fldChar w:fldCharType="separate"/>
      </w:r>
      <w:r w:rsidR="00CA7A9D" w:rsidRPr="00CA7A9D">
        <w:rPr>
          <w:rFonts w:ascii="Aptos" w:hAnsi="Aptos"/>
        </w:rPr>
        <w:t>[117]</w:t>
      </w:r>
      <w:r w:rsidRPr="001746A8">
        <w:fldChar w:fldCharType="end"/>
      </w:r>
      <w:r w:rsidRPr="001746A8">
        <w:t>. For FTS specifically, Albrecht and Nguyen</w:t>
      </w:r>
      <w:r w:rsidRPr="001746A8">
        <w:fldChar w:fldCharType="begin"/>
      </w:r>
      <w:r w:rsidR="00CA7A9D">
        <w:instrText xml:space="preserve"> ADDIN ZOTERO_ITEM CSL_CITATION {"citationID":"MNc3T982","properties":{"formattedCitation":"[118]","plainCitation":"[118]","noteIndex":0},"citationItems":[{"id":77,"uris":["http://zotero.org/users/12063231/items/FCW2VAWW"],"itemData":{"id":77,"type":"article-journal","abstract":"Achieving the global and European climate targets requires a green transformation of the transport sector. Electriﬁcation may become a viable option in light road transportation, but the use of liquid fuels with high energy density will likely prevail in aviation, shipping and heavy-duty mobility. For these applications, electrofuels, produced from electricity and CO2, may be a promising option, especially in countries with high wind and solar energy potentials. In the present case study, the prospects of electrofuels in Denmark are investigated. At ﬁrst, an in-depth analysis of the available raw material and energy resources was conducted. The design of a ﬁrst Power-to-Liquid (PtL) plant was then developed and implemented in Aspen Plus® for a selected site in Denmark. The plant is subsequently analyzed in a techno-economic and ecological assessment. The results indicate that the unexploited Danish wind power potential is theoretically sufﬁcient to entirely cover the expected future demand for alternative fuels through electrofuel production. Greenhouse gas reductions of 95% compared to fossil fuels can be achieved if electricity from renewable power sources is used. However, fuel production costs are signiﬁcantly higher than crude oil market prices, resulting in very high GHG abatement costs compared to other carbon mitigation technologies.","container-title":"Energy","DOI":"10.1016/j.energy.2019.116511","ISSN":"03605442","journalAbbreviation":"Energy","language":"en","page":"116511","source":"DOI.org (Crossref)","title":"Prospects of electrofuels to defossilize transportation in Denmark – A techno-economic and ecological analysis","volume":"192","author":[{"family":"Albrecht","given":"Friedemann Georg"},{"family":"Nguyen","given":"Tuong-Van"}],"issued":{"date-parts":[["2020",2]]}}}],"schema":"https://github.com/citation-style-language/schema/raw/master/csl-citation.json"} </w:instrText>
      </w:r>
      <w:r w:rsidRPr="001746A8">
        <w:fldChar w:fldCharType="separate"/>
      </w:r>
      <w:r w:rsidR="00CA7A9D" w:rsidRPr="00CA7A9D">
        <w:rPr>
          <w:rFonts w:ascii="Aptos" w:hAnsi="Aptos"/>
        </w:rPr>
        <w:t>[118]</w:t>
      </w:r>
      <w:r w:rsidRPr="001746A8">
        <w:fldChar w:fldCharType="end"/>
      </w:r>
      <w:r w:rsidRPr="001746A8">
        <w:t xml:space="preserve"> performed a techno-economic analysis that estimated 64.744 GWh per year </w:t>
      </w:r>
      <w:r w:rsidR="00F631D6">
        <w:t>i</w:t>
      </w:r>
      <w:r w:rsidRPr="001746A8">
        <w:t xml:space="preserve">s used to produce 116.257 </w:t>
      </w:r>
      <w:r>
        <w:t xml:space="preserve">metric </w:t>
      </w:r>
      <w:r w:rsidRPr="001746A8">
        <w:t xml:space="preserve">kilotons of products. </w:t>
      </w:r>
      <w:r>
        <w:t>Assuming a crude oil ratio of 7.33 barrels per ton</w:t>
      </w:r>
      <w:r w:rsidRPr="001746A8">
        <w:t xml:space="preserve">, </w:t>
      </w:r>
      <w:r>
        <w:t>t</w:t>
      </w:r>
      <w:r w:rsidRPr="001746A8">
        <w:t xml:space="preserve">his equates to </w:t>
      </w:r>
      <w:r>
        <w:t xml:space="preserve">~76 </w:t>
      </w:r>
      <w:r w:rsidRPr="001746A8">
        <w:t xml:space="preserve">kWh per </w:t>
      </w:r>
      <w:r>
        <w:t xml:space="preserve">barrel </w:t>
      </w:r>
      <w:r w:rsidRPr="001746A8">
        <w:t>of product</w:t>
      </w:r>
      <w:r>
        <w:t xml:space="preserve">, </w:t>
      </w:r>
      <w:r w:rsidRPr="001746A8">
        <w:t xml:space="preserve">which highlights the energy-intensive nature of FTS technology, and GTL in general. </w:t>
      </w:r>
      <w:r>
        <w:t xml:space="preserve">Considering this, and a price of $0.07/kWh, which is the approximate industrial average since 2010 </w:t>
      </w:r>
      <w:r>
        <w:fldChar w:fldCharType="begin"/>
      </w:r>
      <w:r w:rsidR="00CA7A9D">
        <w:instrText xml:space="preserve"> ADDIN ZOTERO_ITEM CSL_CITATION {"citationID":"a13s6m877fr","properties":{"formattedCitation":"[119]","plainCitation":"[119]","noteIndex":0},"citationItems":[{"id":879,"uris":["http://zotero.org/users/12063231/items/9B22UYNF"],"itemData":{"id":879,"type":"webpage","abstract":"Industrial consumers of electricity in the United States paid an average of 8.06 U.S.","container-title":"Statista","language":"en","title":"U.S. industrial retail electricity price 2023","URL":"https://www.statista.com/statistics/190680/us-industrial-consumer-price-estimates-for-retail-electricity-since-1970/","accessed":{"date-parts":[["2024",4,22]]}}}],"schema":"https://github.com/citation-style-language/schema/raw/master/csl-citation.json"} </w:instrText>
      </w:r>
      <w:r>
        <w:fldChar w:fldCharType="separate"/>
      </w:r>
      <w:r w:rsidR="00CA7A9D" w:rsidRPr="00CA7A9D">
        <w:rPr>
          <w:rFonts w:ascii="Aptos" w:hAnsi="Aptos"/>
        </w:rPr>
        <w:t>[119]</w:t>
      </w:r>
      <w:r>
        <w:fldChar w:fldCharType="end"/>
      </w:r>
      <w:r>
        <w:t xml:space="preserve">, a GTL/FTS facility would spend an additional $6.6 billion over the 25 year lifetime of operation in energy input costs. To generate a target value for capital costs for the PCFC system, this energy input cost can be added to the capital cost since the PCFC would ideally generate enough power to provide a surplus of energy after fueling all the balance of plant components. </w:t>
      </w:r>
      <w:r w:rsidRPr="001746A8">
        <w:t xml:space="preserve">In summary, an overall target </w:t>
      </w:r>
      <w:r>
        <w:t xml:space="preserve">capital cost </w:t>
      </w:r>
      <w:r w:rsidRPr="001746A8">
        <w:t xml:space="preserve">value of around </w:t>
      </w:r>
      <w:r>
        <w:t>~</w:t>
      </w:r>
      <w:r w:rsidRPr="001746A8">
        <w:t>$</w:t>
      </w:r>
      <w:r>
        <w:t>120</w:t>
      </w:r>
      <w:r w:rsidRPr="001746A8">
        <w:t xml:space="preserve">k per b/d capacity would suggest that the modular reactor system is competitive with existing GTL technologies. </w:t>
      </w:r>
    </w:p>
    <w:p w14:paraId="55BF5696" w14:textId="0741C9AA" w:rsidR="00B927C8" w:rsidRPr="001746A8" w:rsidRDefault="00B927C8" w:rsidP="00B927C8">
      <w:r w:rsidRPr="001746A8">
        <w:t xml:space="preserve">However, the cost is not the only consideration when comparing GTL and the PCEC function of the PCER technology. There are a variety of factors that play significant roles in the economic viability of GTL processes, mainly the distance to the consumer and the trends of the oil and gas market. GTL processing is a clear second choice after power production and other uses and is only mainly implemented when the oil and gas market is right and the distance from the wellhead to the consumer is moderate to large, as depicted in </w:t>
      </w:r>
      <w:r w:rsidRPr="001746A8">
        <w:fldChar w:fldCharType="begin"/>
      </w:r>
      <w:r w:rsidRPr="001746A8">
        <w:instrText xml:space="preserve"> REF _Ref145571067 \h </w:instrText>
      </w:r>
      <w:r w:rsidRPr="001746A8">
        <w:fldChar w:fldCharType="separate"/>
      </w:r>
      <w:r w:rsidR="00E6203C" w:rsidRPr="001746A8">
        <w:t xml:space="preserve">Figure </w:t>
      </w:r>
      <w:r w:rsidR="00E6203C">
        <w:t>5.</w:t>
      </w:r>
      <w:r w:rsidR="00E6203C">
        <w:rPr>
          <w:noProof/>
        </w:rPr>
        <w:t>3</w:t>
      </w:r>
      <w:r w:rsidRPr="001746A8">
        <w:fldChar w:fldCharType="end"/>
      </w:r>
      <w:r w:rsidRPr="001746A8">
        <w:t xml:space="preserve">. </w:t>
      </w:r>
    </w:p>
    <w:p w14:paraId="2869A13E" w14:textId="77777777" w:rsidR="00B927C8" w:rsidRPr="001746A8" w:rsidRDefault="00B927C8" w:rsidP="00B927C8">
      <w:pPr>
        <w:ind w:firstLine="0"/>
      </w:pPr>
      <w:r w:rsidRPr="001746A8">
        <w:rPr>
          <w:noProof/>
        </w:rPr>
        <w:drawing>
          <wp:inline distT="0" distB="0" distL="0" distR="0" wp14:anchorId="283D6964" wp14:editId="5700FA91">
            <wp:extent cx="5943600" cy="2287270"/>
            <wp:effectExtent l="0" t="0" r="0" b="0"/>
            <wp:docPr id="4" name="Picture 4" descr="A diagram of a gas price&#10;&#10;Description automatically generated with medium confidence">
              <a:extLst xmlns:a="http://schemas.openxmlformats.org/drawingml/2006/main">
                <a:ext uri="{FF2B5EF4-FFF2-40B4-BE49-F238E27FC236}">
                  <a16:creationId xmlns:a16="http://schemas.microsoft.com/office/drawing/2014/main" id="{6F105745-D84E-FC25-612F-B06280AFC7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diagram of a gas price&#10;&#10;Description automatically generated with medium confidence">
                      <a:extLst>
                        <a:ext uri="{FF2B5EF4-FFF2-40B4-BE49-F238E27FC236}">
                          <a16:creationId xmlns:a16="http://schemas.microsoft.com/office/drawing/2014/main" id="{6F105745-D84E-FC25-612F-B06280AFC734}"/>
                        </a:ext>
                      </a:extLst>
                    </pic:cNvPr>
                    <pic:cNvPicPr>
                      <a:picLocks noChangeAspect="1"/>
                    </pic:cNvPicPr>
                  </pic:nvPicPr>
                  <pic:blipFill rotWithShape="1">
                    <a:blip r:embed="rId46" r:link="rId47" cstate="print">
                      <a:extLst>
                        <a:ext uri="{28A0092B-C50C-407E-A947-70E740481C1C}">
                          <a14:useLocalDpi xmlns:a14="http://schemas.microsoft.com/office/drawing/2010/main" val="0"/>
                        </a:ext>
                      </a:extLst>
                    </a:blip>
                    <a:srcRect b="33051"/>
                    <a:stretch>
                      <a:fillRect/>
                    </a:stretch>
                  </pic:blipFill>
                  <pic:spPr bwMode="auto">
                    <a:xfrm>
                      <a:off x="0" y="0"/>
                      <a:ext cx="5943600" cy="2287270"/>
                    </a:xfrm>
                    <a:prstGeom prst="rect">
                      <a:avLst/>
                    </a:prstGeom>
                    <a:noFill/>
                    <a:ln>
                      <a:noFill/>
                    </a:ln>
                  </pic:spPr>
                </pic:pic>
              </a:graphicData>
            </a:graphic>
          </wp:inline>
        </w:drawing>
      </w:r>
    </w:p>
    <w:p w14:paraId="775B9ED0" w14:textId="11DC7808" w:rsidR="00B927C8" w:rsidRPr="001746A8" w:rsidRDefault="00B927C8" w:rsidP="00B927C8">
      <w:pPr>
        <w:pStyle w:val="Caption"/>
      </w:pPr>
      <w:bookmarkStart w:id="153" w:name="_Ref145571067"/>
      <w:bookmarkStart w:id="154" w:name="_Toc165641155"/>
      <w:r w:rsidRPr="001746A8">
        <w:t xml:space="preserve">Figure </w:t>
      </w:r>
      <w:r>
        <w:t>5.</w:t>
      </w:r>
      <w:r w:rsidRPr="001746A8">
        <w:fldChar w:fldCharType="begin"/>
      </w:r>
      <w:r w:rsidRPr="001746A8">
        <w:instrText xml:space="preserve"> SEQ Figure \* ARABIC </w:instrText>
      </w:r>
      <w:r w:rsidRPr="001746A8">
        <w:fldChar w:fldCharType="separate"/>
      </w:r>
      <w:r>
        <w:rPr>
          <w:noProof/>
        </w:rPr>
        <w:t>3</w:t>
      </w:r>
      <w:r w:rsidRPr="001746A8">
        <w:fldChar w:fldCharType="end"/>
      </w:r>
      <w:bookmarkEnd w:id="153"/>
      <w:r w:rsidRPr="001746A8">
        <w:t xml:space="preserve">: Techno-economic analysis of potential stranded gas monetization </w:t>
      </w:r>
      <w:r w:rsidR="00573D7A" w:rsidRPr="001746A8">
        <w:t>technologies; Possible</w:t>
      </w:r>
      <w:r w:rsidRPr="001746A8">
        <w:t xml:space="preserve"> options available for different sources</w:t>
      </w:r>
      <w:r>
        <w:t xml:space="preserve"> (left)</w:t>
      </w:r>
      <w:r w:rsidRPr="001746A8">
        <w:t>; the impact of oil and gas prices on the feasibility of GTL technologies</w:t>
      </w:r>
      <w:r>
        <w:t xml:space="preserve"> (right)</w:t>
      </w:r>
      <w:bookmarkEnd w:id="154"/>
    </w:p>
    <w:p w14:paraId="10E882DB" w14:textId="77777777" w:rsidR="00B927C8" w:rsidRPr="001746A8" w:rsidRDefault="00B927C8" w:rsidP="00B927C8">
      <w:r w:rsidRPr="001746A8">
        <w:t xml:space="preserve">While the distance to market plays a role (as seen by the fading color at greater distances in </w:t>
      </w:r>
      <w:r w:rsidRPr="001746A8">
        <w:fldChar w:fldCharType="begin"/>
      </w:r>
      <w:r w:rsidRPr="001746A8">
        <w:instrText xml:space="preserve"> REF _Ref145571067 \h </w:instrText>
      </w:r>
      <w:r w:rsidRPr="001746A8">
        <w:fldChar w:fldCharType="separate"/>
      </w:r>
      <w:r w:rsidRPr="001746A8">
        <w:t xml:space="preserve">Figure </w:t>
      </w:r>
      <w:r>
        <w:t>5.</w:t>
      </w:r>
      <w:r>
        <w:rPr>
          <w:noProof/>
        </w:rPr>
        <w:t>3</w:t>
      </w:r>
      <w:r w:rsidRPr="001746A8">
        <w:fldChar w:fldCharType="end"/>
      </w:r>
      <w:r w:rsidRPr="001746A8">
        <w:t xml:space="preserve">, GTL technology is mainly limited by the prices of oil and gas. It is only economical when gas prices are low and oil prices are moderate to high. This is because GTL products are often used in conjunction with oil and therefore the marketability of GTL products is largely dependent on oil prices. </w:t>
      </w:r>
    </w:p>
    <w:p w14:paraId="42F0D79C" w14:textId="77777777" w:rsidR="00B927C8" w:rsidRPr="001746A8" w:rsidRDefault="00B927C8" w:rsidP="00B927C8">
      <w:r w:rsidRPr="001746A8">
        <w:t xml:space="preserve">These factors combine to severely limit the potential environmental benefits of FTS and GTL technology making use of stranded gas. In short, FTS and GTL processes are a massive investment in a process that is only economically viable under certain oil to natural gas price ratios as noted in </w:t>
      </w:r>
      <w:r w:rsidRPr="001746A8">
        <w:fldChar w:fldCharType="begin"/>
      </w:r>
      <w:r w:rsidRPr="001746A8">
        <w:instrText xml:space="preserve"> REF _Ref145571067 \h </w:instrText>
      </w:r>
      <w:r w:rsidRPr="001746A8">
        <w:fldChar w:fldCharType="separate"/>
      </w:r>
      <w:r w:rsidRPr="001746A8">
        <w:t xml:space="preserve">Figure </w:t>
      </w:r>
      <w:r>
        <w:t>5.</w:t>
      </w:r>
      <w:r>
        <w:rPr>
          <w:noProof/>
        </w:rPr>
        <w:t>3</w:t>
      </w:r>
      <w:r w:rsidRPr="001746A8">
        <w:fldChar w:fldCharType="end"/>
      </w:r>
      <w:r w:rsidRPr="001746A8">
        <w:t>.</w:t>
      </w:r>
    </w:p>
    <w:p w14:paraId="2C8C6386" w14:textId="4468030E" w:rsidR="00B927C8" w:rsidRPr="001746A8" w:rsidRDefault="00B927C8" w:rsidP="00B927C8">
      <w:r w:rsidRPr="001746A8">
        <w:t xml:space="preserve">The viability under only certain price ratios will remain a limitation of industrial GTL technology. However, the </w:t>
      </w:r>
      <w:r>
        <w:t>MDA PCFC</w:t>
      </w:r>
      <w:r w:rsidRPr="001746A8">
        <w:t xml:space="preserve"> technology, while still a GTL process, does not necessarily follow these same guidelines. The modular </w:t>
      </w:r>
      <w:r>
        <w:t xml:space="preserve">PCFC </w:t>
      </w:r>
      <w:r w:rsidR="00E9792B">
        <w:t>is</w:t>
      </w:r>
      <w:r w:rsidRPr="001746A8">
        <w:t xml:space="preserve"> employed to harness stranded/flared natural gas, meaning the intended fuel </w:t>
      </w:r>
      <w:r w:rsidR="00AC56C0">
        <w:t>is</w:t>
      </w:r>
      <w:r w:rsidRPr="001746A8">
        <w:t xml:space="preserve"> likely</w:t>
      </w:r>
      <w:r w:rsidR="00AC56C0">
        <w:t xml:space="preserve"> to</w:t>
      </w:r>
      <w:r w:rsidRPr="001746A8">
        <w:t xml:space="preserve"> simply be too expensive to economically transport to a GTL or other processing facility. Therefore, the cogenerating modular reactor </w:t>
      </w:r>
      <w:proofErr w:type="gramStart"/>
      <w:r w:rsidR="00EB6FFF">
        <w:t>is</w:t>
      </w:r>
      <w:r w:rsidRPr="001746A8">
        <w:t xml:space="preserve"> able to</w:t>
      </w:r>
      <w:proofErr w:type="gramEnd"/>
      <w:r w:rsidRPr="001746A8">
        <w:t xml:space="preserve"> harness a wholly new area of the gas market that </w:t>
      </w:r>
      <w:r w:rsidR="00EB6FFF">
        <w:t>has been</w:t>
      </w:r>
      <w:r w:rsidRPr="001746A8">
        <w:t xml:space="preserve"> largely wasted to this point. </w:t>
      </w:r>
      <w:r w:rsidRPr="001746A8">
        <w:fldChar w:fldCharType="begin"/>
      </w:r>
      <w:r w:rsidRPr="001746A8">
        <w:instrText xml:space="preserve"> REF _Ref145571530 \h </w:instrText>
      </w:r>
      <w:r w:rsidRPr="001746A8">
        <w:fldChar w:fldCharType="separate"/>
      </w:r>
      <w:r w:rsidR="00E6203C" w:rsidRPr="001746A8">
        <w:rPr>
          <w:iCs/>
        </w:rPr>
        <w:t xml:space="preserve">Figure </w:t>
      </w:r>
      <w:r w:rsidR="00E6203C">
        <w:rPr>
          <w:iCs/>
        </w:rPr>
        <w:t>5.</w:t>
      </w:r>
      <w:r w:rsidR="00E6203C">
        <w:rPr>
          <w:iCs/>
          <w:noProof/>
        </w:rPr>
        <w:t>4</w:t>
      </w:r>
      <w:r w:rsidRPr="001746A8">
        <w:fldChar w:fldCharType="end"/>
      </w:r>
      <w:r w:rsidRPr="001746A8">
        <w:t xml:space="preserve"> shows the target area for oil to gas price ratios. This new target area should provide an excellent economic advantage in the implementation of the </w:t>
      </w:r>
      <w:r>
        <w:t>PCFC system</w:t>
      </w:r>
      <w:r w:rsidRPr="001746A8">
        <w:t xml:space="preserve">. Flared natural gas is normally wasted at a loss, and therefore the feedstock for the proposed reactor is considered free. </w:t>
      </w:r>
    </w:p>
    <w:p w14:paraId="20D2DC14" w14:textId="77777777" w:rsidR="00B927C8" w:rsidRPr="001746A8" w:rsidRDefault="00B927C8" w:rsidP="00B927C8">
      <w:pPr>
        <w:jc w:val="center"/>
      </w:pPr>
      <w:r w:rsidRPr="001746A8">
        <w:rPr>
          <w:noProof/>
        </w:rPr>
        <w:drawing>
          <wp:inline distT="0" distB="0" distL="0" distR="0" wp14:anchorId="5B997354" wp14:editId="28EA3183">
            <wp:extent cx="2204884" cy="2699496"/>
            <wp:effectExtent l="0" t="0" r="5080" b="5715"/>
            <wp:docPr id="512392079" name="Picture 512392079" descr="A diagram of a plant cost b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92079" name="Picture 512392079" descr="A diagram of a plant cost bound&#10;&#10;Description automatically generated"/>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3817" t="10404" r="10513" b="24034"/>
                    <a:stretch/>
                  </pic:blipFill>
                  <pic:spPr bwMode="auto">
                    <a:xfrm>
                      <a:off x="0" y="0"/>
                      <a:ext cx="2213333" cy="2709840"/>
                    </a:xfrm>
                    <a:prstGeom prst="rect">
                      <a:avLst/>
                    </a:prstGeom>
                    <a:noFill/>
                    <a:ln>
                      <a:noFill/>
                    </a:ln>
                    <a:extLst>
                      <a:ext uri="{53640926-AAD7-44D8-BBD7-CCE9431645EC}">
                        <a14:shadowObscured xmlns:a14="http://schemas.microsoft.com/office/drawing/2010/main"/>
                      </a:ext>
                    </a:extLst>
                  </pic:spPr>
                </pic:pic>
              </a:graphicData>
            </a:graphic>
          </wp:inline>
        </w:drawing>
      </w:r>
    </w:p>
    <w:p w14:paraId="5451C148" w14:textId="77777777" w:rsidR="00B927C8" w:rsidRPr="001746A8" w:rsidRDefault="00B927C8" w:rsidP="00E6203C">
      <w:pPr>
        <w:pStyle w:val="Caption"/>
      </w:pPr>
      <w:bookmarkStart w:id="155" w:name="_Ref145571530"/>
      <w:bookmarkStart w:id="156" w:name="_Toc165641156"/>
      <w:r w:rsidRPr="001746A8">
        <w:t xml:space="preserve">Figure </w:t>
      </w:r>
      <w:r>
        <w:t>5.</w:t>
      </w:r>
      <w:r w:rsidRPr="001746A8">
        <w:fldChar w:fldCharType="begin"/>
      </w:r>
      <w:r w:rsidRPr="001746A8">
        <w:instrText xml:space="preserve"> SEQ Figure \* ARABIC </w:instrText>
      </w:r>
      <w:r w:rsidRPr="001746A8">
        <w:fldChar w:fldCharType="separate"/>
      </w:r>
      <w:r>
        <w:rPr>
          <w:noProof/>
        </w:rPr>
        <w:t>4</w:t>
      </w:r>
      <w:r w:rsidRPr="001746A8">
        <w:fldChar w:fldCharType="end"/>
      </w:r>
      <w:bookmarkEnd w:id="155"/>
      <w:r w:rsidRPr="001746A8">
        <w:t>: Intended oil-to-gas price ratios, adjusted for the suggested technology</w:t>
      </w:r>
      <w:bookmarkEnd w:id="156"/>
    </w:p>
    <w:p w14:paraId="5F70D513" w14:textId="77777777" w:rsidR="00B927C8" w:rsidRPr="001746A8" w:rsidRDefault="00B927C8" w:rsidP="00B927C8">
      <w:pPr>
        <w:jc w:val="center"/>
        <w:rPr>
          <w:i/>
        </w:rPr>
      </w:pPr>
      <w:bookmarkStart w:id="157" w:name="_Toc149143179"/>
      <w:r w:rsidRPr="001746A8">
        <w:rPr>
          <w:i/>
        </w:rPr>
        <w:t>Existing power production costs</w:t>
      </w:r>
      <w:bookmarkEnd w:id="157"/>
    </w:p>
    <w:p w14:paraId="06AB25A7" w14:textId="77777777" w:rsidR="00B927C8" w:rsidRDefault="00B927C8" w:rsidP="00B927C8">
      <w:pPr>
        <w:pStyle w:val="Heading3"/>
      </w:pPr>
      <w:bookmarkStart w:id="158" w:name="_Toc165641102"/>
      <w:r>
        <w:t>5.2.2 Existing power production costs</w:t>
      </w:r>
      <w:bookmarkEnd w:id="158"/>
    </w:p>
    <w:p w14:paraId="6ED032C9" w14:textId="4ACD0568" w:rsidR="00B927C8" w:rsidRPr="001746A8" w:rsidRDefault="00B927C8" w:rsidP="00B927C8">
      <w:r w:rsidRPr="001746A8">
        <w:t>Natural gas power plants are one of the most mature and well-researched power production technologies available in the modern era. Natural gas power plants generate 40% of the power in the U.S., significantly more than any other singular technology</w:t>
      </w:r>
      <w:r>
        <w:t xml:space="preserve"> </w:t>
      </w:r>
      <w:r>
        <w:fldChar w:fldCharType="begin"/>
      </w:r>
      <w:r w:rsidR="00CA7A9D">
        <w:instrText xml:space="preserve"> ADDIN ZOTERO_ITEM CSL_CITATION {"citationID":"a2b49uou8b1","properties":{"formattedCitation":"[120]","plainCitation":"[120]","noteIndex":0},"citationItems":[{"id":881,"uris":["http://zotero.org/users/12063231/items/JZSES7QN"],"itemData":{"id":881,"type":"webpage","title":"Electricity in the U.S. - U.S. Energy Information Administration (EIA)","URL":"https://www.eia.gov/energyexplained/electricity/electricity-in-the-us.php","accessed":{"date-parts":[["2024",4,22]]}}}],"schema":"https://github.com/citation-style-language/schema/raw/master/csl-citation.json"} </w:instrText>
      </w:r>
      <w:r>
        <w:fldChar w:fldCharType="separate"/>
      </w:r>
      <w:r w:rsidR="00CA7A9D" w:rsidRPr="00CA7A9D">
        <w:rPr>
          <w:rFonts w:ascii="Aptos" w:hAnsi="Aptos"/>
        </w:rPr>
        <w:t>[120]</w:t>
      </w:r>
      <w:r>
        <w:fldChar w:fldCharType="end"/>
      </w:r>
      <w:r w:rsidRPr="001746A8">
        <w:t xml:space="preserve">. As such, they represent the standard for cost comparisons of power production at an industrial scale in the U.S. Every year, reports are generated that highlight the price and capacity of newly constructed and existing power plants. On average in 2020, a natural gas power plant had a total construction cost of $1,116 per kW of power capacity </w:t>
      </w:r>
      <w:r w:rsidRPr="001746A8">
        <w:fldChar w:fldCharType="begin"/>
      </w:r>
      <w:r w:rsidR="00CA7A9D">
        <w:instrText xml:space="preserve"> ADDIN ZOTERO_ITEM CSL_CITATION {"citationID":"HFc3OKdL","properties":{"formattedCitation":"[121]","plainCitation":"[121]","noteIndex":0},"citationItems":[{"id":55,"uris":["http://zotero.org/users/12063231/items/3YN9ESZT"],"itemData":{"id":55,"type":"dataset","abstract":"Energy Information Administration - EIA - Official Energy Statistics from the U.S. Government","medium":"excel","title":"Construction cost data for electric generators installed in 2020","URL":"https://www.eia.gov/electricity/generatorcosts/index.php","author":[{"family":"EIA","given":""}],"accessed":{"date-parts":[["2023",9,16]]},"issued":{"date-parts":[["2022",8,23]]}}}],"schema":"https://github.com/citation-style-language/schema/raw/master/csl-citation.json"} </w:instrText>
      </w:r>
      <w:r w:rsidRPr="001746A8">
        <w:fldChar w:fldCharType="separate"/>
      </w:r>
      <w:r w:rsidR="00CA7A9D" w:rsidRPr="00CA7A9D">
        <w:rPr>
          <w:rFonts w:ascii="Aptos" w:hAnsi="Aptos"/>
        </w:rPr>
        <w:t>[121]</w:t>
      </w:r>
      <w:r w:rsidRPr="001746A8">
        <w:fldChar w:fldCharType="end"/>
      </w:r>
      <w:r w:rsidRPr="001746A8">
        <w:t xml:space="preserve">. New natural gas power plants are being constructed with an average capacity of 235.6 MW </w:t>
      </w:r>
      <w:r w:rsidRPr="001746A8">
        <w:fldChar w:fldCharType="begin"/>
      </w:r>
      <w:r w:rsidR="00CA7A9D">
        <w:instrText xml:space="preserve"> ADDIN ZOTERO_ITEM CSL_CITATION {"citationID":"ado9qh6cct","properties":{"formattedCitation":"[121]","plainCitation":"[121]","noteIndex":0},"citationItems":[{"id":55,"uris":["http://zotero.org/users/12063231/items/3YN9ESZT"],"itemData":{"id":55,"type":"dataset","abstract":"Energy Information Administration - EIA - Official Energy Statistics from the U.S. Government","medium":"excel","title":"Construction cost data for electric generators installed in 2020","URL":"https://www.eia.gov/electricity/generatorcosts/index.php","author":[{"family":"EIA","given":""}],"accessed":{"date-parts":[["2023",9,16]]},"issued":{"date-parts":[["2022",8,23]]}}}],"schema":"https://github.com/citation-style-language/schema/raw/master/csl-citation.json"} </w:instrText>
      </w:r>
      <w:r w:rsidRPr="001746A8">
        <w:fldChar w:fldCharType="separate"/>
      </w:r>
      <w:r w:rsidR="00CA7A9D" w:rsidRPr="00CA7A9D">
        <w:rPr>
          <w:rFonts w:ascii="Aptos" w:hAnsi="Aptos"/>
        </w:rPr>
        <w:t>[121]</w:t>
      </w:r>
      <w:r w:rsidRPr="001746A8">
        <w:fldChar w:fldCharType="end"/>
      </w:r>
      <w:r w:rsidRPr="001746A8">
        <w:t>.</w:t>
      </w:r>
    </w:p>
    <w:p w14:paraId="44392EEC" w14:textId="77777777" w:rsidR="00B927C8" w:rsidRPr="001746A8" w:rsidRDefault="00B927C8" w:rsidP="00B927C8"/>
    <w:p w14:paraId="60C9EEC5" w14:textId="77777777" w:rsidR="00B927C8" w:rsidRPr="001746A8" w:rsidRDefault="00B927C8" w:rsidP="00B927C8">
      <w:pPr>
        <w:jc w:val="center"/>
      </w:pPr>
      <w:r w:rsidRPr="001746A8">
        <w:rPr>
          <w:noProof/>
        </w:rPr>
        <w:drawing>
          <wp:inline distT="0" distB="0" distL="0" distR="0" wp14:anchorId="3B7A39D2" wp14:editId="5B08EEDA">
            <wp:extent cx="3583305" cy="2403337"/>
            <wp:effectExtent l="0" t="0" r="0" b="0"/>
            <wp:docPr id="648230265" name="Chart 1">
              <a:extLst xmlns:a="http://schemas.openxmlformats.org/drawingml/2006/main">
                <a:ext uri="{FF2B5EF4-FFF2-40B4-BE49-F238E27FC236}">
                  <a16:creationId xmlns:a16="http://schemas.microsoft.com/office/drawing/2014/main" id="{BD4544D7-904A-F65F-285F-C9D340318D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3DD9F001" w14:textId="3865E351" w:rsidR="00B927C8" w:rsidRPr="001746A8" w:rsidRDefault="00B927C8" w:rsidP="00E6203C">
      <w:pPr>
        <w:pStyle w:val="Caption"/>
      </w:pPr>
      <w:bookmarkStart w:id="159" w:name="_Ref147785398"/>
      <w:bookmarkStart w:id="160" w:name="_Toc165641157"/>
      <w:r w:rsidRPr="001746A8">
        <w:t xml:space="preserve">Figure </w:t>
      </w:r>
      <w:r>
        <w:t>5.</w:t>
      </w:r>
      <w:r w:rsidRPr="001746A8">
        <w:fldChar w:fldCharType="begin"/>
      </w:r>
      <w:r w:rsidRPr="001746A8">
        <w:instrText xml:space="preserve"> SEQ Figure \* ARABIC </w:instrText>
      </w:r>
      <w:r w:rsidRPr="001746A8">
        <w:fldChar w:fldCharType="separate"/>
      </w:r>
      <w:r>
        <w:rPr>
          <w:noProof/>
        </w:rPr>
        <w:t>5</w:t>
      </w:r>
      <w:r w:rsidRPr="001746A8">
        <w:fldChar w:fldCharType="end"/>
      </w:r>
      <w:bookmarkEnd w:id="159"/>
      <w:r w:rsidRPr="001746A8">
        <w:t xml:space="preserve">: Construction Cost Data for Natural Gas Power Generators in 2020.  </w:t>
      </w:r>
      <w:r w:rsidRPr="001746A8">
        <w:fldChar w:fldCharType="begin"/>
      </w:r>
      <w:r w:rsidR="00CA7A9D">
        <w:instrText xml:space="preserve"> ADDIN ZOTERO_ITEM CSL_CITATION {"citationID":"ahlfcta3cj","properties":{"formattedCitation":"[121]","plainCitation":"[121]","noteIndex":0},"citationItems":[{"id":55,"uris":["http://zotero.org/users/12063231/items/3YN9ESZT"],"itemData":{"id":55,"type":"dataset","abstract":"Energy Information Administration - EIA - Official Energy Statistics from the U.S. Government","medium":"excel","title":"Construction cost data for electric generators installed in 2020","URL":"https://www.eia.gov/electricity/generatorcosts/index.php","author":[{"family":"EIA","given":""}],"accessed":{"date-parts":[["2023",9,16]]},"issued":{"date-parts":[["2022",8,23]]}}}],"schema":"https://github.com/citation-style-language/schema/raw/master/csl-citation.json"} </w:instrText>
      </w:r>
      <w:r w:rsidRPr="001746A8">
        <w:fldChar w:fldCharType="separate"/>
      </w:r>
      <w:r w:rsidR="00CA7A9D" w:rsidRPr="00CA7A9D">
        <w:rPr>
          <w:rFonts w:ascii="Aptos" w:hAnsi="Aptos"/>
        </w:rPr>
        <w:t>[121]</w:t>
      </w:r>
      <w:bookmarkEnd w:id="160"/>
      <w:r w:rsidRPr="001746A8">
        <w:fldChar w:fldCharType="end"/>
      </w:r>
    </w:p>
    <w:p w14:paraId="6CD93A8A" w14:textId="56DE9A62" w:rsidR="00B927C8" w:rsidRPr="001746A8" w:rsidRDefault="00B927C8" w:rsidP="00B927C8">
      <w:r w:rsidRPr="001746A8">
        <w:t xml:space="preserve">As seen in </w:t>
      </w:r>
      <w:r w:rsidRPr="001746A8">
        <w:fldChar w:fldCharType="begin"/>
      </w:r>
      <w:r w:rsidRPr="001746A8">
        <w:instrText xml:space="preserve"> REF _Ref147785398 \h </w:instrText>
      </w:r>
      <w:r w:rsidRPr="001746A8">
        <w:fldChar w:fldCharType="separate"/>
      </w:r>
      <w:r w:rsidR="00E6203C" w:rsidRPr="001746A8">
        <w:rPr>
          <w:iCs/>
        </w:rPr>
        <w:t xml:space="preserve">Figure </w:t>
      </w:r>
      <w:r w:rsidR="00E6203C">
        <w:rPr>
          <w:iCs/>
        </w:rPr>
        <w:t>5.</w:t>
      </w:r>
      <w:r w:rsidR="00E6203C">
        <w:rPr>
          <w:iCs/>
          <w:noProof/>
        </w:rPr>
        <w:t>5</w:t>
      </w:r>
      <w:r w:rsidRPr="001746A8">
        <w:fldChar w:fldCharType="end"/>
      </w:r>
      <w:r w:rsidRPr="001746A8">
        <w:t xml:space="preserve">, </w:t>
      </w:r>
      <w:proofErr w:type="gramStart"/>
      <w:r w:rsidRPr="001746A8">
        <w:t>the vast majority of</w:t>
      </w:r>
      <w:proofErr w:type="gramEnd"/>
      <w:r w:rsidRPr="001746A8">
        <w:t xml:space="preserve"> investments in power production fall into the category of combined cycle natural gas power plants. The total investment in this technology alone was more than $5 billion in 2020 </w:t>
      </w:r>
      <w:r w:rsidRPr="001746A8">
        <w:fldChar w:fldCharType="begin"/>
      </w:r>
      <w:r w:rsidR="00CA7A9D">
        <w:instrText xml:space="preserve"> ADDIN ZOTERO_ITEM CSL_CITATION {"citationID":"a27ftcsbvik","properties":{"formattedCitation":"[121]","plainCitation":"[121]","noteIndex":0},"citationItems":[{"id":55,"uris":["http://zotero.org/users/12063231/items/3YN9ESZT"],"itemData":{"id":55,"type":"dataset","abstract":"Energy Information Administration - EIA - Official Energy Statistics from the U.S. Government","medium":"excel","title":"Construction cost data for electric generators installed in 2020","URL":"https://www.eia.gov/electricity/generatorcosts/index.php","author":[{"family":"EIA","given":""}],"accessed":{"date-parts":[["2023",9,16]]},"issued":{"date-parts":[["2022",8,23]]}}}],"schema":"https://github.com/citation-style-language/schema/raw/master/csl-citation.json"} </w:instrText>
      </w:r>
      <w:r w:rsidRPr="001746A8">
        <w:fldChar w:fldCharType="separate"/>
      </w:r>
      <w:r w:rsidR="00CA7A9D" w:rsidRPr="00CA7A9D">
        <w:rPr>
          <w:rFonts w:ascii="Aptos" w:hAnsi="Aptos"/>
        </w:rPr>
        <w:t>[121]</w:t>
      </w:r>
      <w:r w:rsidRPr="001746A8">
        <w:fldChar w:fldCharType="end"/>
      </w:r>
      <w:r w:rsidRPr="001746A8">
        <w:t xml:space="preserve">. </w:t>
      </w:r>
    </w:p>
    <w:p w14:paraId="64A7BAB7" w14:textId="4B5A7918" w:rsidR="00B927C8" w:rsidRPr="001746A8" w:rsidRDefault="00B927C8" w:rsidP="00B927C8">
      <w:r w:rsidRPr="001746A8">
        <w:t xml:space="preserve">It is important to also recognize that the environment also pays a price for these power production technologies. Oil, gas, and coal all produce emissions when used for power production. However, natural gas power plants generally have fewer emissions when compared to coal and oil being used to produce the same amount of energy </w:t>
      </w:r>
      <w:r w:rsidRPr="001746A8">
        <w:fldChar w:fldCharType="begin"/>
      </w:r>
      <w:r w:rsidR="00CA7A9D">
        <w:instrText xml:space="preserve"> ADDIN ZOTERO_ITEM CSL_CITATION {"citationID":"a290n7213bt","properties":{"formattedCitation":"[122]","plainCitation":"[122]","noteIndex":0},"citationItems":[{"id":25,"uris":["http://zotero.org/users/12063231/items/86SDS76B"],"itemData":{"id":25,"type":"webpage","title":"Natural gas and the environment","URL":"https://www.eia.gov/energyexplained/natural-gas/natural-gas-and-the-environment.php","author":[{"family":"U.S. Energy Information Administration","given":""}],"accessed":{"date-parts":[["2023",10,18]]}}}],"schema":"https://github.com/citation-style-language/schema/raw/master/csl-citation.json"} </w:instrText>
      </w:r>
      <w:r w:rsidRPr="001746A8">
        <w:fldChar w:fldCharType="separate"/>
      </w:r>
      <w:r w:rsidR="00CA7A9D" w:rsidRPr="00CA7A9D">
        <w:rPr>
          <w:rFonts w:ascii="Aptos" w:hAnsi="Aptos"/>
        </w:rPr>
        <w:t>[122]</w:t>
      </w:r>
      <w:r w:rsidRPr="001746A8">
        <w:fldChar w:fldCharType="end"/>
      </w:r>
      <w:r w:rsidRPr="001746A8">
        <w:t xml:space="preserve">. Despite this, natural gas power plants still account for around 34% of the total U.S. energy-related emissions </w:t>
      </w:r>
      <w:r w:rsidRPr="001746A8">
        <w:fldChar w:fldCharType="begin"/>
      </w:r>
      <w:r w:rsidR="00CA7A9D">
        <w:instrText xml:space="preserve"> ADDIN ZOTERO_ITEM CSL_CITATION {"citationID":"a2kgv14p82b","properties":{"formattedCitation":"[122]","plainCitation":"[122]","noteIndex":0},"citationItems":[{"id":25,"uris":["http://zotero.org/users/12063231/items/86SDS76B"],"itemData":{"id":25,"type":"webpage","title":"Natural gas and the environment","URL":"https://www.eia.gov/energyexplained/natural-gas/natural-gas-and-the-environment.php","author":[{"family":"U.S. Energy Information Administration","given":""}],"accessed":{"date-parts":[["2023",10,18]]}}}],"schema":"https://github.com/citation-style-language/schema/raw/master/csl-citation.json"} </w:instrText>
      </w:r>
      <w:r w:rsidRPr="001746A8">
        <w:fldChar w:fldCharType="separate"/>
      </w:r>
      <w:r w:rsidR="00CA7A9D" w:rsidRPr="00CA7A9D">
        <w:rPr>
          <w:rFonts w:ascii="Aptos" w:hAnsi="Aptos"/>
        </w:rPr>
        <w:t>[122]</w:t>
      </w:r>
      <w:r w:rsidRPr="001746A8">
        <w:fldChar w:fldCharType="end"/>
      </w:r>
      <w:r w:rsidRPr="001746A8">
        <w:t xml:space="preserve">. </w:t>
      </w:r>
    </w:p>
    <w:p w14:paraId="11B2DE9E" w14:textId="79C8F648" w:rsidR="00B927C8" w:rsidRPr="001746A8" w:rsidRDefault="00B927C8" w:rsidP="00B927C8">
      <w:r w:rsidRPr="001746A8">
        <w:t xml:space="preserve">An ambitious target value might then be set around $1,155/kW for a PCER system </w:t>
      </w:r>
      <w:proofErr w:type="gramStart"/>
      <w:r w:rsidRPr="001746A8">
        <w:t>in order to</w:t>
      </w:r>
      <w:proofErr w:type="gramEnd"/>
      <w:r w:rsidRPr="001746A8">
        <w:t xml:space="preserve"> compete with the most popular power production technology, but this may prove difficult given the immaturity of fuel cells as a technology. Another important figure is the feedstock to power ratio. As reported by the U.S. Energy Information Administration, the standard natural gas consumed per kWh is 7.36 </w:t>
      </w:r>
      <w:proofErr w:type="spellStart"/>
      <w:r>
        <w:t>scf</w:t>
      </w:r>
      <w:proofErr w:type="spellEnd"/>
      <w:r w:rsidRPr="001746A8">
        <w:t xml:space="preserve">/kWh </w:t>
      </w:r>
      <w:r w:rsidRPr="001746A8">
        <w:fldChar w:fldCharType="begin"/>
      </w:r>
      <w:r w:rsidR="00CA7A9D">
        <w:instrText xml:space="preserve"> ADDIN ZOTERO_ITEM CSL_CITATION {"citationID":"a20fr3rchc0","properties":{"formattedCitation":"[123]","plainCitation":"[123]","noteIndex":0},"citationItems":[{"id":126,"uris":["http://zotero.org/users/12063231/items/C7BX9E8Q"],"itemData":{"id":126,"type":"webpage","abstract":"Energy Information Administration - EIA - Official Energy Statistics from the U.S. Government","title":"Frequently Asked Questions (FAQs) - U.S. Energy Information Administration (EIA)","URL":"https://www.eia.gov/tools/faqs/faq.php","accessed":{"date-parts":[["2023",8,16]]}}}],"schema":"https://github.com/citation-style-language/schema/raw/master/csl-citation.json"} </w:instrText>
      </w:r>
      <w:r w:rsidRPr="001746A8">
        <w:fldChar w:fldCharType="separate"/>
      </w:r>
      <w:r w:rsidR="00CA7A9D" w:rsidRPr="00CA7A9D">
        <w:rPr>
          <w:rFonts w:ascii="Aptos" w:hAnsi="Aptos"/>
        </w:rPr>
        <w:t>[123]</w:t>
      </w:r>
      <w:r w:rsidRPr="001746A8">
        <w:fldChar w:fldCharType="end"/>
      </w:r>
      <w:r w:rsidRPr="001746A8">
        <w:t>. Achieving a value close to this ratio</w:t>
      </w:r>
      <w:r>
        <w:t xml:space="preserve"> or its approximate equivalent of 0.15 kg</w:t>
      </w:r>
      <w:r>
        <w:rPr>
          <w:vertAlign w:val="subscript"/>
        </w:rPr>
        <w:t>CH4</w:t>
      </w:r>
      <w:r>
        <w:t>/kWh</w:t>
      </w:r>
      <w:r w:rsidRPr="001746A8">
        <w:t xml:space="preserve"> </w:t>
      </w:r>
      <w:r w:rsidR="00BB3D50">
        <w:t>would</w:t>
      </w:r>
      <w:r w:rsidRPr="001746A8">
        <w:t xml:space="preserve"> also help prove the effectiveness of the system, since it is a direct indicator of how well </w:t>
      </w:r>
      <w:r w:rsidR="00573D7A" w:rsidRPr="001746A8">
        <w:t>natural</w:t>
      </w:r>
      <w:r w:rsidRPr="001746A8">
        <w:t xml:space="preserve"> gas is turned into usable energy. </w:t>
      </w:r>
    </w:p>
    <w:p w14:paraId="1613089A" w14:textId="53113779" w:rsidR="00B927C8" w:rsidRPr="001746A8" w:rsidRDefault="00B927C8" w:rsidP="00B927C8">
      <w:r w:rsidRPr="001746A8">
        <w:t xml:space="preserve">Despite the maturity of natural gas power plants, many investors and government-funded programs are looking into alternative energy production routes due to the environmental issues </w:t>
      </w:r>
      <w:r>
        <w:t>already mentioned</w:t>
      </w:r>
      <w:r w:rsidRPr="001746A8">
        <w:t xml:space="preserve">. </w:t>
      </w:r>
      <w:r w:rsidRPr="001746A8">
        <w:fldChar w:fldCharType="begin"/>
      </w:r>
      <w:r w:rsidRPr="001746A8">
        <w:instrText xml:space="preserve"> REF _Ref147785224 \h </w:instrText>
      </w:r>
      <w:r w:rsidRPr="001746A8">
        <w:fldChar w:fldCharType="separate"/>
      </w:r>
      <w:r w:rsidR="00E6203C" w:rsidRPr="001746A8">
        <w:rPr>
          <w:iCs/>
        </w:rPr>
        <w:t xml:space="preserve">Figure </w:t>
      </w:r>
      <w:r w:rsidR="00E6203C">
        <w:rPr>
          <w:iCs/>
        </w:rPr>
        <w:t>5.</w:t>
      </w:r>
      <w:r w:rsidR="00E6203C">
        <w:rPr>
          <w:iCs/>
          <w:noProof/>
        </w:rPr>
        <w:t>6</w:t>
      </w:r>
      <w:r w:rsidRPr="001746A8">
        <w:fldChar w:fldCharType="end"/>
      </w:r>
      <w:r w:rsidRPr="001746A8">
        <w:t xml:space="preserve"> shows the costs associated with the most popular energy routes currently being investigated at a significant level as of 2020 </w:t>
      </w:r>
      <w:r w:rsidRPr="001746A8">
        <w:fldChar w:fldCharType="begin"/>
      </w:r>
      <w:r w:rsidR="00CA7A9D">
        <w:instrText xml:space="preserve"> ADDIN ZOTERO_ITEM CSL_CITATION {"citationID":"a2k5h5v1fl0","properties":{"formattedCitation":"[121]","plainCitation":"[121]","noteIndex":0},"citationItems":[{"id":55,"uris":["http://zotero.org/users/12063231/items/3YN9ESZT"],"itemData":{"id":55,"type":"dataset","abstract":"Energy Information Administration - EIA - Official Energy Statistics from the U.S. Government","medium":"excel","title":"Construction cost data for electric generators installed in 2020","URL":"https://www.eia.gov/electricity/generatorcosts/index.php","author":[{"family":"EIA","given":""}],"accessed":{"date-parts":[["2023",9,16]]},"issued":{"date-parts":[["2022",8,23]]}}}],"schema":"https://github.com/citation-style-language/schema/raw/master/csl-citation.json"} </w:instrText>
      </w:r>
      <w:r w:rsidRPr="001746A8">
        <w:fldChar w:fldCharType="separate"/>
      </w:r>
      <w:r w:rsidR="00CA7A9D" w:rsidRPr="00CA7A9D">
        <w:rPr>
          <w:rFonts w:ascii="Aptos" w:hAnsi="Aptos"/>
        </w:rPr>
        <w:t>[121]</w:t>
      </w:r>
      <w:r w:rsidRPr="001746A8">
        <w:fldChar w:fldCharType="end"/>
      </w:r>
      <w:r w:rsidRPr="001746A8">
        <w:t>.</w:t>
      </w:r>
    </w:p>
    <w:p w14:paraId="733DAE12" w14:textId="77777777" w:rsidR="00B927C8" w:rsidRPr="001746A8" w:rsidRDefault="00B927C8" w:rsidP="00B927C8">
      <w:pPr>
        <w:jc w:val="center"/>
      </w:pPr>
      <w:r w:rsidRPr="001746A8">
        <w:rPr>
          <w:noProof/>
        </w:rPr>
        <w:drawing>
          <wp:inline distT="0" distB="0" distL="0" distR="0" wp14:anchorId="00BFF891" wp14:editId="5FAF7E35">
            <wp:extent cx="4378067" cy="3130388"/>
            <wp:effectExtent l="0" t="0" r="3810" b="0"/>
            <wp:docPr id="792637575" name="Chart 1">
              <a:extLst xmlns:a="http://schemas.openxmlformats.org/drawingml/2006/main">
                <a:ext uri="{FF2B5EF4-FFF2-40B4-BE49-F238E27FC236}">
                  <a16:creationId xmlns:a16="http://schemas.microsoft.com/office/drawing/2014/main" id="{0D9C50F7-F7E5-9F8F-D6EB-D52DB81856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04BD63D" w14:textId="77777777" w:rsidR="00B927C8" w:rsidRPr="001746A8" w:rsidRDefault="00B927C8" w:rsidP="00E6203C">
      <w:pPr>
        <w:pStyle w:val="Caption"/>
      </w:pPr>
      <w:bookmarkStart w:id="161" w:name="_Ref147785224"/>
      <w:bookmarkStart w:id="162" w:name="_Ref147785597"/>
      <w:bookmarkStart w:id="163" w:name="_Toc165641158"/>
      <w:r w:rsidRPr="001746A8">
        <w:t xml:space="preserve">Figure </w:t>
      </w:r>
      <w:r>
        <w:t>5.</w:t>
      </w:r>
      <w:r w:rsidRPr="001746A8">
        <w:fldChar w:fldCharType="begin"/>
      </w:r>
      <w:r w:rsidRPr="001746A8">
        <w:instrText xml:space="preserve"> SEQ Figure \* ARABIC </w:instrText>
      </w:r>
      <w:r w:rsidRPr="001746A8">
        <w:fldChar w:fldCharType="separate"/>
      </w:r>
      <w:r>
        <w:rPr>
          <w:noProof/>
        </w:rPr>
        <w:t>6</w:t>
      </w:r>
      <w:r w:rsidRPr="001746A8">
        <w:fldChar w:fldCharType="end"/>
      </w:r>
      <w:bookmarkEnd w:id="161"/>
      <w:r w:rsidRPr="001746A8">
        <w:t>: Alternative energy production routes featuring yearly O&amp;M costs (on top) and system-level capital costs (on bottom)</w:t>
      </w:r>
      <w:bookmarkEnd w:id="162"/>
      <w:bookmarkEnd w:id="163"/>
    </w:p>
    <w:p w14:paraId="186692A4" w14:textId="36C224B4" w:rsidR="00B927C8" w:rsidRDefault="00B927C8" w:rsidP="00B927C8">
      <w:r>
        <w:t>Th</w:t>
      </w:r>
      <w:r w:rsidRPr="001746A8">
        <w:t xml:space="preserve">e fuel cell category located at the bottom of </w:t>
      </w:r>
      <w:r w:rsidRPr="001746A8">
        <w:fldChar w:fldCharType="begin"/>
      </w:r>
      <w:r w:rsidRPr="001746A8">
        <w:instrText xml:space="preserve"> REF _Ref147785224 \h </w:instrText>
      </w:r>
      <w:r w:rsidRPr="001746A8">
        <w:fldChar w:fldCharType="separate"/>
      </w:r>
      <w:r w:rsidR="00E6203C" w:rsidRPr="001746A8">
        <w:rPr>
          <w:iCs/>
        </w:rPr>
        <w:t xml:space="preserve">Figure </w:t>
      </w:r>
      <w:r w:rsidR="00E6203C">
        <w:rPr>
          <w:iCs/>
        </w:rPr>
        <w:t>5.</w:t>
      </w:r>
      <w:r w:rsidR="00E6203C">
        <w:rPr>
          <w:iCs/>
          <w:noProof/>
        </w:rPr>
        <w:t>6</w:t>
      </w:r>
      <w:r w:rsidRPr="001746A8">
        <w:fldChar w:fldCharType="end"/>
      </w:r>
      <w:r>
        <w:t xml:space="preserve"> displays</w:t>
      </w:r>
      <w:r w:rsidRPr="001746A8">
        <w:t xml:space="preserve"> numbers collected from Bloom Energy’s SOFC systems, not PCFCs. So, while they represent a rough baseline, it is largely expected that PCFCs have the potential to be cheaper </w:t>
      </w:r>
      <w:r w:rsidRPr="001746A8">
        <w:fldChar w:fldCharType="begin"/>
      </w:r>
      <w:r w:rsidR="00CA7A9D">
        <w:instrText xml:space="preserve"> ADDIN ZOTERO_ITEM CSL_CITATION {"citationID":"apn75u3ke4","properties":{"formattedCitation":"[124]","plainCitation":"[124]","noteIndex":0},"citationItems":[{"id":34,"uris":["http://zotero.org/users/12063231/items/9LDWRPY3"],"itemData":{"id":34,"type":"webpage","container-title":"DEVELOPMENT OF INTERMEDIATE-TEMPERATURE FUEL-FLEXIBLE PROTONIC-CERAMIC FUEL CELLS","language":"en-US","title":"Development of Intermediate-Temperature Fuel-Flexible Protonic-Ceramic Fuel Cells","URL":"https://aes.mines.edu/development-of-intermediate-temperature-fuel-flexible-protonic-ceramic-fuel-cells/","author":[{"family":"Colorado School of Mines","given":""}],"accessed":{"date-parts":[["2023",10,9]]}}}],"schema":"https://github.com/citation-style-language/schema/raw/master/csl-citation.json"} </w:instrText>
      </w:r>
      <w:r w:rsidRPr="001746A8">
        <w:fldChar w:fldCharType="separate"/>
      </w:r>
      <w:r w:rsidR="00CA7A9D" w:rsidRPr="00CA7A9D">
        <w:rPr>
          <w:rFonts w:ascii="Aptos" w:hAnsi="Aptos"/>
        </w:rPr>
        <w:t>[124]</w:t>
      </w:r>
      <w:r w:rsidRPr="001746A8">
        <w:fldChar w:fldCharType="end"/>
      </w:r>
      <w:r w:rsidRPr="001746A8">
        <w:t xml:space="preserve">, but no previous system level cost analysis for PCFCs has been performed to verify that assumption. Of the reported alternative energy production systems, the average value for system capital costs </w:t>
      </w:r>
      <w:r w:rsidR="00B21EC2">
        <w:t>is</w:t>
      </w:r>
      <w:r w:rsidRPr="001746A8">
        <w:t xml:space="preserve"> ~$4,370, while the average O&amp;M costs </w:t>
      </w:r>
      <w:r w:rsidR="00E9792B">
        <w:t>are</w:t>
      </w:r>
      <w:r w:rsidRPr="001746A8">
        <w:t xml:space="preserve"> ~$70/kW-y. These values represent better target ranges for the readiness of the suggested technology. When combined with the earlier analysis of natural gas power systems, a final system capital cost between $1,155-$4,370 per kW would be an ideal outcome to ensure its competitiveness with existing technology. </w:t>
      </w:r>
    </w:p>
    <w:p w14:paraId="32146510" w14:textId="77777777" w:rsidR="00B927C8" w:rsidRPr="001746A8" w:rsidRDefault="00B927C8" w:rsidP="00B927C8">
      <w:pPr>
        <w:pStyle w:val="Heading3"/>
      </w:pPr>
      <w:bookmarkStart w:id="164" w:name="_Toc149143181"/>
      <w:bookmarkStart w:id="165" w:name="_Toc165641103"/>
      <w:r>
        <w:t>5.2.3 Efficiency</w:t>
      </w:r>
      <w:r w:rsidRPr="001746A8">
        <w:t xml:space="preserve"> Analysis of PCERs vs Competing Technology</w:t>
      </w:r>
      <w:bookmarkEnd w:id="164"/>
      <w:bookmarkEnd w:id="165"/>
    </w:p>
    <w:p w14:paraId="5375D53A" w14:textId="77777777" w:rsidR="00B927C8" w:rsidRPr="001746A8" w:rsidRDefault="00B927C8" w:rsidP="00B927C8">
      <w:r w:rsidRPr="001746A8">
        <w:t xml:space="preserve">Ideally, the efficiency of the new technology will either meet or exceed that of existing practices. This section compares the </w:t>
      </w:r>
      <w:r>
        <w:t xml:space="preserve">modeled PCFC </w:t>
      </w:r>
      <w:r w:rsidRPr="001746A8">
        <w:t>with industry standards in areas like conversion efficiency for chemical production,</w:t>
      </w:r>
      <w:r>
        <w:t xml:space="preserve"> faradaic efficiency, and</w:t>
      </w:r>
      <w:r w:rsidRPr="001746A8">
        <w:t xml:space="preserve"> thermal efficiency. The numbers used for industry standards come from reported government data and chemical processing studies for FTS and other value-added chemical production processes for chemicals like benzene, and naphtha.</w:t>
      </w:r>
    </w:p>
    <w:p w14:paraId="6A81F7AC" w14:textId="77777777" w:rsidR="00B927C8" w:rsidRPr="001746A8" w:rsidRDefault="00B927C8" w:rsidP="00B927C8">
      <w:pPr>
        <w:rPr>
          <w:i/>
        </w:rPr>
      </w:pPr>
      <w:bookmarkStart w:id="166" w:name="_Toc149143182"/>
      <w:r w:rsidRPr="001746A8">
        <w:rPr>
          <w:i/>
        </w:rPr>
        <w:t>Conversion efficiency</w:t>
      </w:r>
      <w:bookmarkEnd w:id="166"/>
      <w:r w:rsidRPr="001746A8">
        <w:rPr>
          <w:i/>
        </w:rPr>
        <w:t xml:space="preserve"> </w:t>
      </w:r>
    </w:p>
    <w:p w14:paraId="17076704" w14:textId="666A2996" w:rsidR="00B927C8" w:rsidRPr="001746A8" w:rsidRDefault="00B927C8" w:rsidP="00B927C8">
      <w:r w:rsidRPr="001746A8">
        <w:t xml:space="preserve">FTS plants commonly convert </w:t>
      </w:r>
      <w:proofErr w:type="gramStart"/>
      <w:r w:rsidRPr="001746A8">
        <w:t>in excess of</w:t>
      </w:r>
      <w:proofErr w:type="gramEnd"/>
      <w:r w:rsidRPr="001746A8">
        <w:t xml:space="preserve"> 90% of the provided methane into syngas. However, the FTS process usually only converts about 60% of the syngas into the desired product in a single pass, resulting in a total conversion rate of ~54% </w:t>
      </w:r>
      <w:r w:rsidRPr="001746A8">
        <w:fldChar w:fldCharType="begin"/>
      </w:r>
      <w:r w:rsidR="00CA7A9D">
        <w:instrText xml:space="preserve"> ADDIN ZOTERO_ITEM CSL_CITATION {"citationID":"ZoXjfhXt","properties":{"formattedCitation":"[117], [125]","plainCitation":"[117], [125]","noteIndex":0},"citationItems":[{"id":169,"uris":["http://zotero.org/users/12063231/items/LZHVLGDX"],"itemData":{"id":169,"type":"article-journal","abstract":"The interest in Gas-to-Liquid technology (GTL) is growing worldwide because it involves a two-step indirect conversion of natural gas to higher hydrocarbons ranging from Liquefied Petroleum Gas (LPG) to paraffin wax. GTL makes it possible to obtain clean diesel, naphtha, lubes, olefins, and other industrially important organics from natural gas. This article is a brief review discussing the state-of-the-art of GTL, including the basics of syngas manufacturing as a source for Fischer-Tropsch synthesis (FTS), hydrocarbons synthesis (Fischer-Tropsch process), and product upgrading. Each one is analyzed, and the main characteristics of traditional and catalysts technologies are presented. For syngas generation, steam methane reforming, partial oxidation, two-step reforming, and autothermal reforming of methane are discussed. For Fischer–Tropsch, we highlight the role of catalysis and selectivity to high molecular weight hydrocarbons. Also, new reactors technologies, such as microreactors, are presented. The GTL technology still faces several challenges; the biggest is obtaining the right H2:CO ratio when using a low steam-to-carbon ratio. Despite the great understanding of the carbon formation mechanism, little has been made in developing newer catalysts. Since 60–70% of a GTL plant cost is for syngas production, it needs more attention, particularly for developing the catalytic partial oxidation process (CPO), given that modern CPO processes using a ceramic membrane reactor reduce the plant’s capital cost. Improving the membrane’s mechanical, thermal, and chemical stability can commercialize the process. Catalytic challenges accompanying the FTS need attention to enhance the selectivity to produce high-octane gasoline, lower the production cost, develop new reactor systems, and enhance the selectivity to produce high molecular weight hydrocarbons. Catalytically, more attention should be given to the generation of a convenient catalyst layer and the coating process for a given configuration.","container-title":"Methane","DOI":"10.3390/methane2010002","ISSN":"2674-0389","issue":"1","language":"en","license":"http://creativecommons.org/licenses/by/3.0/","note":"number: 1\npublisher: Multidisciplinary Digital Publishing Institute","page":"24-43","source":"www.mdpi.com","title":"Fisher–Tropsch Synthesis for Conversion of Methane into Liquid Hydrocarbons through Gas-to-Liquids (GTL) Process: A Review","title-short":"Fisher–Tropsch Synthesis for Conversion of Methane into Liquid Hydrocarbons through Gas-to-Liquids (GTL) Process","volume":"2","author":[{"family":"Alsudani","given":"Farah T."},{"family":"Saeed","given":"Abdullah N."},{"family":"Ali","given":"Nisreen S."},{"family":"Majdi","given":"Hasan Sh"},{"family":"Salih","given":"Hussein G."},{"family":"Albayati","given":"Talib M."},{"family":"Saady","given":"Noori M. Cata"},{"family":"Shakor","given":"Zaidoon M."}],"issued":{"date-parts":[["2023",3]]}}},{"id":78,"uris":["http://zotero.org/users/12063231/items/TRJI8KXG"],"itemData":{"id":78,"type":"article-journal","abstract":"This paper explores the viability of a gas-to-liquids (GTL) technology and examines how GTL penetration could shape the evolution of the crude oil–natural gas price ratio. Much research has established the cointegrated relationship between crude oil and natural gas prices in the U.S. The persistently low U.S. natural gas prices in recent years seem to mark a shift in this relationship, and have led some in industry to begin considering investments in GTL capacity in the US. In order to look forward over decades when the underlying economic drivers may be outside of historical experience, we use a computable general equilibrium model of the global economy to evaluate the economic viability of GTL and its impact on the evolution of the crude oil–natural gas price ratio. Our results are negative for the potential role of GTL. In order to produce any meaningful penetration of GTL, we find it necessary to evaluate scenarios that seem extreme. With any carbon cap GTL is not viable. Moreover, even without a carbon cap of any kind, extremely optimistic assumptions about (i) the cost and efficiency of GTL technology and about (ii) the available resource base of natural gas and the cost of extraction, before the technology penetrates and it impacts the evolution of the crude oil–natural gas price ratio.","container-title":"Energy Economics","DOI":"10.1016/j.eneco.2017.01.017","ISSN":"0140-9883","journalAbbreviation":"Energy Economics","page":"13-21","source":"ScienceDirect","title":"The economic viability of gas-to-liquids technology and the crude oil–natural gas price relationship","volume":"63","author":[{"family":"Ramberg","given":"David J."},{"family":"Henry Chen","given":"Y. H."},{"family":"Paltsev","given":"Sergey"},{"family":"Parsons","given":"John E."}],"issued":{"date-parts":[["2017",3,1]]}}}],"schema":"https://github.com/citation-style-language/schema/raw/master/csl-citation.json"} </w:instrText>
      </w:r>
      <w:r w:rsidRPr="001746A8">
        <w:fldChar w:fldCharType="separate"/>
      </w:r>
      <w:r w:rsidR="00CA7A9D" w:rsidRPr="00CA7A9D">
        <w:rPr>
          <w:rFonts w:ascii="Aptos" w:hAnsi="Aptos"/>
        </w:rPr>
        <w:t>[117], [125]</w:t>
      </w:r>
      <w:r w:rsidRPr="001746A8">
        <w:fldChar w:fldCharType="end"/>
      </w:r>
      <w:r w:rsidRPr="001746A8">
        <w:t xml:space="preserve">. For BTX plants and aromatic production, there are several techniques that are commonly used ranging from 13-46.6% conversion per-pass depending on the chosen method </w:t>
      </w:r>
      <w:r w:rsidRPr="001746A8">
        <w:fldChar w:fldCharType="begin"/>
      </w:r>
      <w:r w:rsidR="00CA7A9D">
        <w:instrText xml:space="preserve"> ADDIN ZOTERO_ITEM CSL_CITATION {"citationID":"a167tbke608","properties":{"formattedCitation":"[46]","plainCitation":"[46]","noteIndex":0},"citationItems":[{"id":23,"uris":["http://zotero.org/users/12063231/items/G7L7NYZP"],"itemData":{"id":23,"type":"paper-conference","abstract":"Benzene is the most basic aromatic compound, which possesses diverse applications in the chemical industry. Benzene is mainly used as an intermediate chemical for styrene in the manufacturing of plastic materials. The benzene derivatives such as styrene, cumene, cyclohexane and nitrobenzene are the four most significant products, which are highly dependent on the benzene demand. However, there is a huge gap between the supply and demand of benzene, and fluctuation of the market price of benzene is also noticeable in recent years. Primarily, benzene is produced as a by-product especially from steam crackers, production of p-xylene and also in oil refineries. This caused the demand of benzene to follow strictly on gasoline, ethylene and also p-xylene in particular. Hence, in this review, three important benzene process pathways are studied and compared based on its economic, safety and environmental aspects in order to allow researchers to understand and able to compare different route of benzene production in terms of sustainability aspects for an on-purpose build of a benzene production plant, which is more economically viable. Three identified process are benzene from ethane (ETB), methane dehydroaromatization: Non-oxidative process (NO-MDA) and natural gas via Methanol synthesis (MTB). NO-MDA process was found to be the most sustainable process among the above. The processes are based on the decision matrix method.","source":"Semantic Scholar","title":"Review on Production of Benzene from Petroleum Associated Gas by Dehydroaromatization, Partial Oxidation on Methane and Methanol-to-Aromatics Processes","URL":"https://www.semanticscholar.org/paper/REVIEW-ON-PRODUCTION-OF-BENZENE-FROM-PETROLEUM-GAS-Nithyanandam-Mun/4fd0aff1b350c48b541f0c50b507f6c4965c278c","author":[{"family":"Nithyanandam","given":"R."},{"family":"Mun","given":"Yew Kar"},{"family":"Fong","given":"Tang Shin"},{"family":"Siew","given":"T. C."},{"family":"Yee","given":"Ong Sin"},{"family":"Ismail","given":"N."}],"accessed":{"date-parts":[["2023",10,18]]},"issued":{"date-parts":[["2019"]]}}}],"schema":"https://github.com/citation-style-language/schema/raw/master/csl-citation.json"} </w:instrText>
      </w:r>
      <w:r w:rsidRPr="001746A8">
        <w:fldChar w:fldCharType="separate"/>
      </w:r>
      <w:r w:rsidR="00CA7A9D" w:rsidRPr="00CA7A9D">
        <w:rPr>
          <w:rFonts w:ascii="Aptos" w:hAnsi="Aptos"/>
        </w:rPr>
        <w:t>[46]</w:t>
      </w:r>
      <w:r w:rsidRPr="001746A8">
        <w:fldChar w:fldCharType="end"/>
      </w:r>
      <w:r w:rsidRPr="001746A8">
        <w:t xml:space="preserve"> as seen in</w:t>
      </w:r>
      <w:r w:rsidR="00580588">
        <w:t xml:space="preserve"> </w:t>
      </w:r>
      <w:r w:rsidR="00580588">
        <w:fldChar w:fldCharType="begin"/>
      </w:r>
      <w:r w:rsidR="00580588">
        <w:instrText xml:space="preserve"> REF _Ref164686423 \h </w:instrText>
      </w:r>
      <w:r w:rsidR="00580588">
        <w:fldChar w:fldCharType="separate"/>
      </w:r>
      <w:r w:rsidR="00580588">
        <w:t>Figure 5.</w:t>
      </w:r>
      <w:r w:rsidR="00580588">
        <w:rPr>
          <w:noProof/>
        </w:rPr>
        <w:t>7</w:t>
      </w:r>
      <w:r w:rsidR="00580588">
        <w:fldChar w:fldCharType="end"/>
      </w:r>
      <w:r w:rsidRPr="001746A8">
        <w:t xml:space="preserve">. </w:t>
      </w:r>
    </w:p>
    <w:p w14:paraId="1207BCA7" w14:textId="635D4E20" w:rsidR="00B927C8" w:rsidRPr="001746A8" w:rsidRDefault="00B927C8" w:rsidP="00B927C8">
      <w:r w:rsidRPr="001746A8">
        <w:t xml:space="preserve">Unfortunately, conversion efficiency is one of the limiting factors of the effectiveness of </w:t>
      </w:r>
      <w:r>
        <w:t xml:space="preserve">the MDA </w:t>
      </w:r>
      <w:r w:rsidRPr="001746A8">
        <w:t>PC</w:t>
      </w:r>
      <w:r>
        <w:t>FC and other similar membrane reactors for value-added chemicals</w:t>
      </w:r>
      <w:r w:rsidRPr="001746A8">
        <w:t xml:space="preserve">. </w:t>
      </w:r>
      <w:r w:rsidRPr="001746A8">
        <w:fldChar w:fldCharType="begin"/>
      </w:r>
      <w:r w:rsidRPr="001746A8">
        <w:instrText xml:space="preserve"> REF _Ref147787267 \h </w:instrText>
      </w:r>
      <w:r w:rsidRPr="001746A8">
        <w:fldChar w:fldCharType="separate"/>
      </w:r>
      <w:r w:rsidR="00CF0AAF" w:rsidRPr="001746A8">
        <w:rPr>
          <w:iCs/>
        </w:rPr>
        <w:t xml:space="preserve">Table </w:t>
      </w:r>
      <w:r w:rsidR="00CF0AAF">
        <w:rPr>
          <w:iCs/>
        </w:rPr>
        <w:t>5.</w:t>
      </w:r>
      <w:r w:rsidR="00CF0AAF">
        <w:rPr>
          <w:iCs/>
          <w:noProof/>
        </w:rPr>
        <w:t>3</w:t>
      </w:r>
      <w:r w:rsidRPr="001746A8">
        <w:fldChar w:fldCharType="end"/>
      </w:r>
      <w:r w:rsidRPr="001746A8">
        <w:t xml:space="preserve"> shows several experiments involving aromatic chemical production from PCECs and PCERs, with the current standard limited to ~12%. The high</w:t>
      </w:r>
      <w:r>
        <w:t xml:space="preserve"> </w:t>
      </w:r>
      <w:r w:rsidRPr="001746A8">
        <w:t xml:space="preserve">in </w:t>
      </w:r>
      <w:r w:rsidRPr="001746A8">
        <w:fldChar w:fldCharType="begin"/>
      </w:r>
      <w:r w:rsidRPr="001746A8">
        <w:instrText xml:space="preserve"> REF _Ref147787267 \h </w:instrText>
      </w:r>
      <w:r w:rsidRPr="001746A8">
        <w:fldChar w:fldCharType="separate"/>
      </w:r>
      <w:r w:rsidR="00CF0AAF" w:rsidRPr="001746A8">
        <w:rPr>
          <w:iCs/>
        </w:rPr>
        <w:t xml:space="preserve">Table </w:t>
      </w:r>
      <w:r w:rsidR="00CF0AAF">
        <w:rPr>
          <w:iCs/>
        </w:rPr>
        <w:t>5.</w:t>
      </w:r>
      <w:r w:rsidR="00CF0AAF">
        <w:rPr>
          <w:iCs/>
          <w:noProof/>
        </w:rPr>
        <w:t>3</w:t>
      </w:r>
      <w:r w:rsidRPr="001746A8">
        <w:fldChar w:fldCharType="end"/>
      </w:r>
      <w:r w:rsidRPr="001746A8">
        <w:t xml:space="preserve"> is 18%, but this value </w:t>
      </w:r>
      <w:r w:rsidR="00EB6FFF">
        <w:t>is</w:t>
      </w:r>
      <w:r w:rsidRPr="001746A8">
        <w:t xml:space="preserve"> only achieved at an operating temperature that </w:t>
      </w:r>
      <w:r w:rsidR="00EB6FFF">
        <w:t>is</w:t>
      </w:r>
      <w:r w:rsidRPr="001746A8">
        <w:t xml:space="preserve"> far too high to be economically viable at the industrial level for PC</w:t>
      </w:r>
      <w:r>
        <w:t>ER</w:t>
      </w:r>
      <w:r w:rsidRPr="001746A8">
        <w:t>s.</w:t>
      </w:r>
    </w:p>
    <w:p w14:paraId="4DDD0EFC" w14:textId="77777777" w:rsidR="00B927C8" w:rsidRPr="001746A8" w:rsidRDefault="00B927C8" w:rsidP="00B927C8"/>
    <w:p w14:paraId="3494BBDB" w14:textId="42B721E5" w:rsidR="00B927C8" w:rsidRPr="001746A8" w:rsidRDefault="00B927C8" w:rsidP="00CF0AAF">
      <w:pPr>
        <w:pStyle w:val="Caption"/>
      </w:pPr>
      <w:bookmarkStart w:id="167" w:name="_Ref147787267"/>
      <w:bookmarkStart w:id="168" w:name="_Toc165641122"/>
      <w:r w:rsidRPr="001746A8">
        <w:t xml:space="preserve">Table </w:t>
      </w:r>
      <w:r>
        <w:t>5.</w:t>
      </w:r>
      <w:r w:rsidRPr="001746A8">
        <w:fldChar w:fldCharType="begin"/>
      </w:r>
      <w:r w:rsidRPr="001746A8">
        <w:instrText xml:space="preserve"> SEQ Table \* ARABIC </w:instrText>
      </w:r>
      <w:r w:rsidRPr="001746A8">
        <w:fldChar w:fldCharType="separate"/>
      </w:r>
      <w:r>
        <w:rPr>
          <w:noProof/>
        </w:rPr>
        <w:t>3</w:t>
      </w:r>
      <w:r w:rsidRPr="001746A8">
        <w:fldChar w:fldCharType="end"/>
      </w:r>
      <w:bookmarkEnd w:id="167"/>
      <w:r w:rsidRPr="001746A8">
        <w:t>: Recent protonic ceramic electrochemical studies for methane to aromatic chemical conversion</w:t>
      </w:r>
      <w:r>
        <w:t xml:space="preserve"> </w:t>
      </w:r>
      <w:r>
        <w:fldChar w:fldCharType="begin"/>
      </w:r>
      <w:r w:rsidR="00FD20A8">
        <w:instrText xml:space="preserve"> ADDIN ZOTERO_ITEM CSL_CITATION {"citationID":"a1qpdf2fvac","properties":{"formattedCitation":"[13]","plainCitation":"[13]","noteIndex":0},"citationItems":[{"id":187,"uris":["http://zotero.org/users/12063231/items/GPTSEBC5"],"itemData":{"id":187,"type":"article-journal","abstract":"Protonic ceramic electrochemical cells (PCECs) have been intensively studied as the technology that can be employed for power generation, energy storage, and sustainable chemical synthesis. Recently, there have been substantial advances in electrolyte and electrode materials for improving the performance of protonic ceramic fuel cells and protonic ceramic electrolyzers. However, the electrocatalytic materials development for synthesizing chemicals in PCECs has gained less attention, and there is a lack of systematic and fundamental understanding of the PCEC reactor design, reaction mechanisms, and electrode materials. This review comprehensively summarizes and critically evaluates the most up-to-date progress in employing PCECs to synthesize a wide range of chemicals, including ammonia, carbon monoxide, methane, light olefins, and aromatics. Factors that impact the conversion, selectivity, product yield, and energy efficiencies are discussed to provide new insights into designing electrochemical cells, developing electrode materials, and achieving economically viable chemical synthesis. The primary challenges associated with producing chemicals in PCECs are highlighted. Approaches to tackle these challenges are then offered, with a particular focus on deliberately designing electrode materials, aiming to achieve practically valuable product yield and energy efficiency. Finally, perspectives on the future development of PCECs for synthesizing sustainable chemicals are provided.","container-title":"Advanced Science","DOI":"10.1002/advs.202206478","ISSN":"2198-3844","issue":"8","language":"en","license":"© 2023 The Authors. Advanced Science published by Wiley-VCH GmbH","note":"_eprint: https://onlinelibrary.wiley.com/doi/pdf/10.1002/advs.202206478","page":"2206478","source":"Wiley Online Library","title":"Protonic Ceramic Electrochemical Cells for Synthesizing Sustainable Chemicals and Fuels","volume":"10","author":[{"family":"Liu","given":"Fan"},{"family":"Ding","given":"Dong"},{"family":"Duan","given":"Chuancheng"}],"issued":{"date-parts":[["2023"]]}}}],"schema":"https://github.com/citation-style-language/schema/raw/master/csl-citation.json"} </w:instrText>
      </w:r>
      <w:r>
        <w:fldChar w:fldCharType="separate"/>
      </w:r>
      <w:r w:rsidR="00FD20A8" w:rsidRPr="00FD20A8">
        <w:rPr>
          <w:rFonts w:ascii="Aptos" w:hAnsi="Aptos" w:cs="Times New Roman"/>
          <w:kern w:val="0"/>
        </w:rPr>
        <w:t>[13]</w:t>
      </w:r>
      <w:bookmarkEnd w:id="168"/>
      <w:r>
        <w:fldChar w:fldCharType="end"/>
      </w:r>
    </w:p>
    <w:tbl>
      <w:tblPr>
        <w:tblStyle w:val="TableGrid"/>
        <w:tblpPr w:leftFromText="180" w:rightFromText="180" w:vertAnchor="text" w:horzAnchor="margin" w:tblpXSpec="center" w:tblpY="150"/>
        <w:tblW w:w="9175" w:type="dxa"/>
        <w:tblLook w:val="04A0" w:firstRow="1" w:lastRow="0" w:firstColumn="1" w:lastColumn="0" w:noHBand="0" w:noVBand="1"/>
      </w:tblPr>
      <w:tblGrid>
        <w:gridCol w:w="1275"/>
        <w:gridCol w:w="2114"/>
        <w:gridCol w:w="684"/>
        <w:gridCol w:w="1335"/>
        <w:gridCol w:w="871"/>
        <w:gridCol w:w="1327"/>
        <w:gridCol w:w="914"/>
        <w:gridCol w:w="655"/>
      </w:tblGrid>
      <w:tr w:rsidR="00B927C8" w:rsidRPr="006B6CED" w14:paraId="43C2F5BD" w14:textId="77777777" w:rsidTr="00092E33">
        <w:trPr>
          <w:trHeight w:val="525"/>
        </w:trPr>
        <w:tc>
          <w:tcPr>
            <w:tcW w:w="1281" w:type="dxa"/>
          </w:tcPr>
          <w:p w14:paraId="48F78006" w14:textId="77777777" w:rsidR="00B927C8" w:rsidRPr="006B6CED" w:rsidRDefault="00B927C8" w:rsidP="00C77590">
            <w:pPr>
              <w:spacing w:line="240" w:lineRule="auto"/>
              <w:ind w:firstLine="0"/>
              <w:rPr>
                <w:rFonts w:eastAsia="Calibri" w:cs="Times New Roman"/>
                <w:sz w:val="20"/>
                <w:szCs w:val="20"/>
              </w:rPr>
            </w:pPr>
            <w:r w:rsidRPr="006B6CED">
              <w:rPr>
                <w:rFonts w:eastAsia="Calibri" w:cs="Times New Roman"/>
                <w:sz w:val="20"/>
                <w:szCs w:val="20"/>
              </w:rPr>
              <w:t>Application</w:t>
            </w:r>
          </w:p>
        </w:tc>
        <w:tc>
          <w:tcPr>
            <w:tcW w:w="2128" w:type="dxa"/>
          </w:tcPr>
          <w:p w14:paraId="59F73A3F" w14:textId="77777777" w:rsidR="00B927C8" w:rsidRPr="006B6CED" w:rsidRDefault="00B927C8" w:rsidP="00C77590">
            <w:pPr>
              <w:spacing w:line="240" w:lineRule="auto"/>
              <w:ind w:firstLine="0"/>
              <w:rPr>
                <w:rFonts w:eastAsia="Calibri" w:cs="Times New Roman"/>
                <w:sz w:val="20"/>
                <w:szCs w:val="20"/>
              </w:rPr>
            </w:pPr>
            <w:r w:rsidRPr="006B6CED">
              <w:rPr>
                <w:rFonts w:eastAsia="Calibri" w:cs="Times New Roman"/>
                <w:sz w:val="20"/>
                <w:szCs w:val="20"/>
              </w:rPr>
              <w:t>Configuration</w:t>
            </w:r>
          </w:p>
        </w:tc>
        <w:tc>
          <w:tcPr>
            <w:tcW w:w="684" w:type="dxa"/>
          </w:tcPr>
          <w:p w14:paraId="7C827B71" w14:textId="77777777" w:rsidR="00B927C8" w:rsidRPr="006B6CED" w:rsidRDefault="00B927C8" w:rsidP="00C77590">
            <w:pPr>
              <w:spacing w:line="240" w:lineRule="auto"/>
              <w:ind w:firstLine="0"/>
              <w:rPr>
                <w:rFonts w:eastAsia="Calibri" w:cs="Times New Roman"/>
                <w:sz w:val="20"/>
                <w:szCs w:val="20"/>
              </w:rPr>
            </w:pPr>
            <w:r w:rsidRPr="006B6CED">
              <w:rPr>
                <w:rFonts w:eastAsia="Calibri" w:cs="Times New Roman"/>
                <w:sz w:val="20"/>
                <w:szCs w:val="20"/>
              </w:rPr>
              <w:t xml:space="preserve">Temp (C) </w:t>
            </w:r>
          </w:p>
        </w:tc>
        <w:tc>
          <w:tcPr>
            <w:tcW w:w="1335" w:type="dxa"/>
          </w:tcPr>
          <w:p w14:paraId="34C6A838" w14:textId="77777777" w:rsidR="00B927C8" w:rsidRPr="006B6CED" w:rsidRDefault="00B927C8" w:rsidP="00C77590">
            <w:pPr>
              <w:spacing w:line="240" w:lineRule="auto"/>
              <w:ind w:firstLine="0"/>
              <w:rPr>
                <w:rFonts w:eastAsia="Calibri" w:cs="Times New Roman"/>
                <w:sz w:val="20"/>
                <w:szCs w:val="20"/>
                <w:highlight w:val="yellow"/>
              </w:rPr>
            </w:pPr>
            <w:r w:rsidRPr="006B6CED">
              <w:rPr>
                <w:rFonts w:eastAsia="Calibri" w:cs="Times New Roman"/>
                <w:sz w:val="20"/>
                <w:szCs w:val="20"/>
              </w:rPr>
              <w:t>Reactant Composition</w:t>
            </w:r>
          </w:p>
        </w:tc>
        <w:tc>
          <w:tcPr>
            <w:tcW w:w="884" w:type="dxa"/>
          </w:tcPr>
          <w:p w14:paraId="44304416" w14:textId="77777777" w:rsidR="00B927C8" w:rsidRPr="006B6CED" w:rsidRDefault="00B927C8" w:rsidP="00C77590">
            <w:pPr>
              <w:spacing w:line="240" w:lineRule="auto"/>
              <w:ind w:firstLine="0"/>
              <w:rPr>
                <w:rFonts w:eastAsia="Calibri" w:cs="Times New Roman"/>
                <w:sz w:val="20"/>
                <w:szCs w:val="20"/>
              </w:rPr>
            </w:pPr>
            <w:r w:rsidRPr="006B6CED">
              <w:rPr>
                <w:rFonts w:eastAsia="Calibri" w:cs="Times New Roman"/>
                <w:sz w:val="20"/>
                <w:szCs w:val="20"/>
              </w:rPr>
              <w:t>Conv. %</w:t>
            </w:r>
          </w:p>
        </w:tc>
        <w:tc>
          <w:tcPr>
            <w:tcW w:w="1344" w:type="dxa"/>
          </w:tcPr>
          <w:p w14:paraId="0AB0CE5F" w14:textId="77777777" w:rsidR="00B927C8" w:rsidRPr="006B6CED" w:rsidRDefault="00B927C8" w:rsidP="00C77590">
            <w:pPr>
              <w:spacing w:line="240" w:lineRule="auto"/>
              <w:ind w:firstLine="0"/>
              <w:rPr>
                <w:rFonts w:eastAsia="Calibri" w:cs="Times New Roman"/>
                <w:sz w:val="20"/>
                <w:szCs w:val="20"/>
              </w:rPr>
            </w:pPr>
            <w:r w:rsidRPr="006B6CED">
              <w:rPr>
                <w:rFonts w:eastAsia="Calibri" w:cs="Times New Roman"/>
                <w:sz w:val="20"/>
                <w:szCs w:val="20"/>
              </w:rPr>
              <w:t>Selectivity %</w:t>
            </w:r>
          </w:p>
        </w:tc>
        <w:tc>
          <w:tcPr>
            <w:tcW w:w="914" w:type="dxa"/>
          </w:tcPr>
          <w:p w14:paraId="3BE9C5D7" w14:textId="77777777" w:rsidR="00B927C8" w:rsidRPr="006B6CED" w:rsidRDefault="00B927C8" w:rsidP="00C77590">
            <w:pPr>
              <w:spacing w:line="240" w:lineRule="auto"/>
              <w:ind w:firstLine="0"/>
              <w:rPr>
                <w:rFonts w:eastAsia="Calibri" w:cs="Times New Roman"/>
                <w:sz w:val="20"/>
                <w:szCs w:val="20"/>
              </w:rPr>
            </w:pPr>
            <w:r w:rsidRPr="006B6CED">
              <w:rPr>
                <w:rFonts w:eastAsia="Calibri" w:cs="Times New Roman"/>
                <w:sz w:val="20"/>
                <w:szCs w:val="20"/>
              </w:rPr>
              <w:t>Stability</w:t>
            </w:r>
          </w:p>
        </w:tc>
        <w:tc>
          <w:tcPr>
            <w:tcW w:w="605" w:type="dxa"/>
          </w:tcPr>
          <w:p w14:paraId="12578CD8" w14:textId="77777777" w:rsidR="00B927C8" w:rsidRPr="006B6CED" w:rsidRDefault="00B927C8" w:rsidP="00C77590">
            <w:pPr>
              <w:spacing w:line="240" w:lineRule="auto"/>
              <w:ind w:firstLine="0"/>
              <w:rPr>
                <w:rFonts w:eastAsia="Calibri" w:cs="Times New Roman"/>
                <w:sz w:val="20"/>
                <w:szCs w:val="20"/>
              </w:rPr>
            </w:pPr>
            <w:r w:rsidRPr="006B6CED">
              <w:rPr>
                <w:rFonts w:eastAsia="Calibri" w:cs="Times New Roman"/>
                <w:sz w:val="20"/>
                <w:szCs w:val="20"/>
              </w:rPr>
              <w:t>Ref</w:t>
            </w:r>
          </w:p>
        </w:tc>
      </w:tr>
      <w:tr w:rsidR="00B927C8" w:rsidRPr="006B6CED" w14:paraId="19F3DBC5" w14:textId="77777777" w:rsidTr="00092E33">
        <w:trPr>
          <w:trHeight w:val="1832"/>
        </w:trPr>
        <w:tc>
          <w:tcPr>
            <w:tcW w:w="1281" w:type="dxa"/>
          </w:tcPr>
          <w:p w14:paraId="295A2123" w14:textId="77777777" w:rsidR="00B927C8" w:rsidRPr="006B6CED" w:rsidRDefault="00B927C8" w:rsidP="00C77590">
            <w:pPr>
              <w:spacing w:line="240" w:lineRule="auto"/>
              <w:ind w:firstLine="0"/>
              <w:rPr>
                <w:rFonts w:eastAsia="Calibri" w:cs="Times New Roman"/>
                <w:sz w:val="20"/>
                <w:szCs w:val="20"/>
              </w:rPr>
            </w:pPr>
            <w:r w:rsidRPr="006B6CED">
              <w:rPr>
                <w:rFonts w:eastAsia="Calibri" w:cs="Times New Roman"/>
                <w:sz w:val="20"/>
                <w:szCs w:val="20"/>
              </w:rPr>
              <w:t>PCEC for methane upgrading</w:t>
            </w:r>
          </w:p>
        </w:tc>
        <w:tc>
          <w:tcPr>
            <w:tcW w:w="2128" w:type="dxa"/>
          </w:tcPr>
          <w:p w14:paraId="01B60E84" w14:textId="77777777" w:rsidR="00B927C8" w:rsidRPr="006B6CED" w:rsidRDefault="00B927C8" w:rsidP="00C77590">
            <w:pPr>
              <w:spacing w:line="240" w:lineRule="auto"/>
              <w:ind w:firstLine="0"/>
              <w:rPr>
                <w:rFonts w:eastAsia="Calibri" w:cs="Times New Roman"/>
                <w:sz w:val="20"/>
                <w:szCs w:val="20"/>
              </w:rPr>
            </w:pPr>
            <w:r w:rsidRPr="006B6CED">
              <w:rPr>
                <w:rFonts w:eastAsia="Calibri" w:cs="Times New Roman"/>
                <w:sz w:val="20"/>
                <w:szCs w:val="20"/>
              </w:rPr>
              <w:t>Cu-Mo/H-MCM-22(Methane electrode) | BaZr</w:t>
            </w:r>
            <w:r w:rsidRPr="006B6CED">
              <w:rPr>
                <w:rFonts w:eastAsia="Calibri" w:cs="Times New Roman"/>
                <w:sz w:val="20"/>
                <w:szCs w:val="20"/>
                <w:vertAlign w:val="subscript"/>
              </w:rPr>
              <w:t>0.7</w:t>
            </w:r>
            <w:r w:rsidRPr="006B6CED">
              <w:rPr>
                <w:rFonts w:eastAsia="Calibri" w:cs="Times New Roman"/>
                <w:sz w:val="20"/>
                <w:szCs w:val="20"/>
              </w:rPr>
              <w:t>Ce</w:t>
            </w:r>
            <w:r w:rsidRPr="006B6CED">
              <w:rPr>
                <w:rFonts w:eastAsia="Calibri" w:cs="Times New Roman"/>
                <w:sz w:val="20"/>
                <w:szCs w:val="20"/>
                <w:vertAlign w:val="subscript"/>
              </w:rPr>
              <w:t>0.2</w:t>
            </w:r>
            <w:r w:rsidRPr="006B6CED">
              <w:rPr>
                <w:rFonts w:eastAsia="Calibri" w:cs="Times New Roman"/>
                <w:sz w:val="20"/>
                <w:szCs w:val="20"/>
              </w:rPr>
              <w:t>Y</w:t>
            </w:r>
            <w:r w:rsidRPr="006B6CED">
              <w:rPr>
                <w:rFonts w:eastAsia="Calibri" w:cs="Times New Roman"/>
                <w:sz w:val="20"/>
                <w:szCs w:val="20"/>
                <w:vertAlign w:val="subscript"/>
              </w:rPr>
              <w:t>0.1</w:t>
            </w:r>
            <w:r w:rsidRPr="006B6CED">
              <w:rPr>
                <w:rFonts w:eastAsia="Calibri" w:cs="Times New Roman"/>
                <w:sz w:val="20"/>
                <w:szCs w:val="20"/>
              </w:rPr>
              <w:t>O</w:t>
            </w:r>
            <w:r w:rsidRPr="006B6CED">
              <w:rPr>
                <w:rFonts w:eastAsia="Calibri" w:cs="Times New Roman"/>
                <w:sz w:val="20"/>
                <w:szCs w:val="20"/>
                <w:vertAlign w:val="subscript"/>
              </w:rPr>
              <w:t>3-</w:t>
            </w:r>
            <w:proofErr w:type="gramStart"/>
            <w:r w:rsidRPr="006B6CED">
              <w:rPr>
                <w:rFonts w:ascii="Cambria Math" w:eastAsia="Calibri" w:hAnsi="Cambria Math" w:cs="Cambria Math"/>
                <w:sz w:val="20"/>
                <w:szCs w:val="20"/>
                <w:vertAlign w:val="subscript"/>
              </w:rPr>
              <w:t>𝛿</w:t>
            </w:r>
            <w:r w:rsidRPr="006B6CED">
              <w:rPr>
                <w:rFonts w:eastAsia="Calibri" w:cs="Times New Roman"/>
                <w:sz w:val="20"/>
                <w:szCs w:val="20"/>
              </w:rPr>
              <w:t>(</w:t>
            </w:r>
            <w:proofErr w:type="gramEnd"/>
            <w:r w:rsidRPr="006B6CED">
              <w:rPr>
                <w:rFonts w:eastAsia="Calibri" w:cs="Times New Roman"/>
                <w:sz w:val="20"/>
                <w:szCs w:val="20"/>
              </w:rPr>
              <w:t>Electrolyte) |Ni-Ba</w:t>
            </w:r>
            <w:r w:rsidRPr="006B6CED">
              <w:rPr>
                <w:rFonts w:eastAsia="Calibri" w:cs="Times New Roman"/>
                <w:sz w:val="20"/>
                <w:szCs w:val="20"/>
                <w:vertAlign w:val="subscript"/>
              </w:rPr>
              <w:t>0.7</w:t>
            </w:r>
            <w:r w:rsidRPr="006B6CED">
              <w:rPr>
                <w:rFonts w:eastAsia="Calibri" w:cs="Times New Roman"/>
                <w:sz w:val="20"/>
                <w:szCs w:val="20"/>
              </w:rPr>
              <w:t>Zr</w:t>
            </w:r>
            <w:r w:rsidRPr="006B6CED">
              <w:rPr>
                <w:rFonts w:eastAsia="Calibri" w:cs="Times New Roman"/>
                <w:sz w:val="20"/>
                <w:szCs w:val="20"/>
                <w:vertAlign w:val="subscript"/>
              </w:rPr>
              <w:t>0.7</w:t>
            </w:r>
            <w:r w:rsidRPr="006B6CED">
              <w:rPr>
                <w:rFonts w:eastAsia="Calibri" w:cs="Times New Roman"/>
                <w:sz w:val="20"/>
                <w:szCs w:val="20"/>
              </w:rPr>
              <w:t>Ce</w:t>
            </w:r>
            <w:r w:rsidRPr="006B6CED">
              <w:rPr>
                <w:rFonts w:eastAsia="Calibri" w:cs="Times New Roman"/>
                <w:sz w:val="20"/>
                <w:szCs w:val="20"/>
                <w:vertAlign w:val="subscript"/>
              </w:rPr>
              <w:t>0.2</w:t>
            </w:r>
            <w:r w:rsidRPr="006B6CED">
              <w:rPr>
                <w:rFonts w:eastAsia="Calibri" w:cs="Times New Roman"/>
                <w:sz w:val="20"/>
                <w:szCs w:val="20"/>
              </w:rPr>
              <w:t>Y</w:t>
            </w:r>
            <w:r w:rsidRPr="006B6CED">
              <w:rPr>
                <w:rFonts w:eastAsia="Calibri" w:cs="Times New Roman"/>
                <w:sz w:val="20"/>
                <w:szCs w:val="20"/>
                <w:vertAlign w:val="subscript"/>
              </w:rPr>
              <w:t>0.1</w:t>
            </w:r>
            <w:r w:rsidRPr="006B6CED">
              <w:rPr>
                <w:rFonts w:eastAsia="Calibri" w:cs="Times New Roman"/>
                <w:sz w:val="20"/>
                <w:szCs w:val="20"/>
              </w:rPr>
              <w:t>O</w:t>
            </w:r>
            <w:r w:rsidRPr="006B6CED">
              <w:rPr>
                <w:rFonts w:eastAsia="Calibri" w:cs="Times New Roman"/>
                <w:sz w:val="20"/>
                <w:szCs w:val="20"/>
                <w:vertAlign w:val="subscript"/>
              </w:rPr>
              <w:t>3-</w:t>
            </w:r>
            <w:r w:rsidRPr="006B6CED">
              <w:rPr>
                <w:rFonts w:ascii="Cambria Math" w:eastAsia="Calibri" w:hAnsi="Cambria Math" w:cs="Cambria Math"/>
                <w:sz w:val="20"/>
                <w:szCs w:val="20"/>
                <w:vertAlign w:val="subscript"/>
              </w:rPr>
              <w:t>𝛿</w:t>
            </w:r>
            <w:r w:rsidRPr="006B6CED">
              <w:rPr>
                <w:rFonts w:eastAsia="Calibri" w:cs="Times New Roman"/>
                <w:sz w:val="20"/>
                <w:szCs w:val="20"/>
              </w:rPr>
              <w:t xml:space="preserve"> (Hydrogen evolution reaction electrode)</w:t>
            </w:r>
          </w:p>
        </w:tc>
        <w:tc>
          <w:tcPr>
            <w:tcW w:w="684" w:type="dxa"/>
          </w:tcPr>
          <w:p w14:paraId="4057866A" w14:textId="77777777" w:rsidR="00B927C8" w:rsidRPr="006B6CED" w:rsidRDefault="00B927C8" w:rsidP="00C77590">
            <w:pPr>
              <w:spacing w:line="240" w:lineRule="auto"/>
              <w:ind w:firstLine="0"/>
              <w:rPr>
                <w:rFonts w:eastAsia="Calibri" w:cs="Times New Roman"/>
                <w:sz w:val="20"/>
                <w:szCs w:val="20"/>
              </w:rPr>
            </w:pPr>
            <w:r w:rsidRPr="006B6CED">
              <w:rPr>
                <w:rFonts w:eastAsia="Calibri" w:cs="Times New Roman"/>
                <w:sz w:val="20"/>
                <w:szCs w:val="20"/>
              </w:rPr>
              <w:t>710</w:t>
            </w:r>
          </w:p>
        </w:tc>
        <w:tc>
          <w:tcPr>
            <w:tcW w:w="1335" w:type="dxa"/>
          </w:tcPr>
          <w:p w14:paraId="78CC6DA5" w14:textId="77777777" w:rsidR="00B927C8" w:rsidRPr="006B6CED" w:rsidRDefault="00B927C8" w:rsidP="00C77590">
            <w:pPr>
              <w:spacing w:line="240" w:lineRule="auto"/>
              <w:ind w:firstLine="0"/>
              <w:rPr>
                <w:rFonts w:eastAsia="Calibri" w:cs="Times New Roman"/>
                <w:sz w:val="20"/>
                <w:szCs w:val="20"/>
                <w:vertAlign w:val="subscript"/>
              </w:rPr>
            </w:pPr>
            <w:r w:rsidRPr="006B6CED">
              <w:rPr>
                <w:rFonts w:eastAsia="Calibri" w:cs="Times New Roman"/>
                <w:sz w:val="20"/>
                <w:szCs w:val="20"/>
              </w:rPr>
              <w:t>10%CH</w:t>
            </w:r>
            <w:r w:rsidRPr="006B6CED">
              <w:rPr>
                <w:rFonts w:eastAsia="Calibri" w:cs="Times New Roman"/>
                <w:sz w:val="20"/>
                <w:szCs w:val="20"/>
                <w:vertAlign w:val="subscript"/>
              </w:rPr>
              <w:t>4</w:t>
            </w:r>
            <w:r w:rsidRPr="006B6CED">
              <w:rPr>
                <w:rFonts w:eastAsia="Calibri" w:cs="Times New Roman"/>
                <w:sz w:val="20"/>
                <w:szCs w:val="20"/>
              </w:rPr>
              <w:t>/H</w:t>
            </w:r>
            <w:r w:rsidRPr="006B6CED">
              <w:rPr>
                <w:rFonts w:eastAsia="Calibri" w:cs="Times New Roman"/>
                <w:sz w:val="20"/>
                <w:szCs w:val="20"/>
                <w:vertAlign w:val="subscript"/>
              </w:rPr>
              <w:t>2</w:t>
            </w:r>
          </w:p>
        </w:tc>
        <w:tc>
          <w:tcPr>
            <w:tcW w:w="884" w:type="dxa"/>
          </w:tcPr>
          <w:p w14:paraId="55973B51" w14:textId="77777777" w:rsidR="00B927C8" w:rsidRPr="006B6CED" w:rsidRDefault="00B927C8" w:rsidP="00C77590">
            <w:pPr>
              <w:spacing w:line="240" w:lineRule="auto"/>
              <w:ind w:firstLine="0"/>
              <w:rPr>
                <w:rFonts w:eastAsia="Calibri" w:cs="Times New Roman"/>
                <w:sz w:val="20"/>
                <w:szCs w:val="20"/>
                <w:vertAlign w:val="subscript"/>
              </w:rPr>
            </w:pPr>
            <w:r w:rsidRPr="006B6CED">
              <w:rPr>
                <w:rFonts w:eastAsia="Calibri" w:cs="Times New Roman"/>
                <w:sz w:val="20"/>
                <w:szCs w:val="20"/>
              </w:rPr>
              <w:t xml:space="preserve">11.6 </w:t>
            </w:r>
          </w:p>
        </w:tc>
        <w:tc>
          <w:tcPr>
            <w:tcW w:w="1344" w:type="dxa"/>
          </w:tcPr>
          <w:p w14:paraId="25CB6D51" w14:textId="77777777" w:rsidR="00B927C8" w:rsidRPr="006B6CED" w:rsidRDefault="00B927C8" w:rsidP="00C77590">
            <w:pPr>
              <w:spacing w:line="240" w:lineRule="auto"/>
              <w:ind w:firstLine="0"/>
              <w:rPr>
                <w:rFonts w:eastAsia="Calibri" w:cs="Times New Roman"/>
                <w:sz w:val="20"/>
                <w:szCs w:val="20"/>
              </w:rPr>
            </w:pPr>
            <w:r w:rsidRPr="006B6CED">
              <w:rPr>
                <w:rFonts w:eastAsia="Calibri" w:cs="Times New Roman"/>
                <w:sz w:val="20"/>
                <w:szCs w:val="20"/>
              </w:rPr>
              <w:t>86.2 Aromatics</w:t>
            </w:r>
          </w:p>
        </w:tc>
        <w:tc>
          <w:tcPr>
            <w:tcW w:w="914" w:type="dxa"/>
          </w:tcPr>
          <w:p w14:paraId="082D7C91" w14:textId="77777777" w:rsidR="00B927C8" w:rsidRPr="006B6CED" w:rsidRDefault="00B927C8" w:rsidP="00C77590">
            <w:pPr>
              <w:spacing w:line="240" w:lineRule="auto"/>
              <w:ind w:firstLine="0"/>
              <w:rPr>
                <w:rFonts w:eastAsia="Calibri" w:cs="Times New Roman"/>
                <w:sz w:val="20"/>
                <w:szCs w:val="20"/>
                <w:vertAlign w:val="superscript"/>
              </w:rPr>
            </w:pPr>
            <w:r w:rsidRPr="006B6CED">
              <w:rPr>
                <w:rFonts w:eastAsia="Calibri" w:cs="Times New Roman"/>
                <w:sz w:val="20"/>
                <w:szCs w:val="20"/>
              </w:rPr>
              <w:t>40h at 40 mA/cm</w:t>
            </w:r>
            <w:r w:rsidRPr="006B6CED">
              <w:rPr>
                <w:rFonts w:eastAsia="Calibri" w:cs="Times New Roman"/>
                <w:sz w:val="20"/>
                <w:szCs w:val="20"/>
                <w:vertAlign w:val="superscript"/>
              </w:rPr>
              <w:t>2</w:t>
            </w:r>
          </w:p>
        </w:tc>
        <w:tc>
          <w:tcPr>
            <w:tcW w:w="605" w:type="dxa"/>
          </w:tcPr>
          <w:p w14:paraId="54108CBC" w14:textId="474B7DB7" w:rsidR="00B927C8" w:rsidRPr="006B6CED" w:rsidRDefault="00B927C8" w:rsidP="00C77590">
            <w:pPr>
              <w:spacing w:line="240" w:lineRule="auto"/>
              <w:ind w:firstLine="0"/>
              <w:rPr>
                <w:rFonts w:eastAsia="Calibri" w:cs="Times New Roman"/>
                <w:sz w:val="20"/>
                <w:szCs w:val="20"/>
              </w:rPr>
            </w:pPr>
            <w:r w:rsidRPr="006B6CED">
              <w:rPr>
                <w:rFonts w:eastAsia="Calibri" w:cs="Times New Roman"/>
                <w:sz w:val="20"/>
                <w:szCs w:val="20"/>
              </w:rPr>
              <w:fldChar w:fldCharType="begin"/>
            </w:r>
            <w:r w:rsidR="00CA7A9D">
              <w:rPr>
                <w:rFonts w:eastAsia="Calibri" w:cs="Times New Roman"/>
                <w:sz w:val="20"/>
                <w:szCs w:val="20"/>
              </w:rPr>
              <w:instrText xml:space="preserve"> ADDIN ZOTERO_ITEM CSL_CITATION {"citationID":"ad2tqk84t4","properties":{"formattedCitation":"[73]","plainCitation":"[73]","noteIndex":0},"citationItems":[{"id":128,"uris":["http://zotero.org/users/12063231/items/98RFJZQA"],"itemData":{"id":128,"type":"article-journal","abstract":"Nonoxidative methane dehydroaromatization (MDA: 6CH4 ↔ C6H6 + 9H2) using shape-selective Mo/zeolite catalysts is a key technology for exploitation of stranded natural gas reserves by direct conversion into transportable liquids. However, this reaction faces two major issues: The one-pass conversion …","container-title":"Science (New York, N.Y.)","DOI":"10.1126/science.aag0274","ISSN":"1095-9203","issue":"6299","language":"en","note":"publisher: Science\nPMID: 27493179","source":"pubmed.ncbi.nlm.nih.gov","title":"Direct conversion of methane to aromatics in a catalytic co-ionic membrane reactor","URL":"https://pubmed.ncbi.nlm.nih.gov/27493179/","volume":"353","author":[{"family":"Morejudo","given":"S. H."},{"family":"Zanón","given":"R"},{"family":"Escolástico","given":"S"},{"family":"Yuste-Tirados","given":"I"},{"family":"Malerød-Fjeld","given":"H"},{"family":"Vestre","given":"P.K."},{"family":"Coors","given":"W.G."},{"family":"Martínez","given":"A"},{"family":"Norby","given":"Truls"},{"family":"Serra","given":"J.M."},{"family":"Kjølseth","given":"C"}],"accessed":{"date-parts":[["2023",8,12]]},"issued":{"date-parts":[["2016",8,5]]}}}],"schema":"https://github.com/citation-style-language/schema/raw/master/csl-citation.json"} </w:instrText>
            </w:r>
            <w:r w:rsidRPr="006B6CED">
              <w:rPr>
                <w:rFonts w:eastAsia="Calibri" w:cs="Times New Roman"/>
                <w:sz w:val="20"/>
                <w:szCs w:val="20"/>
              </w:rPr>
              <w:fldChar w:fldCharType="separate"/>
            </w:r>
            <w:r w:rsidR="00CA7A9D" w:rsidRPr="00CA7A9D">
              <w:rPr>
                <w:rFonts w:ascii="Aptos" w:hAnsi="Aptos"/>
                <w:sz w:val="20"/>
              </w:rPr>
              <w:t>[73]</w:t>
            </w:r>
            <w:r w:rsidRPr="006B6CED">
              <w:rPr>
                <w:rFonts w:eastAsia="Calibri" w:cs="Times New Roman"/>
                <w:sz w:val="20"/>
                <w:szCs w:val="20"/>
              </w:rPr>
              <w:fldChar w:fldCharType="end"/>
            </w:r>
          </w:p>
        </w:tc>
      </w:tr>
      <w:tr w:rsidR="00B927C8" w:rsidRPr="006B6CED" w14:paraId="5D3EA381" w14:textId="77777777" w:rsidTr="00092E33">
        <w:trPr>
          <w:trHeight w:val="257"/>
        </w:trPr>
        <w:tc>
          <w:tcPr>
            <w:tcW w:w="1281" w:type="dxa"/>
            <w:vMerge w:val="restart"/>
          </w:tcPr>
          <w:p w14:paraId="3B42D561" w14:textId="77777777" w:rsidR="00B927C8" w:rsidRPr="006B6CED" w:rsidRDefault="00B927C8" w:rsidP="00C77590">
            <w:pPr>
              <w:spacing w:line="240" w:lineRule="auto"/>
              <w:ind w:firstLine="0"/>
              <w:rPr>
                <w:rFonts w:eastAsia="Calibri" w:cs="Times New Roman"/>
                <w:sz w:val="20"/>
                <w:szCs w:val="20"/>
              </w:rPr>
            </w:pPr>
            <w:r w:rsidRPr="006B6CED">
              <w:rPr>
                <w:rFonts w:eastAsia="Calibri" w:cs="Times New Roman"/>
                <w:sz w:val="20"/>
                <w:szCs w:val="20"/>
              </w:rPr>
              <w:t>Proton membrane reactor for methane upgrading</w:t>
            </w:r>
          </w:p>
        </w:tc>
        <w:tc>
          <w:tcPr>
            <w:tcW w:w="2128" w:type="dxa"/>
            <w:vMerge w:val="restart"/>
          </w:tcPr>
          <w:p w14:paraId="0E00C8A7" w14:textId="77777777" w:rsidR="00B927C8" w:rsidRPr="006B6CED" w:rsidRDefault="00B927C8" w:rsidP="00C77590">
            <w:pPr>
              <w:spacing w:line="240" w:lineRule="auto"/>
              <w:ind w:firstLine="20"/>
              <w:rPr>
                <w:rFonts w:eastAsia="Calibri" w:cs="Times New Roman"/>
                <w:sz w:val="20"/>
                <w:szCs w:val="20"/>
              </w:rPr>
            </w:pPr>
            <w:r w:rsidRPr="006B6CED">
              <w:rPr>
                <w:rFonts w:eastAsia="Calibri" w:cs="Times New Roman"/>
                <w:sz w:val="20"/>
                <w:szCs w:val="20"/>
              </w:rPr>
              <w:t>Fe-SiO</w:t>
            </w:r>
            <w:r w:rsidRPr="006B6CED">
              <w:rPr>
                <w:rFonts w:eastAsia="Calibri" w:cs="Times New Roman"/>
                <w:sz w:val="20"/>
                <w:szCs w:val="20"/>
                <w:vertAlign w:val="subscript"/>
              </w:rPr>
              <w:t>2</w:t>
            </w:r>
            <w:r w:rsidRPr="006B6CED">
              <w:rPr>
                <w:rFonts w:eastAsia="Calibri" w:cs="Times New Roman"/>
                <w:sz w:val="20"/>
                <w:szCs w:val="20"/>
              </w:rPr>
              <w:t>SrCe</w:t>
            </w:r>
            <w:r w:rsidRPr="006B6CED">
              <w:rPr>
                <w:rFonts w:eastAsia="Calibri" w:cs="Times New Roman"/>
                <w:sz w:val="20"/>
                <w:szCs w:val="20"/>
                <w:vertAlign w:val="subscript"/>
              </w:rPr>
              <w:t>0.8</w:t>
            </w:r>
            <w:r w:rsidRPr="006B6CED">
              <w:rPr>
                <w:rFonts w:eastAsia="Calibri" w:cs="Times New Roman"/>
                <w:sz w:val="20"/>
                <w:szCs w:val="20"/>
              </w:rPr>
              <w:t>Zr</w:t>
            </w:r>
            <w:r w:rsidRPr="006B6CED">
              <w:rPr>
                <w:rFonts w:eastAsia="Calibri" w:cs="Times New Roman"/>
                <w:sz w:val="20"/>
                <w:szCs w:val="20"/>
                <w:vertAlign w:val="subscript"/>
              </w:rPr>
              <w:t>0.2</w:t>
            </w:r>
            <w:r w:rsidRPr="006B6CED">
              <w:rPr>
                <w:rFonts w:eastAsia="Calibri" w:cs="Times New Roman"/>
                <w:sz w:val="20"/>
                <w:szCs w:val="20"/>
              </w:rPr>
              <w:t>O</w:t>
            </w:r>
            <w:r w:rsidRPr="006B6CED">
              <w:rPr>
                <w:rFonts w:eastAsia="Calibri" w:cs="Times New Roman"/>
                <w:sz w:val="20"/>
                <w:szCs w:val="20"/>
                <w:vertAlign w:val="subscript"/>
              </w:rPr>
              <w:t>3-</w:t>
            </w:r>
            <w:r w:rsidRPr="006B6CED">
              <w:rPr>
                <w:rFonts w:ascii="Cambria Math" w:eastAsia="Calibri" w:hAnsi="Cambria Math" w:cs="Cambria Math"/>
                <w:sz w:val="20"/>
                <w:szCs w:val="20"/>
                <w:vertAlign w:val="subscript"/>
              </w:rPr>
              <w:t>𝛿</w:t>
            </w:r>
            <w:r w:rsidRPr="006B6CED">
              <w:rPr>
                <w:rFonts w:eastAsia="Calibri" w:cs="Times New Roman"/>
                <w:sz w:val="20"/>
                <w:szCs w:val="20"/>
              </w:rPr>
              <w:t xml:space="preserve"> (Methane side) | SrCe</w:t>
            </w:r>
            <w:r w:rsidRPr="006B6CED">
              <w:rPr>
                <w:rFonts w:eastAsia="Calibri" w:cs="Times New Roman"/>
                <w:sz w:val="20"/>
                <w:szCs w:val="20"/>
                <w:vertAlign w:val="subscript"/>
              </w:rPr>
              <w:t>0.7</w:t>
            </w:r>
            <w:r w:rsidRPr="006B6CED">
              <w:rPr>
                <w:rFonts w:eastAsia="Calibri" w:cs="Times New Roman"/>
                <w:sz w:val="20"/>
                <w:szCs w:val="20"/>
              </w:rPr>
              <w:t>Zr</w:t>
            </w:r>
            <w:r w:rsidRPr="006B6CED">
              <w:rPr>
                <w:rFonts w:eastAsia="Calibri" w:cs="Times New Roman"/>
                <w:sz w:val="20"/>
                <w:szCs w:val="20"/>
                <w:vertAlign w:val="subscript"/>
              </w:rPr>
              <w:t>0.2</w:t>
            </w:r>
            <w:r w:rsidRPr="006B6CED">
              <w:rPr>
                <w:rFonts w:eastAsia="Calibri" w:cs="Times New Roman"/>
                <w:sz w:val="20"/>
                <w:szCs w:val="20"/>
              </w:rPr>
              <w:t>Eu</w:t>
            </w:r>
            <w:r w:rsidRPr="006B6CED">
              <w:rPr>
                <w:rFonts w:eastAsia="Calibri" w:cs="Times New Roman"/>
                <w:sz w:val="20"/>
                <w:szCs w:val="20"/>
                <w:vertAlign w:val="subscript"/>
              </w:rPr>
              <w:t>0.1</w:t>
            </w:r>
            <w:r w:rsidRPr="006B6CED">
              <w:rPr>
                <w:rFonts w:eastAsia="Calibri" w:cs="Times New Roman"/>
                <w:sz w:val="20"/>
                <w:szCs w:val="20"/>
              </w:rPr>
              <w:t>O</w:t>
            </w:r>
            <w:r w:rsidRPr="006B6CED">
              <w:rPr>
                <w:rFonts w:eastAsia="Calibri" w:cs="Times New Roman"/>
                <w:sz w:val="20"/>
                <w:szCs w:val="20"/>
                <w:vertAlign w:val="subscript"/>
              </w:rPr>
              <w:t>3-</w:t>
            </w:r>
            <w:r w:rsidRPr="006B6CED">
              <w:rPr>
                <w:rFonts w:ascii="Cambria Math" w:eastAsia="Calibri" w:hAnsi="Cambria Math" w:cs="Cambria Math"/>
                <w:sz w:val="20"/>
                <w:szCs w:val="20"/>
                <w:vertAlign w:val="subscript"/>
              </w:rPr>
              <w:t>𝛿</w:t>
            </w:r>
            <w:r w:rsidRPr="006B6CED">
              <w:rPr>
                <w:rFonts w:eastAsia="Calibri" w:cs="Cambria Math"/>
                <w:sz w:val="20"/>
                <w:szCs w:val="20"/>
                <w:vertAlign w:val="subscript"/>
              </w:rPr>
              <w:t xml:space="preserve"> </w:t>
            </w:r>
            <w:r w:rsidRPr="006B6CED">
              <w:rPr>
                <w:rFonts w:eastAsia="Calibri" w:cs="Times New Roman"/>
                <w:sz w:val="20"/>
                <w:szCs w:val="20"/>
              </w:rPr>
              <w:t>(Membrane)</w:t>
            </w:r>
          </w:p>
        </w:tc>
        <w:tc>
          <w:tcPr>
            <w:tcW w:w="684" w:type="dxa"/>
          </w:tcPr>
          <w:p w14:paraId="4F1E5D0C" w14:textId="77777777" w:rsidR="00B927C8" w:rsidRPr="006B6CED" w:rsidRDefault="00B927C8" w:rsidP="00C77590">
            <w:pPr>
              <w:spacing w:line="240" w:lineRule="auto"/>
              <w:ind w:firstLine="0"/>
              <w:rPr>
                <w:rFonts w:eastAsia="Calibri" w:cs="Times New Roman"/>
                <w:sz w:val="20"/>
                <w:szCs w:val="20"/>
              </w:rPr>
            </w:pPr>
            <w:r w:rsidRPr="006B6CED">
              <w:rPr>
                <w:rFonts w:eastAsia="Calibri" w:cs="Times New Roman"/>
                <w:sz w:val="20"/>
                <w:szCs w:val="20"/>
              </w:rPr>
              <w:t>980</w:t>
            </w:r>
          </w:p>
        </w:tc>
        <w:tc>
          <w:tcPr>
            <w:tcW w:w="1335" w:type="dxa"/>
            <w:vMerge w:val="restart"/>
          </w:tcPr>
          <w:p w14:paraId="5AE47FE8" w14:textId="77777777" w:rsidR="00B927C8" w:rsidRPr="006B6CED" w:rsidRDefault="00B927C8" w:rsidP="00C77590">
            <w:pPr>
              <w:spacing w:line="240" w:lineRule="auto"/>
              <w:ind w:firstLine="0"/>
              <w:rPr>
                <w:rFonts w:eastAsia="Calibri" w:cs="Times New Roman"/>
                <w:sz w:val="20"/>
                <w:szCs w:val="20"/>
              </w:rPr>
            </w:pPr>
            <w:r w:rsidRPr="006B6CED">
              <w:rPr>
                <w:rFonts w:eastAsia="Calibri" w:cs="Times New Roman"/>
                <w:sz w:val="20"/>
                <w:szCs w:val="20"/>
              </w:rPr>
              <w:t>90% CH</w:t>
            </w:r>
            <w:r w:rsidRPr="006B6CED">
              <w:rPr>
                <w:rFonts w:eastAsia="Calibri" w:cs="Times New Roman"/>
                <w:sz w:val="20"/>
                <w:szCs w:val="20"/>
                <w:vertAlign w:val="subscript"/>
              </w:rPr>
              <w:t>4</w:t>
            </w:r>
            <w:r w:rsidRPr="006B6CED">
              <w:rPr>
                <w:rFonts w:eastAsia="Calibri" w:cs="Times New Roman"/>
                <w:sz w:val="20"/>
                <w:szCs w:val="20"/>
              </w:rPr>
              <w:t>/</w:t>
            </w:r>
            <w:proofErr w:type="spellStart"/>
            <w:r w:rsidRPr="006B6CED">
              <w:rPr>
                <w:rFonts w:eastAsia="Calibri" w:cs="Times New Roman"/>
                <w:sz w:val="20"/>
                <w:szCs w:val="20"/>
              </w:rPr>
              <w:t>Ar</w:t>
            </w:r>
            <w:proofErr w:type="spellEnd"/>
          </w:p>
        </w:tc>
        <w:tc>
          <w:tcPr>
            <w:tcW w:w="884" w:type="dxa"/>
          </w:tcPr>
          <w:p w14:paraId="0B0BCC5D" w14:textId="77777777" w:rsidR="00B927C8" w:rsidRPr="006B6CED" w:rsidRDefault="00B927C8" w:rsidP="00C77590">
            <w:pPr>
              <w:spacing w:line="240" w:lineRule="auto"/>
              <w:ind w:firstLine="0"/>
              <w:rPr>
                <w:rFonts w:eastAsia="Calibri" w:cs="Times New Roman"/>
                <w:sz w:val="20"/>
                <w:szCs w:val="20"/>
                <w:vertAlign w:val="subscript"/>
              </w:rPr>
            </w:pPr>
            <w:r w:rsidRPr="006B6CED">
              <w:rPr>
                <w:rFonts w:eastAsia="Calibri" w:cs="Times New Roman"/>
                <w:sz w:val="20"/>
                <w:szCs w:val="20"/>
              </w:rPr>
              <w:t>5.9</w:t>
            </w:r>
          </w:p>
        </w:tc>
        <w:tc>
          <w:tcPr>
            <w:tcW w:w="1344" w:type="dxa"/>
          </w:tcPr>
          <w:p w14:paraId="5EABC088" w14:textId="77777777" w:rsidR="00B927C8" w:rsidRPr="006B6CED" w:rsidRDefault="00B927C8" w:rsidP="00C77590">
            <w:pPr>
              <w:spacing w:line="240" w:lineRule="auto"/>
              <w:ind w:firstLine="0"/>
              <w:rPr>
                <w:rFonts w:eastAsia="Calibri" w:cs="Times New Roman"/>
                <w:sz w:val="20"/>
                <w:szCs w:val="20"/>
              </w:rPr>
            </w:pPr>
            <w:r w:rsidRPr="006B6CED">
              <w:rPr>
                <w:rFonts w:eastAsia="Calibri" w:cs="Times New Roman"/>
                <w:sz w:val="20"/>
                <w:szCs w:val="20"/>
              </w:rPr>
              <w:t>42.9 Aromatics</w:t>
            </w:r>
          </w:p>
        </w:tc>
        <w:tc>
          <w:tcPr>
            <w:tcW w:w="914" w:type="dxa"/>
            <w:vMerge w:val="restart"/>
          </w:tcPr>
          <w:p w14:paraId="7E061CCF" w14:textId="77777777" w:rsidR="00B927C8" w:rsidRPr="006B6CED" w:rsidRDefault="00B927C8" w:rsidP="00C77590">
            <w:pPr>
              <w:spacing w:line="240" w:lineRule="auto"/>
              <w:ind w:firstLine="0"/>
              <w:rPr>
                <w:rFonts w:eastAsia="Calibri" w:cs="Times New Roman"/>
                <w:sz w:val="20"/>
                <w:szCs w:val="20"/>
              </w:rPr>
            </w:pPr>
            <w:r w:rsidRPr="006B6CED">
              <w:rPr>
                <w:rFonts w:eastAsia="Calibri" w:cs="Times New Roman"/>
                <w:sz w:val="20"/>
                <w:szCs w:val="20"/>
              </w:rPr>
              <w:t>50h</w:t>
            </w:r>
          </w:p>
        </w:tc>
        <w:tc>
          <w:tcPr>
            <w:tcW w:w="605" w:type="dxa"/>
            <w:vMerge w:val="restart"/>
          </w:tcPr>
          <w:p w14:paraId="4B8C379F" w14:textId="5010B9E6" w:rsidR="00B927C8" w:rsidRPr="006B6CED" w:rsidRDefault="00B927C8" w:rsidP="00C77590">
            <w:pPr>
              <w:spacing w:line="240" w:lineRule="auto"/>
              <w:ind w:firstLine="0"/>
              <w:rPr>
                <w:rFonts w:eastAsia="Calibri" w:cs="Times New Roman"/>
                <w:sz w:val="20"/>
                <w:szCs w:val="20"/>
              </w:rPr>
            </w:pPr>
            <w:r w:rsidRPr="006B6CED">
              <w:rPr>
                <w:rFonts w:eastAsia="Calibri" w:cs="Times New Roman"/>
                <w:sz w:val="20"/>
                <w:szCs w:val="20"/>
              </w:rPr>
              <w:fldChar w:fldCharType="begin"/>
            </w:r>
            <w:r w:rsidR="00CA7A9D">
              <w:rPr>
                <w:rFonts w:eastAsia="Calibri" w:cs="Times New Roman"/>
                <w:sz w:val="20"/>
                <w:szCs w:val="20"/>
              </w:rPr>
              <w:instrText xml:space="preserve"> ADDIN ZOTERO_ITEM CSL_CITATION {"citationID":"a25k09tlirl","properties":{"formattedCitation":"[109]","plainCitation":"[109]","noteIndex":0},"citationItems":[{"id":155,"uris":["http://zotero.org/users/12063231/items/PWWE8D4F"],"itemData":{"id":155,"type":"article-journal","abstract":"Direct nonoxidative methane conversion (DNMC) transforms CH4 to higher (C2+) hydrocarbons and H2 in a single step, but its utility is challenged by low CH4 equilibrium conversion, carbon deposition (coking), and its endothermic reaction energy requirement. This work reports a heat-exchanged autothermal H2-permeable tubular membrane reactor composed of a thin mixed ionic-electronic conducting SrCe0.7Zr0.2Eu0.1O3–δ membrane supported on a porous SrCe0.8Zr0.2O3–δ tube in which a Fe/SiO2 DNMC catalyst is packed, that concurrently tackles all of these challenges. The H2-permeation flux drives CH4 conversion. O2 from an air simulant (O2/He mixture) sweep outside the membrane reacts with permeated H2 to provide heat for the endothermic DNMC reaction. The energy balance between the endothermic DNMC and exothermic H2 combustion on opposite sides of the membrane is achieved, demonstrating the feasibility for autothermal operation using a simple air sweep gas. Moreover, the back diffusion of O2 from the sweep side to the catalyst side oxidizes any deposited carbon into CO. Thus, for the first time demonstrating all the desired attributes, a heat-exchanged H2-permeable membrane reactor capable of achieving single-step auto-thermal DNMC catalysis while simultaneously improving CH4 conversion and preventing coking is achieved.","container-title":"Advanced Energy Materials","DOI":"10.1002/aenm.202102782","ISSN":"1614-6840","issue":"46","language":"en","license":"© 2021 Wiley-VCH GmbH","note":"_eprint: https://onlinelibrary.wiley.com/doi/pdf/10.1002/aenm.202102782","page":"2102782","source":"Wiley Online Library","title":"Direct Nonoxidative Methane Conversion in an Autothermal Hydrogen-Permeable Membrane Reactor","volume":"11","author":[{"family":"Sakbodin","given":"Mann"},{"family":"Schulman","given":"Emily"},{"family":"Cheng","given":"Sichao"},{"family":"Huang","given":"Yi-Lin"},{"family":"Pan","given":"Ying"},{"family":"Albertus","given":"Paul"},{"family":"Wachsman","given":"Eric D."},{"family":"Liu","given":"Dongxia"}],"issued":{"date-parts":[["2021"]]}}}],"schema":"https://github.com/citation-style-language/schema/raw/master/csl-citation.json"} </w:instrText>
            </w:r>
            <w:r w:rsidRPr="006B6CED">
              <w:rPr>
                <w:rFonts w:eastAsia="Calibri" w:cs="Times New Roman"/>
                <w:sz w:val="20"/>
                <w:szCs w:val="20"/>
              </w:rPr>
              <w:fldChar w:fldCharType="separate"/>
            </w:r>
            <w:r w:rsidR="00CA7A9D" w:rsidRPr="00CA7A9D">
              <w:rPr>
                <w:rFonts w:ascii="Aptos" w:hAnsi="Aptos"/>
                <w:sz w:val="20"/>
              </w:rPr>
              <w:t>[109]</w:t>
            </w:r>
            <w:r w:rsidRPr="006B6CED">
              <w:rPr>
                <w:rFonts w:eastAsia="Calibri" w:cs="Times New Roman"/>
                <w:sz w:val="20"/>
                <w:szCs w:val="20"/>
              </w:rPr>
              <w:fldChar w:fldCharType="end"/>
            </w:r>
          </w:p>
        </w:tc>
      </w:tr>
      <w:tr w:rsidR="00B927C8" w:rsidRPr="006B6CED" w14:paraId="662E9EE9" w14:textId="77777777" w:rsidTr="00092E33">
        <w:trPr>
          <w:trHeight w:val="257"/>
        </w:trPr>
        <w:tc>
          <w:tcPr>
            <w:tcW w:w="1281" w:type="dxa"/>
            <w:vMerge/>
          </w:tcPr>
          <w:p w14:paraId="47137669" w14:textId="77777777" w:rsidR="00B927C8" w:rsidRPr="006B6CED" w:rsidRDefault="00B927C8" w:rsidP="00C77590">
            <w:pPr>
              <w:spacing w:line="240" w:lineRule="auto"/>
              <w:ind w:firstLine="0"/>
              <w:rPr>
                <w:rFonts w:eastAsia="Calibri" w:cs="Times New Roman"/>
                <w:sz w:val="20"/>
                <w:szCs w:val="20"/>
              </w:rPr>
            </w:pPr>
          </w:p>
        </w:tc>
        <w:tc>
          <w:tcPr>
            <w:tcW w:w="2128" w:type="dxa"/>
            <w:vMerge/>
          </w:tcPr>
          <w:p w14:paraId="50B27F39" w14:textId="77777777" w:rsidR="00B927C8" w:rsidRPr="006B6CED" w:rsidRDefault="00B927C8" w:rsidP="00C77590">
            <w:pPr>
              <w:spacing w:line="240" w:lineRule="auto"/>
              <w:ind w:firstLine="0"/>
              <w:rPr>
                <w:rFonts w:eastAsia="Calibri" w:cs="Times New Roman"/>
                <w:sz w:val="20"/>
                <w:szCs w:val="20"/>
              </w:rPr>
            </w:pPr>
          </w:p>
        </w:tc>
        <w:tc>
          <w:tcPr>
            <w:tcW w:w="684" w:type="dxa"/>
          </w:tcPr>
          <w:p w14:paraId="6AC788D1" w14:textId="77777777" w:rsidR="00B927C8" w:rsidRPr="006B6CED" w:rsidRDefault="00B927C8" w:rsidP="00C77590">
            <w:pPr>
              <w:spacing w:line="240" w:lineRule="auto"/>
              <w:ind w:firstLine="0"/>
              <w:rPr>
                <w:rFonts w:eastAsia="Calibri" w:cs="Times New Roman"/>
                <w:sz w:val="20"/>
                <w:szCs w:val="20"/>
              </w:rPr>
            </w:pPr>
            <w:r w:rsidRPr="006B6CED">
              <w:rPr>
                <w:rFonts w:eastAsia="Calibri" w:cs="Times New Roman"/>
                <w:sz w:val="20"/>
                <w:szCs w:val="20"/>
              </w:rPr>
              <w:t>1000</w:t>
            </w:r>
          </w:p>
        </w:tc>
        <w:tc>
          <w:tcPr>
            <w:tcW w:w="1335" w:type="dxa"/>
            <w:vMerge/>
          </w:tcPr>
          <w:p w14:paraId="03D8B556" w14:textId="77777777" w:rsidR="00B927C8" w:rsidRPr="006B6CED" w:rsidRDefault="00B927C8" w:rsidP="00C77590">
            <w:pPr>
              <w:spacing w:line="240" w:lineRule="auto"/>
              <w:ind w:firstLine="0"/>
              <w:rPr>
                <w:rFonts w:eastAsia="Calibri" w:cs="Times New Roman"/>
                <w:sz w:val="20"/>
                <w:szCs w:val="20"/>
              </w:rPr>
            </w:pPr>
          </w:p>
        </w:tc>
        <w:tc>
          <w:tcPr>
            <w:tcW w:w="884" w:type="dxa"/>
          </w:tcPr>
          <w:p w14:paraId="2BB15E03" w14:textId="77777777" w:rsidR="00B927C8" w:rsidRPr="006B6CED" w:rsidRDefault="00B927C8" w:rsidP="00C77590">
            <w:pPr>
              <w:spacing w:line="240" w:lineRule="auto"/>
              <w:ind w:firstLine="0"/>
              <w:rPr>
                <w:rFonts w:eastAsia="Calibri" w:cs="Times New Roman"/>
                <w:sz w:val="20"/>
                <w:szCs w:val="20"/>
                <w:vertAlign w:val="subscript"/>
              </w:rPr>
            </w:pPr>
            <w:r w:rsidRPr="006B6CED">
              <w:rPr>
                <w:rFonts w:eastAsia="Calibri" w:cs="Times New Roman"/>
                <w:sz w:val="20"/>
                <w:szCs w:val="20"/>
              </w:rPr>
              <w:t>10.1</w:t>
            </w:r>
          </w:p>
        </w:tc>
        <w:tc>
          <w:tcPr>
            <w:tcW w:w="1344" w:type="dxa"/>
          </w:tcPr>
          <w:p w14:paraId="4E7074A7" w14:textId="77777777" w:rsidR="00B927C8" w:rsidRPr="006B6CED" w:rsidRDefault="00B927C8" w:rsidP="00C77590">
            <w:pPr>
              <w:spacing w:line="240" w:lineRule="auto"/>
              <w:ind w:firstLine="0"/>
              <w:rPr>
                <w:rFonts w:eastAsia="Calibri" w:cs="Times New Roman"/>
                <w:sz w:val="20"/>
                <w:szCs w:val="20"/>
              </w:rPr>
            </w:pPr>
            <w:r w:rsidRPr="006B6CED">
              <w:rPr>
                <w:rFonts w:eastAsia="Calibri" w:cs="Times New Roman"/>
                <w:sz w:val="20"/>
                <w:szCs w:val="20"/>
              </w:rPr>
              <w:t>46.4</w:t>
            </w:r>
          </w:p>
        </w:tc>
        <w:tc>
          <w:tcPr>
            <w:tcW w:w="914" w:type="dxa"/>
            <w:vMerge/>
          </w:tcPr>
          <w:p w14:paraId="4B380328" w14:textId="77777777" w:rsidR="00B927C8" w:rsidRPr="006B6CED" w:rsidRDefault="00B927C8" w:rsidP="00C77590">
            <w:pPr>
              <w:spacing w:line="240" w:lineRule="auto"/>
              <w:ind w:firstLine="0"/>
              <w:rPr>
                <w:rFonts w:eastAsia="Calibri" w:cs="Times New Roman"/>
                <w:sz w:val="20"/>
                <w:szCs w:val="20"/>
              </w:rPr>
            </w:pPr>
          </w:p>
        </w:tc>
        <w:tc>
          <w:tcPr>
            <w:tcW w:w="605" w:type="dxa"/>
            <w:vMerge/>
          </w:tcPr>
          <w:p w14:paraId="3EDE033A" w14:textId="77777777" w:rsidR="00B927C8" w:rsidRPr="006B6CED" w:rsidRDefault="00B927C8" w:rsidP="00C77590">
            <w:pPr>
              <w:spacing w:line="240" w:lineRule="auto"/>
              <w:ind w:firstLine="0"/>
              <w:rPr>
                <w:rFonts w:eastAsia="Calibri" w:cs="Times New Roman"/>
                <w:sz w:val="20"/>
                <w:szCs w:val="20"/>
              </w:rPr>
            </w:pPr>
          </w:p>
        </w:tc>
      </w:tr>
      <w:tr w:rsidR="00B927C8" w:rsidRPr="006B6CED" w14:paraId="6D70C86D" w14:textId="77777777" w:rsidTr="00092E33">
        <w:trPr>
          <w:trHeight w:val="267"/>
        </w:trPr>
        <w:tc>
          <w:tcPr>
            <w:tcW w:w="1281" w:type="dxa"/>
            <w:vMerge/>
          </w:tcPr>
          <w:p w14:paraId="25933E7E" w14:textId="77777777" w:rsidR="00B927C8" w:rsidRPr="006B6CED" w:rsidRDefault="00B927C8" w:rsidP="00C77590">
            <w:pPr>
              <w:spacing w:line="240" w:lineRule="auto"/>
              <w:ind w:firstLine="0"/>
              <w:rPr>
                <w:rFonts w:eastAsia="Calibri" w:cs="Times New Roman"/>
                <w:sz w:val="20"/>
                <w:szCs w:val="20"/>
              </w:rPr>
            </w:pPr>
          </w:p>
        </w:tc>
        <w:tc>
          <w:tcPr>
            <w:tcW w:w="2128" w:type="dxa"/>
            <w:vMerge/>
          </w:tcPr>
          <w:p w14:paraId="1CD12631" w14:textId="77777777" w:rsidR="00B927C8" w:rsidRPr="006B6CED" w:rsidRDefault="00B927C8" w:rsidP="00C77590">
            <w:pPr>
              <w:spacing w:line="240" w:lineRule="auto"/>
              <w:ind w:firstLine="0"/>
              <w:rPr>
                <w:rFonts w:eastAsia="Calibri" w:cs="Times New Roman"/>
                <w:sz w:val="20"/>
                <w:szCs w:val="20"/>
              </w:rPr>
            </w:pPr>
          </w:p>
        </w:tc>
        <w:tc>
          <w:tcPr>
            <w:tcW w:w="684" w:type="dxa"/>
          </w:tcPr>
          <w:p w14:paraId="1EB2E50B" w14:textId="77777777" w:rsidR="00B927C8" w:rsidRPr="006B6CED" w:rsidRDefault="00B927C8" w:rsidP="00C77590">
            <w:pPr>
              <w:spacing w:line="240" w:lineRule="auto"/>
              <w:ind w:firstLine="0"/>
              <w:rPr>
                <w:rFonts w:eastAsia="Calibri" w:cs="Times New Roman"/>
                <w:sz w:val="20"/>
                <w:szCs w:val="20"/>
              </w:rPr>
            </w:pPr>
            <w:r w:rsidRPr="006B6CED">
              <w:rPr>
                <w:rFonts w:eastAsia="Calibri" w:cs="Times New Roman"/>
                <w:sz w:val="20"/>
                <w:szCs w:val="20"/>
              </w:rPr>
              <w:t>1030</w:t>
            </w:r>
          </w:p>
        </w:tc>
        <w:tc>
          <w:tcPr>
            <w:tcW w:w="1335" w:type="dxa"/>
            <w:vMerge/>
          </w:tcPr>
          <w:p w14:paraId="50099629" w14:textId="77777777" w:rsidR="00B927C8" w:rsidRPr="006B6CED" w:rsidRDefault="00B927C8" w:rsidP="00C77590">
            <w:pPr>
              <w:spacing w:line="240" w:lineRule="auto"/>
              <w:ind w:firstLine="0"/>
              <w:rPr>
                <w:rFonts w:eastAsia="Calibri" w:cs="Times New Roman"/>
                <w:sz w:val="20"/>
                <w:szCs w:val="20"/>
              </w:rPr>
            </w:pPr>
          </w:p>
        </w:tc>
        <w:tc>
          <w:tcPr>
            <w:tcW w:w="884" w:type="dxa"/>
          </w:tcPr>
          <w:p w14:paraId="1AD28175" w14:textId="77777777" w:rsidR="00B927C8" w:rsidRPr="006B6CED" w:rsidRDefault="00B927C8" w:rsidP="00C77590">
            <w:pPr>
              <w:spacing w:line="240" w:lineRule="auto"/>
              <w:ind w:firstLine="0"/>
              <w:rPr>
                <w:rFonts w:eastAsia="Calibri" w:cs="Times New Roman"/>
                <w:sz w:val="20"/>
                <w:szCs w:val="20"/>
                <w:vertAlign w:val="subscript"/>
              </w:rPr>
            </w:pPr>
            <w:r w:rsidRPr="006B6CED">
              <w:rPr>
                <w:rFonts w:eastAsia="Calibri" w:cs="Times New Roman"/>
                <w:sz w:val="20"/>
                <w:szCs w:val="20"/>
              </w:rPr>
              <w:t>18.2</w:t>
            </w:r>
          </w:p>
        </w:tc>
        <w:tc>
          <w:tcPr>
            <w:tcW w:w="1344" w:type="dxa"/>
          </w:tcPr>
          <w:p w14:paraId="18BD21D3" w14:textId="77777777" w:rsidR="00B927C8" w:rsidRPr="006B6CED" w:rsidRDefault="00B927C8" w:rsidP="00C77590">
            <w:pPr>
              <w:spacing w:line="240" w:lineRule="auto"/>
              <w:ind w:firstLine="0"/>
              <w:rPr>
                <w:rFonts w:eastAsia="Calibri" w:cs="Times New Roman"/>
                <w:sz w:val="20"/>
                <w:szCs w:val="20"/>
              </w:rPr>
            </w:pPr>
            <w:r w:rsidRPr="006B6CED">
              <w:rPr>
                <w:rFonts w:eastAsia="Calibri" w:cs="Times New Roman"/>
                <w:sz w:val="20"/>
                <w:szCs w:val="20"/>
              </w:rPr>
              <w:t>47.4</w:t>
            </w:r>
          </w:p>
        </w:tc>
        <w:tc>
          <w:tcPr>
            <w:tcW w:w="914" w:type="dxa"/>
            <w:vMerge/>
          </w:tcPr>
          <w:p w14:paraId="2AC75799" w14:textId="77777777" w:rsidR="00B927C8" w:rsidRPr="006B6CED" w:rsidRDefault="00B927C8" w:rsidP="00C77590">
            <w:pPr>
              <w:spacing w:line="240" w:lineRule="auto"/>
              <w:ind w:firstLine="0"/>
              <w:rPr>
                <w:rFonts w:eastAsia="Calibri" w:cs="Times New Roman"/>
                <w:sz w:val="20"/>
                <w:szCs w:val="20"/>
              </w:rPr>
            </w:pPr>
          </w:p>
        </w:tc>
        <w:tc>
          <w:tcPr>
            <w:tcW w:w="605" w:type="dxa"/>
            <w:vMerge/>
          </w:tcPr>
          <w:p w14:paraId="3C78480C" w14:textId="77777777" w:rsidR="00B927C8" w:rsidRPr="006B6CED" w:rsidRDefault="00B927C8" w:rsidP="00C77590">
            <w:pPr>
              <w:spacing w:line="240" w:lineRule="auto"/>
              <w:ind w:firstLine="0"/>
              <w:rPr>
                <w:rFonts w:eastAsia="Calibri" w:cs="Times New Roman"/>
                <w:sz w:val="20"/>
                <w:szCs w:val="20"/>
              </w:rPr>
            </w:pPr>
          </w:p>
        </w:tc>
      </w:tr>
      <w:tr w:rsidR="00B927C8" w:rsidRPr="006B6CED" w14:paraId="53DC815B" w14:textId="77777777" w:rsidTr="00092E33">
        <w:trPr>
          <w:trHeight w:val="257"/>
        </w:trPr>
        <w:tc>
          <w:tcPr>
            <w:tcW w:w="1281" w:type="dxa"/>
          </w:tcPr>
          <w:p w14:paraId="1AC5F629" w14:textId="77777777" w:rsidR="00B927C8" w:rsidRPr="006B6CED" w:rsidRDefault="00B927C8" w:rsidP="00C77590">
            <w:pPr>
              <w:spacing w:line="240" w:lineRule="auto"/>
              <w:ind w:firstLine="0"/>
              <w:rPr>
                <w:rFonts w:eastAsia="Calibri" w:cs="Times New Roman"/>
                <w:sz w:val="20"/>
                <w:szCs w:val="20"/>
              </w:rPr>
            </w:pPr>
            <w:r w:rsidRPr="006B6CED">
              <w:rPr>
                <w:rFonts w:eastAsia="Calibri" w:cs="Times New Roman"/>
                <w:sz w:val="20"/>
                <w:szCs w:val="20"/>
              </w:rPr>
              <w:t>Hydrogen-permeable membrane reactor for MDA</w:t>
            </w:r>
          </w:p>
        </w:tc>
        <w:tc>
          <w:tcPr>
            <w:tcW w:w="2128" w:type="dxa"/>
          </w:tcPr>
          <w:p w14:paraId="37814069" w14:textId="77777777" w:rsidR="00B927C8" w:rsidRPr="006B6CED" w:rsidRDefault="00B927C8" w:rsidP="00C77590">
            <w:pPr>
              <w:spacing w:line="240" w:lineRule="auto"/>
              <w:ind w:firstLine="0"/>
              <w:rPr>
                <w:rFonts w:eastAsia="Calibri" w:cs="Times New Roman"/>
                <w:sz w:val="20"/>
                <w:szCs w:val="20"/>
              </w:rPr>
            </w:pPr>
            <w:r w:rsidRPr="006B6CED">
              <w:rPr>
                <w:rFonts w:eastAsia="Calibri" w:cs="Times New Roman"/>
                <w:sz w:val="20"/>
                <w:szCs w:val="20"/>
              </w:rPr>
              <w:t>La</w:t>
            </w:r>
            <w:r w:rsidRPr="006B6CED">
              <w:rPr>
                <w:rFonts w:eastAsia="Calibri" w:cs="Times New Roman"/>
                <w:sz w:val="20"/>
                <w:szCs w:val="20"/>
                <w:vertAlign w:val="subscript"/>
              </w:rPr>
              <w:t>5.5</w:t>
            </w:r>
            <w:r w:rsidRPr="006B6CED">
              <w:rPr>
                <w:rFonts w:eastAsia="Calibri" w:cs="Times New Roman"/>
                <w:sz w:val="20"/>
                <w:szCs w:val="20"/>
              </w:rPr>
              <w:t>W</w:t>
            </w:r>
            <w:r w:rsidRPr="006B6CED">
              <w:rPr>
                <w:rFonts w:eastAsia="Calibri" w:cs="Times New Roman"/>
                <w:sz w:val="20"/>
                <w:szCs w:val="20"/>
                <w:vertAlign w:val="subscript"/>
              </w:rPr>
              <w:t>0.6</w:t>
            </w:r>
            <w:r w:rsidRPr="006B6CED">
              <w:rPr>
                <w:rFonts w:eastAsia="Calibri" w:cs="Times New Roman"/>
                <w:sz w:val="20"/>
                <w:szCs w:val="20"/>
              </w:rPr>
              <w:t>Mo</w:t>
            </w:r>
            <w:r w:rsidRPr="006B6CED">
              <w:rPr>
                <w:rFonts w:eastAsia="Calibri" w:cs="Times New Roman"/>
                <w:sz w:val="20"/>
                <w:szCs w:val="20"/>
                <w:vertAlign w:val="subscript"/>
              </w:rPr>
              <w:t>0.4</w:t>
            </w:r>
            <w:r w:rsidRPr="006B6CED">
              <w:rPr>
                <w:rFonts w:eastAsia="Calibri" w:cs="Times New Roman"/>
                <w:sz w:val="20"/>
                <w:szCs w:val="20"/>
              </w:rPr>
              <w:t>O</w:t>
            </w:r>
            <w:r w:rsidRPr="006B6CED">
              <w:rPr>
                <w:rFonts w:eastAsia="Calibri" w:cs="Times New Roman"/>
                <w:sz w:val="20"/>
                <w:szCs w:val="20"/>
                <w:vertAlign w:val="subscript"/>
              </w:rPr>
              <w:t>11.25−δ</w:t>
            </w:r>
            <w:r w:rsidRPr="006B6CED">
              <w:rPr>
                <w:rFonts w:eastAsia="Calibri" w:cs="Times New Roman"/>
                <w:sz w:val="20"/>
                <w:szCs w:val="20"/>
              </w:rPr>
              <w:t xml:space="preserve"> (membrane) </w:t>
            </w:r>
          </w:p>
          <w:p w14:paraId="7490DADA" w14:textId="77777777" w:rsidR="00B927C8" w:rsidRPr="006B6CED" w:rsidRDefault="00B927C8" w:rsidP="00C77590">
            <w:pPr>
              <w:spacing w:line="240" w:lineRule="auto"/>
              <w:ind w:firstLine="0"/>
              <w:rPr>
                <w:rFonts w:eastAsia="Calibri" w:cs="Times New Roman"/>
                <w:sz w:val="20"/>
                <w:szCs w:val="20"/>
              </w:rPr>
            </w:pPr>
            <w:r w:rsidRPr="006B6CED">
              <w:rPr>
                <w:rFonts w:eastAsia="Calibri" w:cs="Times New Roman"/>
                <w:sz w:val="20"/>
                <w:szCs w:val="20"/>
              </w:rPr>
              <w:t>Mo/ HZSM-5 (catalyst)</w:t>
            </w:r>
          </w:p>
        </w:tc>
        <w:tc>
          <w:tcPr>
            <w:tcW w:w="684" w:type="dxa"/>
          </w:tcPr>
          <w:p w14:paraId="7428CDCF" w14:textId="77777777" w:rsidR="00B927C8" w:rsidRPr="006B6CED" w:rsidRDefault="00B927C8" w:rsidP="00C77590">
            <w:pPr>
              <w:spacing w:line="240" w:lineRule="auto"/>
              <w:ind w:firstLine="0"/>
              <w:rPr>
                <w:rFonts w:eastAsia="Calibri" w:cs="Times New Roman"/>
                <w:sz w:val="20"/>
                <w:szCs w:val="20"/>
              </w:rPr>
            </w:pPr>
            <w:r w:rsidRPr="006B6CED">
              <w:rPr>
                <w:rFonts w:eastAsia="Calibri" w:cs="Times New Roman"/>
                <w:sz w:val="20"/>
                <w:szCs w:val="20"/>
              </w:rPr>
              <w:t>700</w:t>
            </w:r>
          </w:p>
        </w:tc>
        <w:tc>
          <w:tcPr>
            <w:tcW w:w="1335" w:type="dxa"/>
          </w:tcPr>
          <w:p w14:paraId="5C6C7EB3" w14:textId="77777777" w:rsidR="00B927C8" w:rsidRPr="006B6CED" w:rsidRDefault="00B927C8" w:rsidP="00C77590">
            <w:pPr>
              <w:spacing w:line="240" w:lineRule="auto"/>
              <w:ind w:firstLine="0"/>
              <w:jc w:val="center"/>
              <w:rPr>
                <w:rFonts w:eastAsia="Calibri" w:cs="Times New Roman"/>
                <w:sz w:val="20"/>
                <w:szCs w:val="20"/>
                <w:vertAlign w:val="subscript"/>
              </w:rPr>
            </w:pPr>
            <w:r w:rsidRPr="006B6CED">
              <w:rPr>
                <w:rFonts w:eastAsia="Calibri" w:cs="Times New Roman"/>
                <w:sz w:val="20"/>
                <w:szCs w:val="20"/>
              </w:rPr>
              <w:softHyphen/>
            </w:r>
            <w:r w:rsidRPr="006B6CED">
              <w:rPr>
                <w:rFonts w:eastAsia="Calibri" w:cs="Times New Roman"/>
                <w:sz w:val="20"/>
                <w:szCs w:val="20"/>
              </w:rPr>
              <w:softHyphen/>
              <w:t>CH</w:t>
            </w:r>
            <w:r w:rsidRPr="006B6CED">
              <w:rPr>
                <w:rFonts w:eastAsia="Calibri" w:cs="Times New Roman"/>
                <w:sz w:val="20"/>
                <w:szCs w:val="20"/>
                <w:vertAlign w:val="subscript"/>
              </w:rPr>
              <w:t>4</w:t>
            </w:r>
          </w:p>
        </w:tc>
        <w:tc>
          <w:tcPr>
            <w:tcW w:w="884" w:type="dxa"/>
          </w:tcPr>
          <w:p w14:paraId="494586A6" w14:textId="77777777" w:rsidR="00B927C8" w:rsidRPr="006B6CED" w:rsidRDefault="00B927C8" w:rsidP="00C77590">
            <w:pPr>
              <w:spacing w:line="240" w:lineRule="auto"/>
              <w:ind w:firstLine="0"/>
              <w:rPr>
                <w:rFonts w:eastAsia="Calibri" w:cs="Times New Roman"/>
                <w:sz w:val="20"/>
                <w:szCs w:val="20"/>
              </w:rPr>
            </w:pPr>
            <w:r w:rsidRPr="006B6CED">
              <w:rPr>
                <w:rFonts w:eastAsia="Calibri" w:cs="Times New Roman"/>
                <w:sz w:val="20"/>
                <w:szCs w:val="20"/>
              </w:rPr>
              <w:t>12</w:t>
            </w:r>
          </w:p>
        </w:tc>
        <w:tc>
          <w:tcPr>
            <w:tcW w:w="1344" w:type="dxa"/>
          </w:tcPr>
          <w:p w14:paraId="0B4B5E2F" w14:textId="77777777" w:rsidR="00B927C8" w:rsidRPr="006B6CED" w:rsidRDefault="00B927C8" w:rsidP="00C77590">
            <w:pPr>
              <w:spacing w:line="240" w:lineRule="auto"/>
              <w:ind w:firstLine="0"/>
              <w:rPr>
                <w:rFonts w:eastAsia="Calibri" w:cs="Times New Roman"/>
                <w:sz w:val="20"/>
                <w:szCs w:val="20"/>
              </w:rPr>
            </w:pPr>
            <w:r w:rsidRPr="006B6CED">
              <w:rPr>
                <w:rFonts w:eastAsia="Calibri" w:cs="Times New Roman"/>
                <w:sz w:val="20"/>
                <w:szCs w:val="20"/>
              </w:rPr>
              <w:t>~75 Aromatics</w:t>
            </w:r>
          </w:p>
        </w:tc>
        <w:tc>
          <w:tcPr>
            <w:tcW w:w="914" w:type="dxa"/>
          </w:tcPr>
          <w:p w14:paraId="6568D650" w14:textId="77777777" w:rsidR="00B927C8" w:rsidRPr="006B6CED" w:rsidRDefault="00B927C8" w:rsidP="00C77590">
            <w:pPr>
              <w:spacing w:line="240" w:lineRule="auto"/>
              <w:ind w:firstLine="0"/>
              <w:rPr>
                <w:rFonts w:eastAsia="Calibri" w:cs="Times New Roman"/>
                <w:sz w:val="20"/>
                <w:szCs w:val="20"/>
              </w:rPr>
            </w:pPr>
            <w:r w:rsidRPr="006B6CED">
              <w:rPr>
                <w:rFonts w:eastAsia="Calibri" w:cs="Times New Roman"/>
                <w:sz w:val="20"/>
                <w:szCs w:val="20"/>
              </w:rPr>
              <w:t>10h</w:t>
            </w:r>
          </w:p>
        </w:tc>
        <w:tc>
          <w:tcPr>
            <w:tcW w:w="605" w:type="dxa"/>
          </w:tcPr>
          <w:p w14:paraId="01F29F78" w14:textId="041CCB6A" w:rsidR="00B927C8" w:rsidRPr="006B6CED" w:rsidRDefault="00B927C8" w:rsidP="00C77590">
            <w:pPr>
              <w:spacing w:line="240" w:lineRule="auto"/>
              <w:ind w:firstLine="0"/>
              <w:rPr>
                <w:rFonts w:eastAsia="Calibri" w:cs="Times New Roman"/>
                <w:sz w:val="20"/>
                <w:szCs w:val="20"/>
              </w:rPr>
            </w:pPr>
            <w:r w:rsidRPr="006B6CED">
              <w:rPr>
                <w:rFonts w:eastAsia="Calibri" w:cs="Times New Roman"/>
                <w:sz w:val="20"/>
                <w:szCs w:val="20"/>
              </w:rPr>
              <w:fldChar w:fldCharType="begin"/>
            </w:r>
            <w:r w:rsidR="00CA7A9D">
              <w:rPr>
                <w:rFonts w:eastAsia="Calibri" w:cs="Times New Roman"/>
                <w:sz w:val="20"/>
                <w:szCs w:val="20"/>
              </w:rPr>
              <w:instrText xml:space="preserve"> ADDIN ZOTERO_ITEM CSL_CITATION {"citationID":"QxuOxSBc","properties":{"formattedCitation":"[126]","plainCitation":"[126]","noteIndex":0},"citationItems":[{"id":129,"uris":["http://zotero.org/users/12063231/items/ITITYHP6"],"itemData":{"id":129,"type":"article-journal","abstract":"The performance of a dense ceramic hydrogen-permeable membrane reactor for the nonoxidative methane dehydroaromatization (MDA), according to the equilibrium reaction 6CH4 </w:instrText>
            </w:r>
            <w:r w:rsidR="00CA7A9D">
              <w:rPr>
                <w:rFonts w:ascii="Cambria Math" w:eastAsia="Calibri" w:hAnsi="Cambria Math" w:cs="Cambria Math"/>
                <w:sz w:val="20"/>
                <w:szCs w:val="20"/>
              </w:rPr>
              <w:instrText>⇆</w:instrText>
            </w:r>
            <w:r w:rsidR="00CA7A9D">
              <w:rPr>
                <w:rFonts w:eastAsia="Calibri" w:cs="Times New Roman"/>
                <w:sz w:val="20"/>
                <w:szCs w:val="20"/>
              </w:rPr>
              <w:instrText xml:space="preserve"> C6H6 + 9H2 with a 6 wt</w:instrText>
            </w:r>
            <w:r w:rsidR="00CA7A9D">
              <w:rPr>
                <w:rFonts w:ascii="Arial" w:eastAsia="Calibri" w:hAnsi="Arial" w:cs="Arial"/>
                <w:sz w:val="20"/>
                <w:szCs w:val="20"/>
              </w:rPr>
              <w:instrText> </w:instrText>
            </w:r>
            <w:r w:rsidR="00CA7A9D">
              <w:rPr>
                <w:rFonts w:eastAsia="Calibri" w:cs="Times New Roman"/>
                <w:sz w:val="20"/>
                <w:szCs w:val="20"/>
              </w:rPr>
              <w:instrText xml:space="preserve">% Mo/HZSM-5 bifunctional catalyst was investigated. A U-shaped ceramic hollow fiber membrane of the composition La5.5W0.6Mo0.4O11.25−δ (LWM0.4) has been used for the in situ removal of H2 to overcome thermodynamic constraints. The yield of aromatics (benzene, toluene, naphthalene) in the MDA could be increased in the beginning of the aromatization reaction by </w:instrText>
            </w:r>
            <w:r w:rsidR="00CA7A9D">
              <w:rPr>
                <w:rFonts w:ascii="Cambria Math" w:eastAsia="Calibri" w:hAnsi="Cambria Math" w:cs="Cambria Math"/>
                <w:sz w:val="20"/>
                <w:szCs w:val="20"/>
              </w:rPr>
              <w:instrText>∼</w:instrText>
            </w:r>
            <w:r w:rsidR="00CA7A9D">
              <w:rPr>
                <w:rFonts w:eastAsia="Calibri" w:cs="Times New Roman"/>
                <w:sz w:val="20"/>
                <w:szCs w:val="20"/>
              </w:rPr>
              <w:instrText>50%</w:instrText>
            </w:r>
            <w:r w:rsidR="00CA7A9D">
              <w:rPr>
                <w:rFonts w:ascii="Aptos" w:eastAsia="Calibri" w:hAnsi="Aptos" w:cs="Aptos"/>
                <w:sz w:val="20"/>
                <w:szCs w:val="20"/>
              </w:rPr>
              <w:instrText>–</w:instrText>
            </w:r>
            <w:r w:rsidR="00CA7A9D">
              <w:rPr>
                <w:rFonts w:eastAsia="Calibri" w:cs="Times New Roman"/>
                <w:sz w:val="20"/>
                <w:szCs w:val="20"/>
              </w:rPr>
              <w:instrText>70%, in comparison with the fixed-bed reactor, because 40%</w:instrText>
            </w:r>
            <w:r w:rsidR="00CA7A9D">
              <w:rPr>
                <w:rFonts w:ascii="Aptos" w:eastAsia="Calibri" w:hAnsi="Aptos" w:cs="Aptos"/>
                <w:sz w:val="20"/>
                <w:szCs w:val="20"/>
              </w:rPr>
              <w:instrText>–</w:instrText>
            </w:r>
            <w:r w:rsidR="00CA7A9D">
              <w:rPr>
                <w:rFonts w:eastAsia="Calibri" w:cs="Times New Roman"/>
                <w:sz w:val="20"/>
                <w:szCs w:val="20"/>
              </w:rPr>
              <w:instrText xml:space="preserve">60% of the H2 abstracted have been extracted at 700 </w:instrText>
            </w:r>
            <w:r w:rsidR="00CA7A9D">
              <w:rPr>
                <w:rFonts w:ascii="Aptos" w:eastAsia="Calibri" w:hAnsi="Aptos" w:cs="Aptos"/>
                <w:sz w:val="20"/>
                <w:szCs w:val="20"/>
              </w:rPr>
              <w:instrText>°</w:instrText>
            </w:r>
            <w:r w:rsidR="00CA7A9D">
              <w:rPr>
                <w:rFonts w:eastAsia="Calibri" w:cs="Times New Roman"/>
                <w:sz w:val="20"/>
                <w:szCs w:val="20"/>
              </w:rPr>
              <w:instrText>C with a weight hourly space velocity (WHSV) of 840 cm3 gcat</w:instrText>
            </w:r>
            <w:r w:rsidR="00CA7A9D">
              <w:rPr>
                <w:rFonts w:ascii="Aptos" w:eastAsia="Calibri" w:hAnsi="Aptos" w:cs="Aptos"/>
                <w:sz w:val="20"/>
                <w:szCs w:val="20"/>
              </w:rPr>
              <w:instrText>–</w:instrText>
            </w:r>
            <w:r w:rsidR="00CA7A9D">
              <w:rPr>
                <w:rFonts w:eastAsia="Calibri" w:cs="Times New Roman"/>
                <w:sz w:val="20"/>
                <w:szCs w:val="20"/>
              </w:rPr>
              <w:instrText>1 h</w:instrText>
            </w:r>
            <w:r w:rsidR="00CA7A9D">
              <w:rPr>
                <w:rFonts w:ascii="Aptos" w:eastAsia="Calibri" w:hAnsi="Aptos" w:cs="Aptos"/>
                <w:sz w:val="20"/>
                <w:szCs w:val="20"/>
              </w:rPr>
              <w:instrText>–</w:instrText>
            </w:r>
            <w:r w:rsidR="00CA7A9D">
              <w:rPr>
                <w:rFonts w:eastAsia="Calibri" w:cs="Times New Roman"/>
                <w:sz w:val="20"/>
                <w:szCs w:val="20"/>
              </w:rPr>
              <w:instrText xml:space="preserve">1. These advantages of the membrane reactor operation decrease with time on stream, since the removal of H2 boosts not only CH4 conversion and yield of aromatics, but also catalyst deactivation by deposition of carbonaceous deposits. However, the catalyst system could be regenerated by burning the coke away with air.","container-title":"ACS Catalysis","DOI":"10.1021/acscatal.6b00004","issue":"4","journalAbbreviation":"ACS Catal.","note":"publisher: American Chemical Society","page":"2448-2451","source":"ACS Publications","title":"Gas to Liquids: Natural Gas Conversion to Aromatic Fuels and Chemicals in a Hydrogen-Permeable Ceramic Hollow Fiber Membrane Reactor","title-short":"Gas to Liquids","volume":"6","author":[{"family":"Xue","given":"Jian"},{"family":"Chen","given":"Yan"},{"family":"Wei","given":"Yanying"},{"family":"Feldhoff","given":"Armin"},{"family":"Wang","given":"Haihui"},{"family":"Caro","given":"Juergen"}],"issued":{"date-parts":[["2016",4,1]]}}}],"schema":"https://github.com/citation-style-language/schema/raw/master/csl-citation.json"} </w:instrText>
            </w:r>
            <w:r w:rsidRPr="006B6CED">
              <w:rPr>
                <w:rFonts w:eastAsia="Calibri" w:cs="Times New Roman"/>
                <w:sz w:val="20"/>
                <w:szCs w:val="20"/>
              </w:rPr>
              <w:fldChar w:fldCharType="separate"/>
            </w:r>
            <w:r w:rsidR="00CA7A9D" w:rsidRPr="00CA7A9D">
              <w:rPr>
                <w:rFonts w:ascii="Aptos" w:hAnsi="Aptos"/>
                <w:sz w:val="20"/>
              </w:rPr>
              <w:t>[126]</w:t>
            </w:r>
            <w:r w:rsidRPr="006B6CED">
              <w:rPr>
                <w:rFonts w:eastAsia="Calibri" w:cs="Times New Roman"/>
                <w:sz w:val="20"/>
                <w:szCs w:val="20"/>
              </w:rPr>
              <w:fldChar w:fldCharType="end"/>
            </w:r>
          </w:p>
        </w:tc>
      </w:tr>
    </w:tbl>
    <w:p w14:paraId="4D5B53D5" w14:textId="77777777" w:rsidR="00B927C8" w:rsidRDefault="00B927C8" w:rsidP="00B927C8"/>
    <w:p w14:paraId="43ABDFB4" w14:textId="77777777" w:rsidR="00B927C8" w:rsidRDefault="00B927C8" w:rsidP="00B927C8">
      <w:pPr>
        <w:keepNext/>
      </w:pPr>
      <w:r>
        <w:rPr>
          <w:noProof/>
        </w:rPr>
        <mc:AlternateContent>
          <mc:Choice Requires="wps">
            <w:drawing>
              <wp:anchor distT="45720" distB="45720" distL="114300" distR="114300" simplePos="0" relativeHeight="251667456" behindDoc="0" locked="0" layoutInCell="1" allowOverlap="1" wp14:anchorId="6A89A58C" wp14:editId="3DA0DF8D">
                <wp:simplePos x="0" y="0"/>
                <wp:positionH relativeFrom="rightMargin">
                  <wp:posOffset>-1181579</wp:posOffset>
                </wp:positionH>
                <wp:positionV relativeFrom="paragraph">
                  <wp:posOffset>1614973</wp:posOffset>
                </wp:positionV>
                <wp:extent cx="508958" cy="1404620"/>
                <wp:effectExtent l="0" t="0" r="0" b="1905"/>
                <wp:wrapNone/>
                <wp:docPr id="1756790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958" cy="1404620"/>
                        </a:xfrm>
                        <a:prstGeom prst="rect">
                          <a:avLst/>
                        </a:prstGeom>
                        <a:noFill/>
                        <a:ln w="9525">
                          <a:noFill/>
                          <a:miter lim="800000"/>
                          <a:headEnd/>
                          <a:tailEnd/>
                        </a:ln>
                      </wps:spPr>
                      <wps:txbx>
                        <w:txbxContent>
                          <w:p w14:paraId="16FC7C5C" w14:textId="77777777" w:rsidR="00B927C8" w:rsidRPr="00E17A04" w:rsidRDefault="00B927C8" w:rsidP="00B927C8">
                            <w:pPr>
                              <w:ind w:firstLine="0"/>
                              <w:rPr>
                                <w:sz w:val="18"/>
                                <w:szCs w:val="18"/>
                              </w:rPr>
                            </w:pPr>
                            <w:r>
                              <w:rPr>
                                <w:sz w:val="18"/>
                                <w:szCs w:val="18"/>
                              </w:rPr>
                              <w:t>9</w:t>
                            </w:r>
                            <w:r w:rsidRPr="00E17A04">
                              <w:rPr>
                                <w:sz w:val="18"/>
                                <w:szCs w:val="18"/>
                              </w:rPr>
                              <w:t>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89A58C" id="_x0000_s1036" type="#_x0000_t202" style="position:absolute;left:0;text-align:left;margin-left:-93.05pt;margin-top:127.15pt;width:40.1pt;height:110.6pt;z-index:251667456;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QXq/QEAANUDAAAOAAAAZHJzL2Uyb0RvYy54bWysU9uO2yAQfa/Uf0C8N3aiZJtYcVbb3aaq&#10;tL1I237ABOMYFRgKJHb69R1wNhu1b1X9gIDxnJlz5rC+HYxmR+mDQlvz6aTkTFqBjbL7mn//tn2z&#10;5CxEsA1otLLmJxn47eb1q3XvKjnDDnUjPSMQG6re1byL0VVFEUQnDYQJOmkp2KI3EOno90XjoSd0&#10;o4tZWd4UPfrGeRQyBLp9GIN8k/HbVor4pW2DjEzXnHqLefV53aW12Kyh2ntwnRLnNuAfujCgLBW9&#10;QD1ABHbw6i8oo4THgG2cCDQFtq0SMnMgNtPyDzZPHTiZuZA4wV1kCv8PVnw+PrmvnsXhHQ40wEwi&#10;uEcUPwKzeN+B3cs777HvJDRUeJokK3oXqnNqkjpUIYHs+k/Y0JDhEDEDDa03SRXiyQidBnC6iC6H&#10;yARdLsrlakEuERSazsv5zSxPpYDqOdv5ED9INCxtau5pqBkdjo8hpm6gev4lFbO4VVrnwWrL+pqv&#10;FrNFTriKGBXJd1qZmi/L9I1OSCTf2yYnR1B63FMBbc+sE9GRchx2A1MNdZ2Tkwo7bE6kg8fRZ/Qu&#10;aNOh/8VZTx6refh5AC850x8tabmazufJlPkwX7wl5sxfR3bXEbCCoGoeORu39zEbOXEO7o4036os&#10;x0sn557JO1mls8+TOa/P+a+X17j5DQAA//8DAFBLAwQUAAYACAAAACEACEFeEeMAAAANAQAADwAA&#10;AGRycy9kb3ducmV2LnhtbEyPy07DMBBF90j8gzVI7FI7oekjxKkq1JZloURdu7FJIuKxZbtp+HvM&#10;Cpaje3TvmXIz6YGMyvneIId0xoAobIzsseVQf+yTFRAfBEoxGFQcvpWHTXV/V4pCmhu+q/EUWhJL&#10;0BeCQxeCLSj1Tae08DNjFcbs0zgtQjxdS6UTt1iuB5oxtqBa9BgXOmHVS6ear9NVc7DBHpav7vi2&#10;3e1HVp8Pdda3O84fH6btM5CgpvAHw69+VIcqOl3MFaUnA4ckXS3SyHLI8vkTkIgkKcvXQC4c5ss8&#10;B1qV9P8X1Q8AAAD//wMAUEsBAi0AFAAGAAgAAAAhALaDOJL+AAAA4QEAABMAAAAAAAAAAAAAAAAA&#10;AAAAAFtDb250ZW50X1R5cGVzXS54bWxQSwECLQAUAAYACAAAACEAOP0h/9YAAACUAQAACwAAAAAA&#10;AAAAAAAAAAAvAQAAX3JlbHMvLnJlbHNQSwECLQAUAAYACAAAACEAc6kF6v0BAADVAwAADgAAAAAA&#10;AAAAAAAAAAAuAgAAZHJzL2Uyb0RvYy54bWxQSwECLQAUAAYACAAAACEACEFeEeMAAAANAQAADwAA&#10;AAAAAAAAAAAAAABXBAAAZHJzL2Rvd25yZXYueG1sUEsFBgAAAAAEAAQA8wAAAGcFAAAAAA==&#10;" filled="f" stroked="f">
                <v:textbox style="mso-fit-shape-to-text:t">
                  <w:txbxContent>
                    <w:p w14:paraId="16FC7C5C" w14:textId="77777777" w:rsidR="00B927C8" w:rsidRPr="00E17A04" w:rsidRDefault="00B927C8" w:rsidP="00B927C8">
                      <w:pPr>
                        <w:ind w:firstLine="0"/>
                        <w:rPr>
                          <w:sz w:val="18"/>
                          <w:szCs w:val="18"/>
                        </w:rPr>
                      </w:pPr>
                      <w:r>
                        <w:rPr>
                          <w:sz w:val="18"/>
                          <w:szCs w:val="18"/>
                        </w:rPr>
                        <w:t>9</w:t>
                      </w:r>
                      <w:r w:rsidRPr="00E17A04">
                        <w:rPr>
                          <w:sz w:val="18"/>
                          <w:szCs w:val="18"/>
                        </w:rPr>
                        <w:t>0%</w:t>
                      </w:r>
                    </w:p>
                  </w:txbxContent>
                </v:textbox>
                <w10:wrap anchorx="margin"/>
              </v:shape>
            </w:pict>
          </mc:Fallback>
        </mc:AlternateContent>
      </w:r>
      <w:r>
        <w:rPr>
          <w:noProof/>
        </w:rPr>
        <mc:AlternateContent>
          <mc:Choice Requires="wps">
            <w:drawing>
              <wp:anchor distT="45720" distB="45720" distL="114300" distR="114300" simplePos="0" relativeHeight="251666432" behindDoc="0" locked="0" layoutInCell="1" allowOverlap="1" wp14:anchorId="5FACE915" wp14:editId="0776A1B3">
                <wp:simplePos x="0" y="0"/>
                <wp:positionH relativeFrom="rightMargin">
                  <wp:posOffset>-2527300</wp:posOffset>
                </wp:positionH>
                <wp:positionV relativeFrom="paragraph">
                  <wp:posOffset>1993001</wp:posOffset>
                </wp:positionV>
                <wp:extent cx="508958" cy="1404620"/>
                <wp:effectExtent l="0" t="0" r="0" b="1905"/>
                <wp:wrapNone/>
                <wp:docPr id="5937775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958" cy="1404620"/>
                        </a:xfrm>
                        <a:prstGeom prst="rect">
                          <a:avLst/>
                        </a:prstGeom>
                        <a:noFill/>
                        <a:ln w="9525">
                          <a:noFill/>
                          <a:miter lim="800000"/>
                          <a:headEnd/>
                          <a:tailEnd/>
                        </a:ln>
                      </wps:spPr>
                      <wps:txbx>
                        <w:txbxContent>
                          <w:p w14:paraId="6F3B8AC5" w14:textId="77777777" w:rsidR="00B927C8" w:rsidRPr="00E17A04" w:rsidRDefault="00B927C8" w:rsidP="00B927C8">
                            <w:pPr>
                              <w:ind w:firstLine="0"/>
                              <w:rPr>
                                <w:sz w:val="18"/>
                                <w:szCs w:val="18"/>
                              </w:rPr>
                            </w:pPr>
                            <w:r w:rsidRPr="00E17A04">
                              <w:rPr>
                                <w:sz w:val="18"/>
                                <w:szCs w:val="18"/>
                              </w:rPr>
                              <w:t>30%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ACE915" id="_x0000_s1037" type="#_x0000_t202" style="position:absolute;left:0;text-align:left;margin-left:-199pt;margin-top:156.95pt;width:40.1pt;height:110.6pt;z-index:251666432;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msc/gEAANUDAAAOAAAAZHJzL2Uyb0RvYy54bWysU9uO2yAQfa/Uf0C8N3aiZJtYcVbb3aaq&#10;tL1I237ABOMYFRgKJHb69R1wNhu1b1X9gAbGnJlz5rC+HYxmR+mDQlvz6aTkTFqBjbL7mn//tn2z&#10;5CxEsA1otLLmJxn47eb1q3XvKjnDDnUjPSMQG6re1byL0VVFEUQnDYQJOmkp2aI3EGnr90XjoSd0&#10;o4tZWd4UPfrGeRQyBDp9GJN8k/HbVor4pW2DjEzXnHqLefV53aW12Kyh2ntwnRLnNuAfujCgLBW9&#10;QD1ABHbw6i8oo4THgG2cCDQFtq0SMnMgNtPyDzZPHTiZuZA4wV1kCv8PVnw+PrmvnsXhHQ40wEwi&#10;uEcUPwKzeN+B3cs777HvJDRUeJokK3oXqvPVJHWoQgLZ9Z+woSHDIWIGGlpvkirEkxE6DeB0EV0O&#10;kQk6XJTL1YJcIig1nZfzm1meSgHV823nQ/wg0bAU1NzTUDM6HB9DTN1A9fxLKmZxq7TOg9WW9TVf&#10;LWaLfOEqY1Qk32llar4s0zc6IZF8b5t8OYLSY0wFtD2zTkRHynHYDUw11HXWJKmww+ZEOngcfUbv&#10;goIO/S/OevJYzcPPA3jJmf5oScvVdD5Ppsyb+eItMWf+OrO7zoAVBFXzyNkY3sds5MQ5uDvSfKuy&#10;HC+dnHsm72SVzj5P5rze579eXuPmNwAAAP//AwBQSwMEFAAGAAgAAAAhAKGqw+jiAAAADQEAAA8A&#10;AABkcnMvZG93bnJldi54bWxMj8FOwzAQRO9I/IO1SNxSJ7VK2zSbqkJtOQIl4uzG2yQitiPbTcPf&#10;Y05wXO1o5r1iO+mejeR8Zw1CNkuBkamt6kyDUH0ckhUwH6RRsreGEL7Jw7a8vytkruzNvNN4Cg2L&#10;JcbnEqENYcg593VLWvqZHcjE38U6LUM8XcOVk7dYrns+T9MnrmVn4kIrB3puqf46XTXCEIbj8sW9&#10;vu32hzGtPo/VvGv2iI8P024DLNAU/sLwix/RoYxMZ3s1yrMeIRHrVZQJCCITa2AxkohsGXXOCAux&#10;yICXBf9vUf4AAAD//wMAUEsBAi0AFAAGAAgAAAAhALaDOJL+AAAA4QEAABMAAAAAAAAAAAAAAAAA&#10;AAAAAFtDb250ZW50X1R5cGVzXS54bWxQSwECLQAUAAYACAAAACEAOP0h/9YAAACUAQAACwAAAAAA&#10;AAAAAAAAAAAvAQAAX3JlbHMvLnJlbHNQSwECLQAUAAYACAAAACEAoR5rHP4BAADVAwAADgAAAAAA&#10;AAAAAAAAAAAuAgAAZHJzL2Uyb0RvYy54bWxQSwECLQAUAAYACAAAACEAoarD6OIAAAANAQAADwAA&#10;AAAAAAAAAAAAAABYBAAAZHJzL2Rvd25yZXYueG1sUEsFBgAAAAAEAAQA8wAAAGcFAAAAAA==&#10;" filled="f" stroked="f">
                <v:textbox style="mso-fit-shape-to-text:t">
                  <w:txbxContent>
                    <w:p w14:paraId="6F3B8AC5" w14:textId="77777777" w:rsidR="00B927C8" w:rsidRPr="00E17A04" w:rsidRDefault="00B927C8" w:rsidP="00B927C8">
                      <w:pPr>
                        <w:ind w:firstLine="0"/>
                        <w:rPr>
                          <w:sz w:val="18"/>
                          <w:szCs w:val="18"/>
                        </w:rPr>
                      </w:pPr>
                      <w:r w:rsidRPr="00E17A04">
                        <w:rPr>
                          <w:sz w:val="18"/>
                          <w:szCs w:val="18"/>
                        </w:rPr>
                        <w:t>30%</w:t>
                      </w:r>
                    </w:p>
                  </w:txbxContent>
                </v:textbox>
                <w10:wrap anchorx="margin"/>
              </v:shape>
            </w:pict>
          </mc:Fallback>
        </mc:AlternateContent>
      </w:r>
      <w:r>
        <w:rPr>
          <w:noProof/>
        </w:rPr>
        <w:drawing>
          <wp:inline distT="0" distB="0" distL="0" distR="0" wp14:anchorId="6D26060C" wp14:editId="66C2F923">
            <wp:extent cx="4876800" cy="2746057"/>
            <wp:effectExtent l="0" t="0" r="0" b="0"/>
            <wp:docPr id="39343673" name="Chart 1">
              <a:extLst xmlns:a="http://schemas.openxmlformats.org/drawingml/2006/main">
                <a:ext uri="{FF2B5EF4-FFF2-40B4-BE49-F238E27FC236}">
                  <a16:creationId xmlns:a16="http://schemas.microsoft.com/office/drawing/2014/main" id="{8F847A7F-BF85-9CB2-B5CC-3918786EBA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3B1E79D" w14:textId="14B6875D" w:rsidR="00B927C8" w:rsidRDefault="00B927C8" w:rsidP="00B927C8">
      <w:pPr>
        <w:pStyle w:val="Caption"/>
      </w:pPr>
      <w:bookmarkStart w:id="169" w:name="_Ref164686423"/>
      <w:bookmarkStart w:id="170" w:name="_Ref164925625"/>
      <w:bookmarkStart w:id="171" w:name="_Toc165641159"/>
      <w:r>
        <w:t>Figure 5.</w:t>
      </w:r>
      <w:r>
        <w:fldChar w:fldCharType="begin"/>
      </w:r>
      <w:r>
        <w:instrText xml:space="preserve"> SEQ Figure \* ARABIC </w:instrText>
      </w:r>
      <w:r>
        <w:fldChar w:fldCharType="separate"/>
      </w:r>
      <w:r>
        <w:rPr>
          <w:noProof/>
        </w:rPr>
        <w:t>7</w:t>
      </w:r>
      <w:r>
        <w:fldChar w:fldCharType="end"/>
      </w:r>
      <w:bookmarkEnd w:id="169"/>
      <w:r>
        <w:t>: Comparison of conversion rates across the GTL industry. The slashed red area represents the net conversion rate for FTS after the initial 90% conversion is processed again to a final product. The slashed blue area represents the improvements shown by the model developed in this study compared to the industry standard.</w:t>
      </w:r>
      <w:bookmarkEnd w:id="170"/>
      <w:bookmarkEnd w:id="171"/>
    </w:p>
    <w:p w14:paraId="4B0F491A" w14:textId="77777777" w:rsidR="00B927C8" w:rsidRPr="001746A8" w:rsidRDefault="00B927C8" w:rsidP="00B927C8">
      <w:r w:rsidRPr="00E17A04">
        <w:rPr>
          <w:noProof/>
        </w:rPr>
        <w:t xml:space="preserve"> </w:t>
      </w:r>
    </w:p>
    <w:p w14:paraId="247446D5" w14:textId="00F83346" w:rsidR="00B927C8" w:rsidRPr="001746A8" w:rsidRDefault="00B927C8" w:rsidP="00B927C8">
      <w:r>
        <w:fldChar w:fldCharType="begin"/>
      </w:r>
      <w:r>
        <w:instrText xml:space="preserve"> REF _Ref164686423 \h </w:instrText>
      </w:r>
      <w:r>
        <w:fldChar w:fldCharType="separate"/>
      </w:r>
      <w:r>
        <w:t>Figure 5.</w:t>
      </w:r>
      <w:r>
        <w:rPr>
          <w:noProof/>
        </w:rPr>
        <w:t>7</w:t>
      </w:r>
      <w:r>
        <w:fldChar w:fldCharType="end"/>
      </w:r>
      <w:r>
        <w:t xml:space="preserve"> provides an industry-wide comparison of conversion rates of various natural gas or methane to valuable products. T</w:t>
      </w:r>
      <w:r w:rsidRPr="001746A8">
        <w:t xml:space="preserve">he top 3 processes represent 3 of the most mature benzene production methods practiced at BTX facilities </w:t>
      </w:r>
      <w:r w:rsidRPr="001746A8">
        <w:fldChar w:fldCharType="begin"/>
      </w:r>
      <w:r w:rsidR="00CA7A9D">
        <w:instrText xml:space="preserve"> ADDIN ZOTERO_ITEM CSL_CITATION {"citationID":"a2pf7eq5j6i","properties":{"formattedCitation":"[46]","plainCitation":"[46]","noteIndex":0},"citationItems":[{"id":23,"uris":["http://zotero.org/users/12063231/items/G7L7NYZP"],"itemData":{"id":23,"type":"paper-conference","abstract":"Benzene is the most basic aromatic compound, which possesses diverse applications in the chemical industry. Benzene is mainly used as an intermediate chemical for styrene in the manufacturing of plastic materials. The benzene derivatives such as styrene, cumene, cyclohexane and nitrobenzene are the four most significant products, which are highly dependent on the benzene demand. However, there is a huge gap between the supply and demand of benzene, and fluctuation of the market price of benzene is also noticeable in recent years. Primarily, benzene is produced as a by-product especially from steam crackers, production of p-xylene and also in oil refineries. This caused the demand of benzene to follow strictly on gasoline, ethylene and also p-xylene in particular. Hence, in this review, three important benzene process pathways are studied and compared based on its economic, safety and environmental aspects in order to allow researchers to understand and able to compare different route of benzene production in terms of sustainability aspects for an on-purpose build of a benzene production plant, which is more economically viable. Three identified process are benzene from ethane (ETB), methane dehydroaromatization: Non-oxidative process (NO-MDA) and natural gas via Methanol synthesis (MTB). NO-MDA process was found to be the most sustainable process among the above. The processes are based on the decision matrix method.","source":"Semantic Scholar","title":"Review on Production of Benzene from Petroleum Associated Gas by Dehydroaromatization, Partial Oxidation on Methane and Methanol-to-Aromatics Processes","URL":"https://www.semanticscholar.org/paper/REVIEW-ON-PRODUCTION-OF-BENZENE-FROM-PETROLEUM-GAS-Nithyanandam-Mun/4fd0aff1b350c48b541f0c50b507f6c4965c278c","author":[{"family":"Nithyanandam","given":"R."},{"family":"Mun","given":"Yew Kar"},{"family":"Fong","given":"Tang Shin"},{"family":"Siew","given":"T. C."},{"family":"Yee","given":"Ong Sin"},{"family":"Ismail","given":"N."}],"accessed":{"date-parts":[["2023",10,18]]},"issued":{"date-parts":[["2019"]]}}}],"schema":"https://github.com/citation-style-language/schema/raw/master/csl-citation.json"} </w:instrText>
      </w:r>
      <w:r w:rsidRPr="001746A8">
        <w:fldChar w:fldCharType="separate"/>
      </w:r>
      <w:r w:rsidR="00CA7A9D" w:rsidRPr="00CA7A9D">
        <w:rPr>
          <w:rFonts w:ascii="Aptos" w:hAnsi="Aptos"/>
        </w:rPr>
        <w:t>[46]</w:t>
      </w:r>
      <w:r w:rsidRPr="001746A8">
        <w:fldChar w:fldCharType="end"/>
      </w:r>
      <w:r w:rsidRPr="001746A8">
        <w:t xml:space="preserve">. In the review work performed by </w:t>
      </w:r>
      <w:proofErr w:type="spellStart"/>
      <w:r w:rsidRPr="001746A8">
        <w:t>Nithyanandam</w:t>
      </w:r>
      <w:proofErr w:type="spellEnd"/>
      <w:r w:rsidRPr="001746A8">
        <w:t xml:space="preserve"> et al.</w:t>
      </w:r>
      <w:r w:rsidRPr="00544BD0">
        <w:t xml:space="preserve"> </w:t>
      </w:r>
      <w:r w:rsidRPr="001746A8">
        <w:fldChar w:fldCharType="begin"/>
      </w:r>
      <w:r w:rsidR="00CA7A9D">
        <w:instrText xml:space="preserve"> ADDIN ZOTERO_ITEM CSL_CITATION {"citationID":"a1qmun29ndk","properties":{"formattedCitation":"[46]","plainCitation":"[46]","noteIndex":0},"citationItems":[{"id":23,"uris":["http://zotero.org/users/12063231/items/G7L7NYZP"],"itemData":{"id":23,"type":"paper-conference","abstract":"Benzene is the most basic aromatic compound, which possesses diverse applications in the chemical industry. Benzene is mainly used as an intermediate chemical for styrene in the manufacturing of plastic materials. The benzene derivatives such as styrene, cumene, cyclohexane and nitrobenzene are the four most significant products, which are highly dependent on the benzene demand. However, there is a huge gap between the supply and demand of benzene, and fluctuation of the market price of benzene is also noticeable in recent years. Primarily, benzene is produced as a by-product especially from steam crackers, production of p-xylene and also in oil refineries. This caused the demand of benzene to follow strictly on gasoline, ethylene and also p-xylene in particular. Hence, in this review, three important benzene process pathways are studied and compared based on its economic, safety and environmental aspects in order to allow researchers to understand and able to compare different route of benzene production in terms of sustainability aspects for an on-purpose build of a benzene production plant, which is more economically viable. Three identified process are benzene from ethane (ETB), methane dehydroaromatization: Non-oxidative process (NO-MDA) and natural gas via Methanol synthesis (MTB). NO-MDA process was found to be the most sustainable process among the above. The processes are based on the decision matrix method.","source":"Semantic Scholar","title":"Review on Production of Benzene from Petroleum Associated Gas by Dehydroaromatization, Partial Oxidation on Methane and Methanol-to-Aromatics Processes","URL":"https://www.semanticscholar.org/paper/REVIEW-ON-PRODUCTION-OF-BENZENE-FROM-PETROLEUM-GAS-Nithyanandam-Mun/4fd0aff1b350c48b541f0c50b507f6c4965c278c","author":[{"family":"Nithyanandam","given":"R."},{"family":"Mun","given":"Yew Kar"},{"family":"Fong","given":"Tang Shin"},{"family":"Siew","given":"T. C."},{"family":"Yee","given":"Ong Sin"},{"family":"Ismail","given":"N."}],"accessed":{"date-parts":[["2023",10,18]]},"issued":{"date-parts":[["2019"]]}}}],"schema":"https://github.com/citation-style-language/schema/raw/master/csl-citation.json"} </w:instrText>
      </w:r>
      <w:r w:rsidRPr="001746A8">
        <w:fldChar w:fldCharType="separate"/>
      </w:r>
      <w:r w:rsidR="00CA7A9D" w:rsidRPr="00CA7A9D">
        <w:rPr>
          <w:rFonts w:ascii="Aptos" w:hAnsi="Aptos"/>
        </w:rPr>
        <w:t>[46]</w:t>
      </w:r>
      <w:r w:rsidRPr="001746A8">
        <w:fldChar w:fldCharType="end"/>
      </w:r>
      <w:r w:rsidRPr="001746A8">
        <w:t>, it was determined that NO-MDA is the most sustainable option</w:t>
      </w:r>
      <w:r>
        <w:t xml:space="preserve"> for methane use</w:t>
      </w:r>
      <w:r w:rsidRPr="001746A8">
        <w:t xml:space="preserve"> with the current technologies available. The PCER, FTS, and BTX processes’ conversion rates can be significantly enhanced by recycling, but the PCER and BTX have a lot more to gain by developing better catalysts to reduce recycling needs and increase output capacity. Additionally, increasing the conversion rate to the stated goal of 30% </w:t>
      </w:r>
      <w:r>
        <w:t>as shown in chapter 4</w:t>
      </w:r>
      <w:r w:rsidRPr="001746A8">
        <w:t xml:space="preserve"> make</w:t>
      </w:r>
      <w:r>
        <w:t>s</w:t>
      </w:r>
      <w:r w:rsidRPr="001746A8">
        <w:t xml:space="preserve"> the PCER technology surpass current BTX facilities, </w:t>
      </w:r>
      <w:r>
        <w:t>and provides</w:t>
      </w:r>
      <w:r w:rsidRPr="001746A8">
        <w:t xml:space="preserve"> the PCER with a significant advantage over the </w:t>
      </w:r>
      <w:r>
        <w:t>“</w:t>
      </w:r>
      <w:r w:rsidRPr="001746A8">
        <w:t>most-sustainable practice</w:t>
      </w:r>
      <w:r>
        <w:t>”</w:t>
      </w:r>
      <w:r>
        <w:fldChar w:fldCharType="begin"/>
      </w:r>
      <w:r w:rsidR="00CA7A9D">
        <w:instrText xml:space="preserve"> ADDIN ZOTERO_ITEM CSL_CITATION {"citationID":"a1ur7agr5ib","properties":{"formattedCitation":"[46]","plainCitation":"[46]","noteIndex":0},"citationItems":[{"id":23,"uris":["http://zotero.org/users/12063231/items/G7L7NYZP"],"itemData":{"id":23,"type":"paper-conference","abstract":"Benzene is the most basic aromatic compound, which possesses diverse applications in the chemical industry. Benzene is mainly used as an intermediate chemical for styrene in the manufacturing of plastic materials. The benzene derivatives such as styrene, cumene, cyclohexane and nitrobenzene are the four most significant products, which are highly dependent on the benzene demand. However, there is a huge gap between the supply and demand of benzene, and fluctuation of the market price of benzene is also noticeable in recent years. Primarily, benzene is produced as a by-product especially from steam crackers, production of p-xylene and also in oil refineries. This caused the demand of benzene to follow strictly on gasoline, ethylene and also p-xylene in particular. Hence, in this review, three important benzene process pathways are studied and compared based on its economic, safety and environmental aspects in order to allow researchers to understand and able to compare different route of benzene production in terms of sustainability aspects for an on-purpose build of a benzene production plant, which is more economically viable. Three identified process are benzene from ethane (ETB), methane dehydroaromatization: Non-oxidative process (NO-MDA) and natural gas via Methanol synthesis (MTB). NO-MDA process was found to be the most sustainable process among the above. The processes are based on the decision matrix method.","source":"Semantic Scholar","title":"Review on Production of Benzene from Petroleum Associated Gas by Dehydroaromatization, Partial Oxidation on Methane and Methanol-to-Aromatics Processes","URL":"https://www.semanticscholar.org/paper/REVIEW-ON-PRODUCTION-OF-BENZENE-FROM-PETROLEUM-GAS-Nithyanandam-Mun/4fd0aff1b350c48b541f0c50b507f6c4965c278c","author":[{"family":"Nithyanandam","given":"R."},{"family":"Mun","given":"Yew Kar"},{"family":"Fong","given":"Tang Shin"},{"family":"Siew","given":"T. C."},{"family":"Yee","given":"Ong Sin"},{"family":"Ismail","given":"N."}],"accessed":{"date-parts":[["2023",10,18]]},"issued":{"date-parts":[["2019"]]}}}],"schema":"https://github.com/citation-style-language/schema/raw/master/csl-citation.json"} </w:instrText>
      </w:r>
      <w:r>
        <w:fldChar w:fldCharType="separate"/>
      </w:r>
      <w:r w:rsidR="00CA7A9D" w:rsidRPr="00CA7A9D">
        <w:rPr>
          <w:rFonts w:ascii="Aptos" w:hAnsi="Aptos"/>
        </w:rPr>
        <w:t>[46]</w:t>
      </w:r>
      <w:r>
        <w:fldChar w:fldCharType="end"/>
      </w:r>
      <w:r w:rsidRPr="001746A8">
        <w:t xml:space="preserve"> of NO-MDA. </w:t>
      </w:r>
    </w:p>
    <w:p w14:paraId="1BCE31CC" w14:textId="77777777" w:rsidR="00B927C8" w:rsidRPr="001746A8" w:rsidRDefault="00B927C8" w:rsidP="00B927C8">
      <w:pPr>
        <w:rPr>
          <w:i/>
        </w:rPr>
      </w:pPr>
      <w:bookmarkStart w:id="172" w:name="_Toc149143183"/>
      <w:r>
        <w:rPr>
          <w:i/>
        </w:rPr>
        <w:t>Energy</w:t>
      </w:r>
      <w:r w:rsidRPr="001746A8">
        <w:rPr>
          <w:i/>
        </w:rPr>
        <w:t xml:space="preserve"> efficiencies</w:t>
      </w:r>
      <w:bookmarkEnd w:id="172"/>
    </w:p>
    <w:p w14:paraId="50591F79" w14:textId="532D0AAE" w:rsidR="00B927C8" w:rsidRDefault="00B927C8" w:rsidP="00B927C8">
      <w:r>
        <w:t>T</w:t>
      </w:r>
      <w:r w:rsidRPr="001746A8">
        <w:t xml:space="preserve">raditional power plants are extremely mature technologies, </w:t>
      </w:r>
      <w:r>
        <w:t xml:space="preserve">but </w:t>
      </w:r>
      <w:r w:rsidRPr="001746A8">
        <w:t xml:space="preserve">they are limited by the Carnot cycle and have therefore achieved a general overall efficiency of 60% </w:t>
      </w:r>
      <w:r w:rsidRPr="001746A8">
        <w:fldChar w:fldCharType="begin"/>
      </w:r>
      <w:r w:rsidR="00CA7A9D">
        <w:instrText xml:space="preserve"> ADDIN ZOTERO_ITEM CSL_CITATION {"citationID":"aea69p3d1j","properties":{"formattedCitation":"[127]","plainCitation":"[127]","noteIndex":0},"citationItems":[{"id":37,"uris":["http://zotero.org/users/12063231/items/68YRDRN2"],"itemData":{"id":37,"type":"webpage","abstract":"Topic last reviewed: November 2022 … Sectors: Upstream, Downstream … Category: Power and heat generation … A combined-cycle gas turbine (CCGT) power plant uses the exhaust heat from gas turbines to generate steam with a heat recovery steam generator (HRSG). The produced steam is then fed to a steam turbine to provide additional power, either running a generator or as a mechanical drive. The overall efficiency of an offshore CCGT is approximately 50%.","container-title":"Ipieca","language":"en-gb","title":"Combined-cycle gas turbines (2022)","URL":"https://www.ipieca.org/resources/energy-efficiency-solutions/combined-cycle-gas-turbines-2022","accessed":{"date-parts":[["2023",10,9]]}}}],"schema":"https://github.com/citation-style-language/schema/raw/master/csl-citation.json"} </w:instrText>
      </w:r>
      <w:r w:rsidRPr="001746A8">
        <w:fldChar w:fldCharType="separate"/>
      </w:r>
      <w:r w:rsidR="00CA7A9D" w:rsidRPr="00CA7A9D">
        <w:rPr>
          <w:rFonts w:ascii="Aptos" w:hAnsi="Aptos"/>
        </w:rPr>
        <w:t>[127]</w:t>
      </w:r>
      <w:r w:rsidRPr="001746A8">
        <w:fldChar w:fldCharType="end"/>
      </w:r>
      <w:r w:rsidRPr="001746A8">
        <w:t>. A recent study by Otomo et al.</w:t>
      </w:r>
      <w:r w:rsidRPr="00544BD0">
        <w:t xml:space="preserve"> </w:t>
      </w:r>
      <w:r w:rsidRPr="001746A8">
        <w:fldChar w:fldCharType="begin"/>
      </w:r>
      <w:r w:rsidR="00CA7A9D">
        <w:instrText xml:space="preserve"> ADDIN ZOTERO_ITEM CSL_CITATION {"citationID":"a15bk0m0brm","properties":{"formattedCitation":"[128]","plainCitation":"[128]","noteIndex":0},"citationItems":[{"id":36,"uris":["http://zotero.org/users/12063231/items/Z9FPLVRK"],"itemData":{"id":36,"type":"article-journal","container-title":"ECS Transactions","DOI":"10.1149/11106.1075ecst","ISSN":"1938-5862","issue":"6","journalAbbreviation":"ECS Trans.","language":"en","note":"publisher: IOP Publishing","page":"1075","source":"iopscience-iop-org.ezproxy.lib.ou.edu","title":"Bilayer Cell Model and System Design of Highly Efficient Protonic Ceramic Fuel Cells","volume":"111","author":[{"family":"Otomo","given":"Junichiro"},{"family":"Yamate","given":"Shun"},{"family":"Ortiz-Corrales","given":"Julián Andrés"}],"issued":{"date-parts":[["2023",5,19]]}}}],"schema":"https://github.com/citation-style-language/schema/raw/master/csl-citation.json"} </w:instrText>
      </w:r>
      <w:r w:rsidRPr="001746A8">
        <w:fldChar w:fldCharType="separate"/>
      </w:r>
      <w:r w:rsidR="00CA7A9D" w:rsidRPr="00CA7A9D">
        <w:rPr>
          <w:rFonts w:ascii="Aptos" w:hAnsi="Aptos"/>
        </w:rPr>
        <w:t>[128]</w:t>
      </w:r>
      <w:r w:rsidRPr="001746A8">
        <w:fldChar w:fldCharType="end"/>
      </w:r>
      <w:r w:rsidRPr="001746A8">
        <w:t xml:space="preserve"> </w:t>
      </w:r>
      <w:r w:rsidR="00170393">
        <w:t>a</w:t>
      </w:r>
      <w:r w:rsidRPr="001746A8">
        <w:t>chieve</w:t>
      </w:r>
      <w:r w:rsidR="00170393">
        <w:t>d</w:t>
      </w:r>
      <w:r w:rsidRPr="001746A8">
        <w:t xml:space="preserve"> a system-level efficiency as high as 74% with methane as fuel. This indicates that PCFCs have the potential to not only compete </w:t>
      </w:r>
      <w:proofErr w:type="gramStart"/>
      <w:r w:rsidRPr="001746A8">
        <w:t>with, but</w:t>
      </w:r>
      <w:proofErr w:type="gramEnd"/>
      <w:r w:rsidRPr="001746A8">
        <w:t xml:space="preserve"> </w:t>
      </w:r>
      <w:r w:rsidRPr="001746A8">
        <w:rPr>
          <w:i/>
          <w:iCs/>
        </w:rPr>
        <w:t>exceed</w:t>
      </w:r>
      <w:r w:rsidRPr="001746A8">
        <w:t xml:space="preserve"> the efficiencies of competing technologies at the industrial scale. </w:t>
      </w:r>
      <w:r>
        <w:t>For the PCFC in this study, the system-level efficiency is calculated as</w:t>
      </w:r>
    </w:p>
    <w:p w14:paraId="06193FED" w14:textId="77777777" w:rsidR="00B927C8" w:rsidRPr="003760DB" w:rsidRDefault="00924E48" w:rsidP="00B927C8">
      <w:pPr>
        <w:rPr>
          <w:rFonts w:eastAsiaTheme="minorEastAsia"/>
        </w:rPr>
      </w:pPr>
      <m:oMathPara>
        <m:oMath>
          <m:sSub>
            <m:sSubPr>
              <m:ctrlPr>
                <w:rPr>
                  <w:rFonts w:ascii="Cambria Math" w:hAnsi="Cambria Math"/>
                  <w:i/>
                </w:rPr>
              </m:ctrlPr>
            </m:sSubPr>
            <m:e>
              <m:r>
                <w:rPr>
                  <w:rFonts w:ascii="Cambria Math" w:hAnsi="Cambria Math"/>
                </w:rPr>
                <m:t>ϵ</m:t>
              </m:r>
            </m:e>
            <m:sub>
              <m:r>
                <w:rPr>
                  <w:rFonts w:ascii="Cambria Math" w:hAnsi="Cambria Math"/>
                </w:rPr>
                <m:t>sys</m:t>
              </m:r>
            </m:sub>
          </m:sSub>
          <m:r>
            <w:rPr>
              <w:rFonts w:ascii="Cambria Math" w:hAnsi="Cambria Math"/>
            </w:rPr>
            <m:t>=</m:t>
          </m:r>
          <m:f>
            <m:fPr>
              <m:ctrlPr>
                <w:rPr>
                  <w:rFonts w:ascii="Cambria Math" w:hAnsi="Cambria Math"/>
                  <w:i/>
                </w:rPr>
              </m:ctrlPr>
            </m:fPr>
            <m:num>
              <m:r>
                <w:rPr>
                  <w:rFonts w:ascii="Cambria Math" w:hAnsi="Cambria Math"/>
                </w:rPr>
                <m:t>LH</m:t>
              </m:r>
              <m:sSub>
                <m:sSubPr>
                  <m:ctrlPr>
                    <w:rPr>
                      <w:rFonts w:ascii="Cambria Math" w:hAnsi="Cambria Math"/>
                      <w:i/>
                    </w:rPr>
                  </m:ctrlPr>
                </m:sSubPr>
                <m:e>
                  <m:r>
                    <w:rPr>
                      <w:rFonts w:ascii="Cambria Math" w:hAnsi="Cambria Math"/>
                    </w:rPr>
                    <m:t>V</m:t>
                  </m:r>
                </m:e>
                <m:sub>
                  <m:sSub>
                    <m:sSubPr>
                      <m:ctrlPr>
                        <w:rPr>
                          <w:rFonts w:ascii="Cambria Math" w:hAnsi="Cambria Math"/>
                          <w:i/>
                        </w:rPr>
                      </m:ctrlPr>
                    </m:sSubPr>
                    <m:e>
                      <m:r>
                        <w:rPr>
                          <w:rFonts w:ascii="Cambria Math" w:hAnsi="Cambria Math"/>
                        </w:rPr>
                        <m:t>C</m:t>
                      </m:r>
                    </m:e>
                    <m:sub>
                      <m:r>
                        <w:rPr>
                          <w:rFonts w:ascii="Cambria Math" w:hAnsi="Cambria Math"/>
                        </w:rPr>
                        <m:t>6</m:t>
                      </m:r>
                    </m:sub>
                  </m:sSub>
                  <m:sSub>
                    <m:sSubPr>
                      <m:ctrlPr>
                        <w:rPr>
                          <w:rFonts w:ascii="Cambria Math" w:hAnsi="Cambria Math"/>
                          <w:i/>
                        </w:rPr>
                      </m:ctrlPr>
                    </m:sSubPr>
                    <m:e>
                      <m:r>
                        <w:rPr>
                          <w:rFonts w:ascii="Cambria Math" w:hAnsi="Cambria Math"/>
                        </w:rPr>
                        <m:t>H</m:t>
                      </m:r>
                    </m:e>
                    <m:sub>
                      <m:r>
                        <w:rPr>
                          <w:rFonts w:ascii="Cambria Math" w:hAnsi="Cambria Math"/>
                        </w:rPr>
                        <m:t>6</m:t>
                      </m:r>
                    </m:sub>
                  </m:sSub>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sSub>
                    <m:sSubPr>
                      <m:ctrlPr>
                        <w:rPr>
                          <w:rFonts w:ascii="Cambria Math" w:hAnsi="Cambria Math"/>
                          <w:i/>
                        </w:rPr>
                      </m:ctrlPr>
                    </m:sSubPr>
                    <m:e>
                      <m:r>
                        <w:rPr>
                          <w:rFonts w:ascii="Cambria Math" w:hAnsi="Cambria Math"/>
                        </w:rPr>
                        <m:t>C</m:t>
                      </m:r>
                    </m:e>
                    <m:sub>
                      <m:r>
                        <w:rPr>
                          <w:rFonts w:ascii="Cambria Math" w:hAnsi="Cambria Math"/>
                        </w:rPr>
                        <m:t>6</m:t>
                      </m:r>
                    </m:sub>
                  </m:sSub>
                  <m:sSub>
                    <m:sSubPr>
                      <m:ctrlPr>
                        <w:rPr>
                          <w:rFonts w:ascii="Cambria Math" w:hAnsi="Cambria Math"/>
                          <w:i/>
                        </w:rPr>
                      </m:ctrlPr>
                    </m:sSubPr>
                    <m:e>
                      <m:r>
                        <w:rPr>
                          <w:rFonts w:ascii="Cambria Math" w:hAnsi="Cambria Math"/>
                        </w:rPr>
                        <m:t>H</m:t>
                      </m:r>
                    </m:e>
                    <m:sub>
                      <m:r>
                        <w:rPr>
                          <w:rFonts w:ascii="Cambria Math" w:hAnsi="Cambria Math"/>
                        </w:rPr>
                        <m:t>6</m:t>
                      </m:r>
                    </m:sub>
                  </m:sSub>
                </m:sub>
              </m:sSub>
              <m:r>
                <w:rPr>
                  <w:rFonts w:ascii="Cambria Math" w:hAnsi="Cambria Math"/>
                </w:rPr>
                <m:t>+</m:t>
              </m:r>
              <m:r>
                <w:rPr>
                  <w:rFonts w:ascii="Cambria Math" w:hAnsi="Cambria Math"/>
                </w:rPr>
                <m:t>LH</m:t>
              </m:r>
              <m:sSub>
                <m:sSubPr>
                  <m:ctrlPr>
                    <w:rPr>
                      <w:rFonts w:ascii="Cambria Math" w:hAnsi="Cambria Math"/>
                      <w:i/>
                    </w:rPr>
                  </m:ctrlPr>
                </m:sSubPr>
                <m:e>
                  <m:r>
                    <w:rPr>
                      <w:rFonts w:ascii="Cambria Math" w:hAnsi="Cambria Math"/>
                    </w:rPr>
                    <m:t>V</m:t>
                  </m:r>
                </m:e>
                <m:sub>
                  <m:sSub>
                    <m:sSubPr>
                      <m:ctrlPr>
                        <w:rPr>
                          <w:rFonts w:ascii="Cambria Math" w:hAnsi="Cambria Math"/>
                          <w:i/>
                        </w:rPr>
                      </m:ctrlPr>
                    </m:sSubPr>
                    <m:e>
                      <m:r>
                        <w:rPr>
                          <w:rFonts w:ascii="Cambria Math" w:hAnsi="Cambria Math"/>
                        </w:rPr>
                        <m:t>C</m:t>
                      </m:r>
                    </m:e>
                    <m:sub>
                      <m:r>
                        <w:rPr>
                          <w:rFonts w:ascii="Cambria Math" w:hAnsi="Cambria Math"/>
                        </w:rPr>
                        <m:t>7</m:t>
                      </m:r>
                    </m:sub>
                  </m:sSub>
                  <m:sSub>
                    <m:sSubPr>
                      <m:ctrlPr>
                        <w:rPr>
                          <w:rFonts w:ascii="Cambria Math" w:hAnsi="Cambria Math"/>
                          <w:i/>
                        </w:rPr>
                      </m:ctrlPr>
                    </m:sSubPr>
                    <m:e>
                      <m:r>
                        <w:rPr>
                          <w:rFonts w:ascii="Cambria Math" w:hAnsi="Cambria Math"/>
                        </w:rPr>
                        <m:t>H</m:t>
                      </m:r>
                    </m:e>
                    <m:sub>
                      <m:r>
                        <w:rPr>
                          <w:rFonts w:ascii="Cambria Math" w:hAnsi="Cambria Math"/>
                        </w:rPr>
                        <m:t>8</m:t>
                      </m:r>
                    </m:sub>
                  </m:sSub>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sSub>
                    <m:sSubPr>
                      <m:ctrlPr>
                        <w:rPr>
                          <w:rFonts w:ascii="Cambria Math" w:hAnsi="Cambria Math"/>
                          <w:i/>
                        </w:rPr>
                      </m:ctrlPr>
                    </m:sSubPr>
                    <m:e>
                      <m:r>
                        <w:rPr>
                          <w:rFonts w:ascii="Cambria Math" w:hAnsi="Cambria Math"/>
                        </w:rPr>
                        <m:t>C</m:t>
                      </m:r>
                    </m:e>
                    <m:sub>
                      <m:r>
                        <w:rPr>
                          <w:rFonts w:ascii="Cambria Math" w:hAnsi="Cambria Math"/>
                        </w:rPr>
                        <m:t>7</m:t>
                      </m:r>
                    </m:sub>
                  </m:sSub>
                  <m:sSub>
                    <m:sSubPr>
                      <m:ctrlPr>
                        <w:rPr>
                          <w:rFonts w:ascii="Cambria Math" w:hAnsi="Cambria Math"/>
                          <w:i/>
                        </w:rPr>
                      </m:ctrlPr>
                    </m:sSubPr>
                    <m:e>
                      <m:r>
                        <w:rPr>
                          <w:rFonts w:ascii="Cambria Math" w:hAnsi="Cambria Math"/>
                        </w:rPr>
                        <m:t>H</m:t>
                      </m:r>
                    </m:e>
                    <m:sub>
                      <m:r>
                        <w:rPr>
                          <w:rFonts w:ascii="Cambria Math" w:hAnsi="Cambria Math"/>
                        </w:rPr>
                        <m:t>8</m:t>
                      </m:r>
                    </m:sub>
                  </m:sSub>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out</m:t>
                  </m:r>
                </m:sub>
              </m:sSub>
            </m:num>
            <m:den>
              <m:r>
                <w:rPr>
                  <w:rFonts w:ascii="Cambria Math" w:hAnsi="Cambria Math"/>
                </w:rPr>
                <m:t>LH</m:t>
              </m:r>
              <m:sSub>
                <m:sSubPr>
                  <m:ctrlPr>
                    <w:rPr>
                      <w:rFonts w:ascii="Cambria Math" w:hAnsi="Cambria Math"/>
                      <w:i/>
                    </w:rPr>
                  </m:ctrlPr>
                </m:sSubPr>
                <m:e>
                  <m:r>
                    <w:rPr>
                      <w:rFonts w:ascii="Cambria Math" w:hAnsi="Cambria Math"/>
                    </w:rPr>
                    <m:t>V</m:t>
                  </m:r>
                </m:e>
                <m:sub>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rPr>
                        <m:t>4</m:t>
                      </m:r>
                    </m:sub>
                  </m:sSub>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rPr>
                        <m:t>4</m:t>
                      </m:r>
                    </m:sub>
                  </m:sSub>
                  <m:r>
                    <w:rPr>
                      <w:rFonts w:ascii="Cambria Math" w:hAnsi="Cambria Math"/>
                    </w:rPr>
                    <m:t>,</m:t>
                  </m:r>
                  <m:r>
                    <w:rPr>
                      <w:rFonts w:ascii="Cambria Math" w:hAnsi="Cambria Math"/>
                    </w:rPr>
                    <m:t>converted</m:t>
                  </m:r>
                </m:sub>
              </m:sSub>
              <m:r>
                <w:rPr>
                  <w:rFonts w:ascii="Cambria Math" w:hAnsi="Cambria Math"/>
                </w:rPr>
                <m:t>+</m:t>
              </m:r>
              <m:r>
                <w:rPr>
                  <w:rFonts w:ascii="Cambria Math" w:hAnsi="Cambria Math"/>
                </w:rPr>
                <m:t>LH</m:t>
              </m:r>
              <m:sSub>
                <m:sSubPr>
                  <m:ctrlPr>
                    <w:rPr>
                      <w:rFonts w:ascii="Cambria Math" w:hAnsi="Cambria Math"/>
                      <w:i/>
                    </w:rPr>
                  </m:ctrlPr>
                </m:sSubPr>
                <m:e>
                  <m:r>
                    <w:rPr>
                      <w:rFonts w:ascii="Cambria Math" w:hAnsi="Cambria Math"/>
                    </w:rPr>
                    <m:t>V</m:t>
                  </m:r>
                </m:e>
                <m:sub>
                  <m:sSub>
                    <m:sSubPr>
                      <m:ctrlPr>
                        <w:rPr>
                          <w:rFonts w:ascii="Cambria Math" w:hAnsi="Cambria Math"/>
                          <w:i/>
                        </w:rPr>
                      </m:ctrlPr>
                    </m:sSubPr>
                    <m:e>
                      <m:r>
                        <w:rPr>
                          <w:rFonts w:ascii="Cambria Math" w:hAnsi="Cambria Math"/>
                        </w:rPr>
                        <m:t>H</m:t>
                      </m:r>
                    </m:e>
                    <m:sub>
                      <m:r>
                        <w:rPr>
                          <w:rFonts w:ascii="Cambria Math" w:hAnsi="Cambria Math"/>
                        </w:rPr>
                        <m:t>2</m:t>
                      </m:r>
                    </m:sub>
                  </m:sSub>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m:t>
                  </m:r>
                  <m:r>
                    <w:rPr>
                      <w:rFonts w:ascii="Cambria Math" w:hAnsi="Cambria Math"/>
                    </w:rPr>
                    <m:t>gen</m:t>
                  </m:r>
                </m:sub>
              </m:sSub>
            </m:den>
          </m:f>
        </m:oMath>
      </m:oMathPara>
    </w:p>
    <w:p w14:paraId="11B607D8" w14:textId="77777777" w:rsidR="00B927C8" w:rsidRPr="00231577" w:rsidRDefault="00B927C8" w:rsidP="00B927C8">
      <w:pPr>
        <w:rPr>
          <w:rFonts w:eastAsiaTheme="minorEastAsia"/>
        </w:rPr>
      </w:pPr>
      <w:r>
        <w:rPr>
          <w:rFonts w:eastAsiaTheme="minorEastAsia"/>
        </w:rPr>
        <w:t xml:space="preserve">where </w:t>
      </w:r>
      <m:oMath>
        <m:r>
          <w:rPr>
            <w:rFonts w:ascii="Cambria Math" w:eastAsiaTheme="minorEastAsia" w:hAnsi="Cambria Math"/>
          </w:rPr>
          <m:t>LH</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m:t>
            </m:r>
          </m:sub>
        </m:sSub>
      </m:oMath>
      <w:r>
        <w:rPr>
          <w:rFonts w:eastAsiaTheme="minorEastAsia"/>
        </w:rPr>
        <w:t xml:space="preserve"> and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s</m:t>
            </m:r>
          </m:sub>
        </m:sSub>
      </m:oMath>
      <w:r>
        <w:rPr>
          <w:rFonts w:eastAsiaTheme="minorEastAsia"/>
        </w:rPr>
        <w:t xml:space="preserve"> represent the lower heating value and the mass flow rate of species </w:t>
      </w:r>
      <w:r>
        <w:rPr>
          <w:rFonts w:eastAsiaTheme="minorEastAsia"/>
          <w:i/>
          <w:iCs/>
        </w:rPr>
        <w:t>s</w:t>
      </w:r>
      <w:r>
        <w:rPr>
          <w:rFonts w:eastAsiaTheme="minorEastAsia"/>
        </w:rPr>
        <w:t xml:space="preserve">, respectively;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out</m:t>
            </m:r>
          </m:sub>
        </m:sSub>
      </m:oMath>
      <w:r>
        <w:rPr>
          <w:rFonts w:eastAsiaTheme="minorEastAsia"/>
        </w:rPr>
        <w:t xml:space="preserve"> is the produced power, and subscripts </w:t>
      </w:r>
      <m:oMath>
        <m:sSub>
          <m:sSubPr>
            <m:ctrlPr>
              <w:rPr>
                <w:rFonts w:ascii="Cambria Math" w:eastAsiaTheme="minorEastAsia" w:hAnsi="Cambria Math"/>
                <w:i/>
              </w:rPr>
            </m:ctrlPr>
          </m:sSubPr>
          <m:e>
            <m:r>
              <w:rPr>
                <w:rFonts w:ascii="Cambria Math" w:eastAsiaTheme="minorEastAsia" w:hAnsi="Cambria Math"/>
              </w:rPr>
              <m:t xml:space="preserve"> </m:t>
            </m:r>
          </m:e>
          <m:sub>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4</m:t>
                </m:r>
              </m:sub>
            </m:sSub>
            <m:r>
              <w:rPr>
                <w:rFonts w:ascii="Cambria Math" w:eastAsiaTheme="minorEastAsia" w:hAnsi="Cambria Math"/>
              </w:rPr>
              <m:t xml:space="preserve">,converted </m:t>
            </m:r>
          </m:sub>
        </m:sSub>
      </m:oMath>
      <w:r>
        <w:rPr>
          <w:rFonts w:eastAsiaTheme="minorEastAsia"/>
        </w:rPr>
        <w:t xml:space="preserve">and </w:t>
      </w:r>
      <m:oMath>
        <m:sSub>
          <m:sSubPr>
            <m:ctrlPr>
              <w:rPr>
                <w:rFonts w:ascii="Cambria Math" w:eastAsiaTheme="minorEastAsia" w:hAnsi="Cambria Math"/>
                <w:i/>
              </w:rPr>
            </m:ctrlPr>
          </m:sSubPr>
          <m:e>
            <m:r>
              <w:rPr>
                <w:rFonts w:ascii="Cambria Math" w:eastAsiaTheme="minorEastAsia" w:hAnsi="Cambria Math"/>
              </w:rPr>
              <m:t xml:space="preserve"> </m:t>
            </m:r>
          </m:e>
          <m: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,gen</m:t>
            </m:r>
          </m:sub>
        </m:sSub>
      </m:oMath>
      <w:r>
        <w:rPr>
          <w:rFonts w:eastAsiaTheme="minorEastAsia"/>
        </w:rPr>
        <w:t xml:space="preserve"> represent the converted methane and generated hydrogen, respectively. At its peak form at 1 Lg</w:t>
      </w:r>
      <w:r>
        <w:rPr>
          <w:rFonts w:eastAsiaTheme="minorEastAsia"/>
          <w:vertAlign w:val="subscript"/>
        </w:rPr>
        <w:t>cat</w:t>
      </w:r>
      <w:r>
        <w:rPr>
          <w:rFonts w:eastAsiaTheme="minorEastAsia"/>
          <w:vertAlign w:val="superscript"/>
        </w:rPr>
        <w:t>-1</w:t>
      </w:r>
      <w:r>
        <w:rPr>
          <w:rFonts w:eastAsiaTheme="minorEastAsia"/>
        </w:rPr>
        <w:t>h</w:t>
      </w:r>
      <w:r>
        <w:rPr>
          <w:rFonts w:eastAsiaTheme="minorEastAsia"/>
          <w:vertAlign w:val="superscript"/>
        </w:rPr>
        <w:t>-1</w:t>
      </w:r>
      <w:r>
        <w:rPr>
          <w:rFonts w:eastAsiaTheme="minorEastAsia"/>
        </w:rPr>
        <w:t xml:space="preserve">, the system has an efficiency of 58.97%, on par with mature power generation technologies. </w:t>
      </w:r>
    </w:p>
    <w:p w14:paraId="0F57AB69" w14:textId="6DD9EAD1" w:rsidR="00B927C8" w:rsidRPr="001746A8" w:rsidRDefault="00B927C8" w:rsidP="00B927C8">
      <w:r>
        <w:rPr>
          <w:rFonts w:eastAsiaTheme="minorEastAsia"/>
        </w:rPr>
        <w:t xml:space="preserve"> </w:t>
      </w:r>
      <w:r w:rsidRPr="001746A8">
        <w:t xml:space="preserve">Another significant factor to consider is the input energy efficiency.  A common way this is measured in electrochemical cells is through Faradaic efficiency, which measures how much of an electrical input is used directly to form the intended product. In other words, it is a ratio of the measured vs the theoretical maximum output selectivity in an electrochemical process. Duan, et al. has reported faradaic efficiencies around 90-98%, with a &gt;97% overall electric-to-hydrogen energy conversion efficiency </w:t>
      </w:r>
      <w:r w:rsidRPr="001746A8">
        <w:fldChar w:fldCharType="begin"/>
      </w:r>
      <w:r w:rsidR="00CA7A9D">
        <w:instrText xml:space="preserve"> ADDIN ZOTERO_ITEM CSL_CITATION {"citationID":"DhH6JNS3","properties":{"formattedCitation":"[72]","plainCitation":"[72]","noteIndex":0},"citationItems":[{"id":198,"uris":["http://zotero.org/users/12063231/items/LUUF8MRS"],"itemData":{"id":198,"type":"article-journal","abstract":"Reversible fuel cells based on both proton exchange membrane fuel cell and solid oxide fuel cell technologies have been proposed to address energy storage and conversion challenges and to provide versatile pathways for renewable fuels production. Both technologies suffer challenges associated with cost, durability, low round-trip efficiency and the need to separate H2O from the product fuel. Here, we present a reversible protonic ceramic electrochemical cell based on an yttrium and ytterbium co-doped barium cerate–zirconate electrolyte and a triple-conducting oxide air/steam (reversible) electrode that addresses many of these issues. Our reversible protonic ceramic electrochemical cell achieves a high Faradaic efficiency (90–98%) and can operate endothermically with a &gt;97% overall electric-to-hydrogen energy conversion efficiency (based on the lower heating value of H2) at a current density of −1,000</w:instrText>
      </w:r>
      <w:r w:rsidR="00CA7A9D">
        <w:rPr>
          <w:rFonts w:ascii="Arial" w:hAnsi="Arial" w:cs="Arial"/>
        </w:rPr>
        <w:instrText> </w:instrText>
      </w:r>
      <w:r w:rsidR="00CA7A9D">
        <w:instrText>mA</w:instrText>
      </w:r>
      <w:r w:rsidR="00CA7A9D">
        <w:rPr>
          <w:rFonts w:ascii="Arial" w:hAnsi="Arial" w:cs="Arial"/>
        </w:rPr>
        <w:instrText> </w:instrText>
      </w:r>
      <w:r w:rsidR="00CA7A9D">
        <w:instrText>cm</w:instrText>
      </w:r>
      <w:r w:rsidR="00CA7A9D">
        <w:rPr>
          <w:rFonts w:ascii="Aptos" w:hAnsi="Aptos" w:cs="Aptos"/>
        </w:rPr>
        <w:instrText>−</w:instrText>
      </w:r>
      <w:r w:rsidR="00CA7A9D">
        <w:instrText>2. Even higher efficiencies are obtained for H2O electrolysis with co-fed CO2 to produce CO and CH4. We demonstrate a repeatable round-trip (electricity-to-hydrogen-to-electricity) efficiency of &gt;75% and stable operation, with a degradation rate of &lt;30</w:instrText>
      </w:r>
      <w:r w:rsidR="00CA7A9D">
        <w:rPr>
          <w:rFonts w:ascii="Arial" w:hAnsi="Arial" w:cs="Arial"/>
        </w:rPr>
        <w:instrText> </w:instrText>
      </w:r>
      <w:r w:rsidR="00CA7A9D">
        <w:instrText>mV over 1,000</w:instrText>
      </w:r>
      <w:r w:rsidR="00CA7A9D">
        <w:rPr>
          <w:rFonts w:ascii="Arial" w:hAnsi="Arial" w:cs="Arial"/>
        </w:rPr>
        <w:instrText> </w:instrText>
      </w:r>
      <w:r w:rsidR="00CA7A9D">
        <w:instrText xml:space="preserve">h.","container-title":"Nature Energy","DOI":"10.1038/s41560-019-0333-2","ISSN":"2058-7546","issue":"3","journalAbbreviation":"Nat Energy","language":"en","license":"2019 The Author(s), under exclusive licence to Springer Nature Limited","note":"number: 3\npublisher: Nature Publishing Group","page":"230-240","source":"www.nature.com","title":"Highly efficient reversible protonic ceramic electrochemical cells for power generation and fuel production","volume":"4","author":[{"family":"Duan","given":"Chuancheng"},{"family":"Kee","given":"Robert"},{"family":"Zhu","given":"Huayang"},{"family":"Sullivan","given":"Neal"},{"family":"Zhu","given":"Liangzhu"},{"family":"Bian","given":"Liuzhen"},{"family":"Jennings","given":"Dylan"},{"family":"O’Hayre","given":"Ryan"}],"issued":{"date-parts":[["2019",3]]}}}],"schema":"https://github.com/citation-style-language/schema/raw/master/csl-citation.json"} </w:instrText>
      </w:r>
      <w:r w:rsidRPr="001746A8">
        <w:fldChar w:fldCharType="separate"/>
      </w:r>
      <w:r w:rsidR="00CA7A9D" w:rsidRPr="00CA7A9D">
        <w:rPr>
          <w:rFonts w:ascii="Aptos" w:hAnsi="Aptos"/>
        </w:rPr>
        <w:t>[72]</w:t>
      </w:r>
      <w:r w:rsidRPr="001746A8">
        <w:fldChar w:fldCharType="end"/>
      </w:r>
      <w:r w:rsidRPr="001746A8">
        <w:t xml:space="preserve">. This is especially impressive since their work involved reversible PCFCs, which can switch from power generation to chemical (in this case, hydrogen) production, while maintaining high faradaic efficiencies in PCEC mode. </w:t>
      </w:r>
      <w:r>
        <w:t xml:space="preserve">In the model, the faradaic </w:t>
      </w:r>
      <w:r w:rsidR="003F4044">
        <w:t>efficiency</w:t>
      </w:r>
      <w:r>
        <w:t xml:space="preserve"> is most </w:t>
      </w:r>
      <w:r w:rsidR="008B3C29">
        <w:t>affected</w:t>
      </w:r>
      <w:r>
        <w:t xml:space="preserve"> by the overpotential losses. This would mean a faradaic efficiency near 100% for this system due to the low current density if not for the volt leakage modeled to meet the validation requirements. Because of the Volt leakage being set to 0.055 V, and the open circuit voltage coming out to around 1.003 volts, the faradaic efficiency rounds to 95% at all tested conditions. </w:t>
      </w:r>
    </w:p>
    <w:p w14:paraId="315788A1" w14:textId="0A16FC92" w:rsidR="00B927C8" w:rsidRPr="001746A8" w:rsidRDefault="00B927C8" w:rsidP="00B927C8">
      <w:r w:rsidRPr="001746A8">
        <w:t xml:space="preserve">Despite these great achievements, PCERs still have their limitations. Thermal efficiency is one of the weakest points of PCERs. The constant heat levels necessary for the ceramics to function as electrolytes usually results in a low thermal efficiency with an expected range of 15-29% </w:t>
      </w:r>
      <w:r w:rsidRPr="001746A8">
        <w:fldChar w:fldCharType="begin"/>
      </w:r>
      <w:r w:rsidR="00CA7A9D">
        <w:instrText xml:space="preserve"> ADDIN ZOTERO_ITEM CSL_CITATION {"citationID":"8n54BR2j","properties":{"formattedCitation":"[129], [130]","plainCitation":"[129], [130]","noteIndex":0},"citationItems":[{"id":64,"uris":["http://zotero.org/users/12063231/items/XQNHULJX"],"itemData":{"id":64,"type":"webpage","abstract":"The Colorado School of Mines is developing a mixed proton and oxygen ion conducting electrolyte that will allow a fuel cell to operate at temperatures less than 500°C. By using a proton and oxygen ion electrolyte, the fuel cell stack is able to reduce coking – which clogs anodes with carbon deposits – and enhance the process of turning hydrocarbon fuels into hydrogen. Today’s ceramic fuel cells are based on oxygen-ion conducting electrolytes and operate at high temperatures. Mines’ advanced mixed proton and oxygen-ion conducting fuel cells will operate on lower temperatures, and have the capacity to run on hydrogen, ethanol, methanol, or methane, representing a drastic improvement over using only oxygen-ion conducting electrolytes. Additionally, the fuel cell will leverage a recently developed ceramic processing technique that decreases fuel cell manufacturing cost and complexity. Additionally, their technology will reduce the number of manufacturing steps from 15 to 3, drastically reducing the cost of distributed generation applications.","container-title":"arpa-e.energy.gov","language":"en","title":"ARPA-E Project | Fuel-Flexible Protonic Ceramic Fuel Cell Stack","URL":"http://arpa-e.energy.gov/technologies/projects/fuel-flexible-protonic-ceramic-fuel-cell-stack","author":[{"family":"O'Hayre","given":"Ryan"}],"accessed":{"date-parts":[["2023",9,13]]}}},{"id":74,"uris":["http://zotero.org/users/12063231/items/D85NDZHJ"],"itemData":{"id":74,"type":"article-journal","abstract":"The technology landscape around distributed generation continues to evolve in response to increasing demand for high-efficiency, low-emission, low-cost power generation. While emerging distributed power technologies, such as solid oxide fuel cells (SOFCs), continue to advance, they still face challenges due to their high capital costs, and shorter lifetimes that typically arise from electrochemical stack performance degradation at high operating temperatures (&gt;750 °C). Recent advancements in protonic ceramic fuel cells (PCFCs) offer the potential to mitigate drawbacks of their higher temperature SOFC counterparts by enabling lower operating temperatures (550 °C–600 °C) with acceptable power densities. The present work leverages the recent progress in protonic ceramic cell and stack technology development to generate viable system configurations and evaluate the energetic performance potential of PCFC-based systems for stationary power generation. Process system engineering of two water-neutral system concepts, which provide 25 kW of electric power and process hot water, are presented and evaluated through sensitivity studies. Stack design parameters are altered and used to gauge the effect on system performance characteristics, including fuel cell stack and balance-of-plant sizing requirements, and electric and cogeneration efficiencies. The study finds that the potentially high per-pass fuel utilization capability of PCFC stacks could enable unprecedented electric efficiencies approaching 70% without hybridization with other prime movers.","container-title":"Energy Conversion and Management","DOI":"10.1016/j.enconman.2021.114763","ISSN":"0196-8904","journalAbbreviation":"Energy Conversion and Management","page":"114763","source":"ScienceDirect","title":"High performance protonic ceramic fuel cell systems for distributed power generation","volume":"248","author":[{"family":"Ferguson","given":"Kyle"},{"family":"Dubois","given":"Alexis"},{"family":"Albrecht","given":"Kevin"},{"family":"Braun","given":"Robert J."}],"issued":{"date-parts":[["2021",11,15]]}}}],"schema":"https://github.com/citation-style-language/schema/raw/master/csl-citation.json"} </w:instrText>
      </w:r>
      <w:r w:rsidRPr="001746A8">
        <w:fldChar w:fldCharType="separate"/>
      </w:r>
      <w:r w:rsidR="00CA7A9D" w:rsidRPr="00CA7A9D">
        <w:rPr>
          <w:rFonts w:ascii="Aptos" w:hAnsi="Aptos"/>
        </w:rPr>
        <w:t>[129], [130]</w:t>
      </w:r>
      <w:r w:rsidRPr="001746A8">
        <w:fldChar w:fldCharType="end"/>
      </w:r>
      <w:r w:rsidRPr="001746A8">
        <w:t xml:space="preserve">. This is actually fairly competitive with solid oxide fuel cells, which operate around 18-35% thermal efficiency </w:t>
      </w:r>
      <w:r w:rsidRPr="001746A8">
        <w:fldChar w:fldCharType="begin"/>
      </w:r>
      <w:r w:rsidR="00CA7A9D">
        <w:instrText xml:space="preserve"> ADDIN ZOTERO_ITEM CSL_CITATION {"citationID":"iCDL8qVW","properties":{"formattedCitation":"[129], [130]","plainCitation":"[129], [130]","noteIndex":0},"citationItems":[{"id":64,"uris":["http://zotero.org/users/12063231/items/XQNHULJX"],"itemData":{"id":64,"type":"webpage","abstract":"The Colorado School of Mines is developing a mixed proton and oxygen ion conducting electrolyte that will allow a fuel cell to operate at temperatures less than 500°C. By using a proton and oxygen ion electrolyte, the fuel cell stack is able to reduce coking – which clogs anodes with carbon deposits – and enhance the process of turning hydrocarbon fuels into hydrogen. Today’s ceramic fuel cells are based on oxygen-ion conducting electrolytes and operate at high temperatures. Mines’ advanced mixed proton and oxygen-ion conducting fuel cells will operate on lower temperatures, and have the capacity to run on hydrogen, ethanol, methanol, or methane, representing a drastic improvement over using only oxygen-ion conducting electrolytes. Additionally, the fuel cell will leverage a recently developed ceramic processing technique that decreases fuel cell manufacturing cost and complexity. Additionally, their technology will reduce the number of manufacturing steps from 15 to 3, drastically reducing the cost of distributed generation applications.","container-title":"arpa-e.energy.gov","language":"en","title":"ARPA-E Project | Fuel-Flexible Protonic Ceramic Fuel Cell Stack","URL":"http://arpa-e.energy.gov/technologies/projects/fuel-flexible-protonic-ceramic-fuel-cell-stack","author":[{"family":"O'Hayre","given":"Ryan"}],"accessed":{"date-parts":[["2023",9,13]]}}},{"id":74,"uris":["http://zotero.org/users/12063231/items/D85NDZHJ"],"itemData":{"id":74,"type":"article-journal","abstract":"The technology landscape around distributed generation continues to evolve in response to increasing demand for high-efficiency, low-emission, low-cost power generation. While emerging distributed power technologies, such as solid oxide fuel cells (SOFCs), continue to advance, they still face challenges due to their high capital costs, and shorter lifetimes that typically arise from electrochemical stack performance degradation at high operating temperatures (&gt;750 °C). Recent advancements in protonic ceramic fuel cells (PCFCs) offer the potential to mitigate drawbacks of their higher temperature SOFC counterparts by enabling lower operating temperatures (550 °C–600 °C) with acceptable power densities. The present work leverages the recent progress in protonic ceramic cell and stack technology development to generate viable system configurations and evaluate the energetic performance potential of PCFC-based systems for stationary power generation. Process system engineering of two water-neutral system concepts, which provide 25 kW of electric power and process hot water, are presented and evaluated through sensitivity studies. Stack design parameters are altered and used to gauge the effect on system performance characteristics, including fuel cell stack and balance-of-plant sizing requirements, and electric and cogeneration efficiencies. The study finds that the potentially high per-pass fuel utilization capability of PCFC stacks could enable unprecedented electric efficiencies approaching 70% without hybridization with other prime movers.","container-title":"Energy Conversion and Management","DOI":"10.1016/j.enconman.2021.114763","ISSN":"0196-8904","journalAbbreviation":"Energy Conversion and Management","page":"114763","source":"ScienceDirect","title":"High performance protonic ceramic fuel cell systems for distributed power generation","volume":"248","author":[{"family":"Ferguson","given":"Kyle"},{"family":"Dubois","given":"Alexis"},{"family":"Albrecht","given":"Kevin"},{"family":"Braun","given":"Robert J."}],"issued":{"date-parts":[["2021",11,15]]}}}],"schema":"https://github.com/citation-style-language/schema/raw/master/csl-citation.json"} </w:instrText>
      </w:r>
      <w:r w:rsidRPr="001746A8">
        <w:fldChar w:fldCharType="separate"/>
      </w:r>
      <w:r w:rsidR="00CA7A9D" w:rsidRPr="00CA7A9D">
        <w:rPr>
          <w:rFonts w:ascii="Aptos" w:hAnsi="Aptos"/>
        </w:rPr>
        <w:t>[129], [130]</w:t>
      </w:r>
      <w:r w:rsidRPr="001746A8">
        <w:fldChar w:fldCharType="end"/>
      </w:r>
      <w:r w:rsidRPr="001746A8">
        <w:t xml:space="preserve">. Depending on the application of the PCER, the low thermal efficiency could provide an opportunity to recover heat for other </w:t>
      </w:r>
      <w:r>
        <w:t xml:space="preserve">energy-intensive </w:t>
      </w:r>
      <w:r w:rsidRPr="001746A8">
        <w:t>processes</w:t>
      </w:r>
      <w:r>
        <w:t>, a tactic which is utilized in the cost analysis herein</w:t>
      </w:r>
      <w:r w:rsidRPr="001746A8">
        <w:t xml:space="preserve">. </w:t>
      </w:r>
    </w:p>
    <w:p w14:paraId="062145C9" w14:textId="364F3707" w:rsidR="00B927C8" w:rsidRPr="001746A8" w:rsidRDefault="00B927C8" w:rsidP="00B927C8">
      <w:r w:rsidRPr="001746A8">
        <w:t xml:space="preserve">In contrast, a standard FTS plant boasts chemical and energy efficiencies of ~76% and 92%, respectively </w:t>
      </w:r>
      <w:r w:rsidRPr="001746A8">
        <w:fldChar w:fldCharType="begin"/>
      </w:r>
      <w:r w:rsidR="00CA7A9D">
        <w:instrText xml:space="preserve"> ADDIN ZOTERO_ITEM CSL_CITATION {"citationID":"1UGwss86","properties":{"formattedCitation":"[118]","plainCitation":"[118]","noteIndex":0},"citationItems":[{"id":77,"uris":["http://zotero.org/users/12063231/items/FCW2VAWW"],"itemData":{"id":77,"type":"article-journal","abstract":"Achieving the global and European climate targets requires a green transformation of the transport sector. Electriﬁcation may become a viable option in light road transportation, but the use of liquid fuels with high energy density will likely prevail in aviation, shipping and heavy-duty mobility. For these applications, electrofuels, produced from electricity and CO2, may be a promising option, especially in countries with high wind and solar energy potentials. In the present case study, the prospects of electrofuels in Denmark are investigated. At ﬁrst, an in-depth analysis of the available raw material and energy resources was conducted. The design of a ﬁrst Power-to-Liquid (PtL) plant was then developed and implemented in Aspen Plus® for a selected site in Denmark. The plant is subsequently analyzed in a techno-economic and ecological assessment. The results indicate that the unexploited Danish wind power potential is theoretically sufﬁcient to entirely cover the expected future demand for alternative fuels through electrofuel production. Greenhouse gas reductions of 95% compared to fossil fuels can be achieved if electricity from renewable power sources is used. However, fuel production costs are signiﬁcantly higher than crude oil market prices, resulting in very high GHG abatement costs compared to other carbon mitigation technologies.","container-title":"Energy","DOI":"10.1016/j.energy.2019.116511","ISSN":"03605442","journalAbbreviation":"Energy","language":"en","page":"116511","source":"DOI.org (Crossref)","title":"Prospects of electrofuels to defossilize transportation in Denmark – A techno-economic and ecological analysis","volume":"192","author":[{"family":"Albrecht","given":"Friedemann Georg"},{"family":"Nguyen","given":"Tuong-Van"}],"issued":{"date-parts":[["2020",2]]}}}],"schema":"https://github.com/citation-style-language/schema/raw/master/csl-citation.json"} </w:instrText>
      </w:r>
      <w:r w:rsidRPr="001746A8">
        <w:fldChar w:fldCharType="separate"/>
      </w:r>
      <w:r w:rsidR="00CA7A9D" w:rsidRPr="00CA7A9D">
        <w:rPr>
          <w:rFonts w:ascii="Aptos" w:hAnsi="Aptos"/>
        </w:rPr>
        <w:t>[118]</w:t>
      </w:r>
      <w:r w:rsidRPr="001746A8">
        <w:fldChar w:fldCharType="end"/>
      </w:r>
      <w:r w:rsidRPr="001746A8">
        <w:t xml:space="preserve">. PCER technology is not likely to ever reach 92% thermal efficiency by itself, which is why system-level integration analyses </w:t>
      </w:r>
      <w:r w:rsidR="008B3C29">
        <w:t>are</w:t>
      </w:r>
      <w:r w:rsidRPr="001746A8">
        <w:t xml:space="preserve"> critical for PCERs to compete with FTS technology on this front. </w:t>
      </w:r>
    </w:p>
    <w:p w14:paraId="457ED376" w14:textId="77777777" w:rsidR="00B927C8" w:rsidRPr="001746A8" w:rsidRDefault="00B927C8" w:rsidP="00B927C8">
      <w:pPr>
        <w:pStyle w:val="Heading2"/>
      </w:pPr>
      <w:bookmarkStart w:id="173" w:name="_Toc149143180"/>
      <w:bookmarkStart w:id="174" w:name="_Toc165641104"/>
      <w:r>
        <w:t xml:space="preserve">5.3 </w:t>
      </w:r>
      <w:r w:rsidRPr="001746A8">
        <w:t>Cost analysis of the protonic ceramic modular reactor technology</w:t>
      </w:r>
      <w:bookmarkEnd w:id="173"/>
      <w:bookmarkEnd w:id="174"/>
    </w:p>
    <w:p w14:paraId="2D832C7C" w14:textId="77777777" w:rsidR="00B927C8" w:rsidRDefault="00B927C8" w:rsidP="00B927C8">
      <w:pPr>
        <w:pStyle w:val="Heading3"/>
      </w:pPr>
      <w:bookmarkStart w:id="175" w:name="_Toc165641105"/>
      <w:r>
        <w:t>5.3.1 Estimating the MDA PCFC manufacturing cost</w:t>
      </w:r>
      <w:bookmarkEnd w:id="175"/>
    </w:p>
    <w:p w14:paraId="1C4E69FD" w14:textId="5BFCC44F" w:rsidR="00B927C8" w:rsidRPr="006758FF" w:rsidRDefault="00B927C8" w:rsidP="00B927C8">
      <w:r w:rsidRPr="001746A8">
        <w:t>In contrast with FTS and natural gas power plants, PC</w:t>
      </w:r>
      <w:r>
        <w:t>FC</w:t>
      </w:r>
      <w:r w:rsidRPr="001746A8">
        <w:t>s are a much less proven technology, with a significantly wider margin of error regard</w:t>
      </w:r>
      <w:r>
        <w:t>ing</w:t>
      </w:r>
      <w:r w:rsidRPr="001746A8">
        <w:t xml:space="preserve"> cost analys</w:t>
      </w:r>
      <w:r>
        <w:t>i</w:t>
      </w:r>
      <w:r w:rsidRPr="001746A8">
        <w:t xml:space="preserve">s. PCECs designed for chemical production outside of hydrogen have not received significant attention regarding techno-economic analyses. However, PCFCs have had several attempts for various applications, and they are commonly measured in price per kW </w:t>
      </w:r>
      <w:proofErr w:type="gramStart"/>
      <w:r w:rsidRPr="001746A8">
        <w:t>similar to</w:t>
      </w:r>
      <w:proofErr w:type="gramEnd"/>
      <w:r w:rsidRPr="001746A8">
        <w:t xml:space="preserve"> other power systems. The most versatile, and widely accepted techno-economic analysis</w:t>
      </w:r>
      <w:r w:rsidR="00E55C60">
        <w:t xml:space="preserve"> to date</w:t>
      </w:r>
      <w:r w:rsidRPr="001746A8">
        <w:t xml:space="preserve"> was performed by Dubois et al. in 2017. The cell used for analysis had the characteristics shown in </w:t>
      </w:r>
      <w:r>
        <w:fldChar w:fldCharType="begin"/>
      </w:r>
      <w:r>
        <w:instrText xml:space="preserve"> REF _Ref164765864 \h </w:instrText>
      </w:r>
      <w:r>
        <w:fldChar w:fldCharType="separate"/>
      </w:r>
      <w:r>
        <w:t>Table 5.</w:t>
      </w:r>
      <w:r>
        <w:rPr>
          <w:noProof/>
        </w:rPr>
        <w:t>4</w:t>
      </w:r>
      <w:r>
        <w:fldChar w:fldCharType="end"/>
      </w:r>
      <w:r>
        <w:t xml:space="preserve"> </w:t>
      </w:r>
      <w:r w:rsidRPr="001746A8">
        <w:fldChar w:fldCharType="begin"/>
      </w:r>
      <w:r w:rsidR="00CA7A9D">
        <w:instrText xml:space="preserve"> ADDIN ZOTERO_ITEM CSL_CITATION {"citationID":"9PBKQBRO","properties":{"formattedCitation":"[20]","plainCitation":"[20]","noteIndex":0},"citationItems":[{"id":83,"uris":["http://zotero.org/users/12063231/items/NHNHNLC2"],"itemData":{"id":83,"type":"article-journal","abstract":"Recent progress in the performance of intermediate temperature (500–600 °C) protonic ceramic fuel cells (PCFCs) has demonstrated both fuel flexibility and increasing power density that approach commercial application requirements. These developments may eventually position the technology as a viable alternative to solid oxide fuel cells (SOFCs) and molten carbonate fuel cells (MCFCs). The PCFCs investigated in this work are based on a BaZr0.8Y0.2O3-δ (BZY20) thin electrolyte supported by BZY20/Ni porous anodes, and a triple conducting cathode material comprised of BaCo0.4Fe0.4Zr0.1Y0.1O3-δ (BCFZY0.1). These cells are prepared using a low-cost solid-state reactive sintering (SSRS) process, and are capable of power densities of 0.156 W cm−2 at 500 °C operating directly from methane fuel. We develop a manufacturing cost model to estimate the Nth generation production costs of PCFC stack technology using high volume manufacturing processes and compare them to the state-of-the-art in SOFC technology. The low-cost cell manufacturing enabled by the SSRS technique compensates for the lower PCFC power density and the trade-off between operating temperature and efficiency enables the use of lower-cost stainless steel materials. PCFC stack production cost estimates are found to be as much as 27–37% lower at 550 °C than SOFCs operating at 800 °C.","container-title":"Journal of Power Sources","DOI":"10.1016/j.jpowsour.2017.09.024","ISSN":"0378-7753","journalAbbreviation":"Journal of Power Sources","page":"65-77","source":"ScienceDirect","title":"Benchmarking the expected stack manufacturing cost of next generation, intermediate-temperature protonic ceramic fuel cells with solid oxide fuel cell technology","volume":"369","author":[{"family":"Dubois","given":"Alexis"},{"family":"Ricote","given":"Sandrine"},{"family":"Braun","given":"Robert J."}],"issued":{"date-parts":[["2017",11,30]]}}}],"schema":"https://github.com/citation-style-language/schema/raw/master/csl-citation.json"} </w:instrText>
      </w:r>
      <w:r w:rsidRPr="001746A8">
        <w:fldChar w:fldCharType="separate"/>
      </w:r>
      <w:r w:rsidR="00CA7A9D" w:rsidRPr="00CA7A9D">
        <w:rPr>
          <w:rFonts w:ascii="Aptos" w:hAnsi="Aptos"/>
        </w:rPr>
        <w:t>[20]</w:t>
      </w:r>
      <w:r w:rsidRPr="001746A8">
        <w:fldChar w:fldCharType="end"/>
      </w:r>
      <w:r w:rsidRPr="001746A8">
        <w:t>:</w:t>
      </w:r>
      <w:r w:rsidRPr="001746A8">
        <w:rPr>
          <w:i/>
          <w:iCs/>
        </w:rPr>
        <w:t xml:space="preserve"> </w:t>
      </w:r>
    </w:p>
    <w:p w14:paraId="0744D9B1" w14:textId="77777777" w:rsidR="00B927C8" w:rsidRDefault="00B927C8" w:rsidP="00B927C8">
      <w:pPr>
        <w:pStyle w:val="Caption"/>
        <w:keepNext/>
      </w:pPr>
      <w:bookmarkStart w:id="176" w:name="_Ref164765864"/>
      <w:bookmarkStart w:id="177" w:name="_Toc165641123"/>
      <w:r>
        <w:t>Table 5.</w:t>
      </w:r>
      <w:r>
        <w:fldChar w:fldCharType="begin"/>
      </w:r>
      <w:r>
        <w:instrText xml:space="preserve"> SEQ Table \* ARABIC </w:instrText>
      </w:r>
      <w:r>
        <w:fldChar w:fldCharType="separate"/>
      </w:r>
      <w:r>
        <w:rPr>
          <w:noProof/>
        </w:rPr>
        <w:t>4</w:t>
      </w:r>
      <w:r>
        <w:fldChar w:fldCharType="end"/>
      </w:r>
      <w:bookmarkEnd w:id="176"/>
      <w:r>
        <w:t xml:space="preserve">: </w:t>
      </w:r>
      <w:r w:rsidRPr="00C90BDA">
        <w:t>Sample cell for Dubois cost analysis</w:t>
      </w:r>
      <w:bookmarkEnd w:id="177"/>
    </w:p>
    <w:tbl>
      <w:tblPr>
        <w:tblStyle w:val="TableGrid"/>
        <w:tblW w:w="0" w:type="auto"/>
        <w:jc w:val="center"/>
        <w:tblLook w:val="04A0" w:firstRow="1" w:lastRow="0" w:firstColumn="1" w:lastColumn="0" w:noHBand="0" w:noVBand="1"/>
      </w:tblPr>
      <w:tblGrid>
        <w:gridCol w:w="1733"/>
        <w:gridCol w:w="3752"/>
      </w:tblGrid>
      <w:tr w:rsidR="00B927C8" w:rsidRPr="00FA0D99" w14:paraId="4D49E68F" w14:textId="77777777" w:rsidTr="00C77590">
        <w:trPr>
          <w:trHeight w:val="899"/>
          <w:jc w:val="center"/>
        </w:trPr>
        <w:tc>
          <w:tcPr>
            <w:tcW w:w="1733" w:type="dxa"/>
            <w:noWrap/>
            <w:hideMark/>
          </w:tcPr>
          <w:p w14:paraId="7760196A" w14:textId="77777777" w:rsidR="00B927C8" w:rsidRPr="00FA0D99" w:rsidRDefault="00B927C8" w:rsidP="00C77590">
            <w:pPr>
              <w:spacing w:line="240" w:lineRule="auto"/>
              <w:ind w:firstLine="0"/>
              <w:rPr>
                <w:rFonts w:eastAsia="Calibri" w:cs="Times New Roman"/>
              </w:rPr>
            </w:pPr>
            <w:r w:rsidRPr="00FA0D99">
              <w:rPr>
                <w:rFonts w:eastAsia="Calibri" w:cs="Times New Roman"/>
              </w:rPr>
              <w:t>Cell Composition</w:t>
            </w:r>
          </w:p>
        </w:tc>
        <w:tc>
          <w:tcPr>
            <w:tcW w:w="3752" w:type="dxa"/>
            <w:vAlign w:val="center"/>
            <w:hideMark/>
          </w:tcPr>
          <w:p w14:paraId="3CBBE79A" w14:textId="77777777" w:rsidR="00B927C8" w:rsidRPr="00FA0D99" w:rsidRDefault="00B927C8" w:rsidP="00C77590">
            <w:pPr>
              <w:spacing w:line="259" w:lineRule="auto"/>
              <w:ind w:firstLine="0"/>
              <w:rPr>
                <w:rFonts w:eastAsia="Calibri" w:cs="Times New Roman"/>
              </w:rPr>
            </w:pPr>
            <w:r w:rsidRPr="00FA0D99">
              <w:rPr>
                <w:rFonts w:eastAsia="Calibri" w:cs="Times New Roman"/>
              </w:rPr>
              <w:t>Anode: Ni(60%)/BaZr</w:t>
            </w:r>
            <w:r w:rsidRPr="00FA0D99">
              <w:rPr>
                <w:rFonts w:eastAsia="Calibri" w:cs="Times New Roman"/>
                <w:vertAlign w:val="subscript"/>
              </w:rPr>
              <w:t>0.8</w:t>
            </w:r>
            <w:r w:rsidRPr="00FA0D99">
              <w:rPr>
                <w:rFonts w:eastAsia="Calibri" w:cs="Times New Roman"/>
              </w:rPr>
              <w:t>Y</w:t>
            </w:r>
            <w:r w:rsidRPr="00FA0D99">
              <w:rPr>
                <w:rFonts w:eastAsia="Calibri" w:cs="Times New Roman"/>
                <w:vertAlign w:val="subscript"/>
              </w:rPr>
              <w:t>0.2</w:t>
            </w:r>
            <w:r w:rsidRPr="00FA0D99">
              <w:rPr>
                <w:rFonts w:eastAsia="Calibri" w:cs="Times New Roman"/>
              </w:rPr>
              <w:t>O</w:t>
            </w:r>
            <w:r w:rsidRPr="00FA0D99">
              <w:rPr>
                <w:rFonts w:eastAsia="Calibri" w:cs="Times New Roman"/>
                <w:vertAlign w:val="subscript"/>
              </w:rPr>
              <w:t>3-</w:t>
            </w:r>
            <w:proofErr w:type="gramStart"/>
            <w:r w:rsidRPr="00FA0D99">
              <w:rPr>
                <w:rFonts w:eastAsia="Calibri" w:cs="Times New Roman"/>
                <w:vertAlign w:val="subscript"/>
              </w:rPr>
              <w:t>d</w:t>
            </w:r>
            <w:r w:rsidRPr="00FA0D99">
              <w:rPr>
                <w:rFonts w:eastAsia="Calibri" w:cs="Times New Roman"/>
              </w:rPr>
              <w:t>(</w:t>
            </w:r>
            <w:proofErr w:type="gramEnd"/>
            <w:r w:rsidRPr="00FA0D99">
              <w:rPr>
                <w:rFonts w:eastAsia="Calibri" w:cs="Times New Roman"/>
              </w:rPr>
              <w:t xml:space="preserve">40%), </w:t>
            </w:r>
          </w:p>
          <w:p w14:paraId="0FB0CE99" w14:textId="77777777" w:rsidR="00B927C8" w:rsidRPr="00FA0D99" w:rsidRDefault="00B927C8" w:rsidP="00C77590">
            <w:pPr>
              <w:spacing w:line="259" w:lineRule="auto"/>
              <w:ind w:firstLine="0"/>
              <w:rPr>
                <w:rFonts w:eastAsia="Calibri" w:cs="Times New Roman"/>
              </w:rPr>
            </w:pPr>
            <w:r w:rsidRPr="00FA0D99">
              <w:rPr>
                <w:rFonts w:eastAsia="Calibri" w:cs="Times New Roman"/>
              </w:rPr>
              <w:t>Electrolyte: BaZr</w:t>
            </w:r>
            <w:r w:rsidRPr="00FA0D99">
              <w:rPr>
                <w:rFonts w:eastAsia="Calibri" w:cs="Times New Roman"/>
                <w:vertAlign w:val="subscript"/>
              </w:rPr>
              <w:t>0.8</w:t>
            </w:r>
            <w:r w:rsidRPr="00FA0D99">
              <w:rPr>
                <w:rFonts w:eastAsia="Calibri" w:cs="Times New Roman"/>
              </w:rPr>
              <w:t>Y</w:t>
            </w:r>
            <w:r w:rsidRPr="00FA0D99">
              <w:rPr>
                <w:rFonts w:eastAsia="Calibri" w:cs="Times New Roman"/>
                <w:vertAlign w:val="subscript"/>
              </w:rPr>
              <w:t>0.2</w:t>
            </w:r>
            <w:r w:rsidRPr="00FA0D99">
              <w:rPr>
                <w:rFonts w:eastAsia="Calibri" w:cs="Times New Roman"/>
              </w:rPr>
              <w:t>O</w:t>
            </w:r>
            <w:r w:rsidRPr="00FA0D99">
              <w:rPr>
                <w:rFonts w:eastAsia="Calibri" w:cs="Times New Roman"/>
                <w:vertAlign w:val="subscript"/>
              </w:rPr>
              <w:t>3-d</w:t>
            </w:r>
            <w:r w:rsidRPr="00FA0D99">
              <w:rPr>
                <w:rFonts w:eastAsia="Calibri" w:cs="Times New Roman"/>
              </w:rPr>
              <w:t xml:space="preserve">, </w:t>
            </w:r>
          </w:p>
          <w:p w14:paraId="0CF27A48" w14:textId="77777777" w:rsidR="00B927C8" w:rsidRPr="00FA0D99" w:rsidRDefault="00B927C8" w:rsidP="00C77590">
            <w:pPr>
              <w:spacing w:line="240" w:lineRule="auto"/>
              <w:ind w:firstLine="0"/>
              <w:rPr>
                <w:rFonts w:eastAsia="Calibri" w:cs="Times New Roman"/>
              </w:rPr>
            </w:pPr>
            <w:r w:rsidRPr="00FA0D99">
              <w:rPr>
                <w:rFonts w:eastAsia="Calibri" w:cs="Times New Roman"/>
              </w:rPr>
              <w:t>Cathode: BaCo</w:t>
            </w:r>
            <w:r w:rsidRPr="00FA0D99">
              <w:rPr>
                <w:rFonts w:eastAsia="Calibri" w:cs="Times New Roman"/>
                <w:vertAlign w:val="subscript"/>
              </w:rPr>
              <w:t>0.4</w:t>
            </w:r>
            <w:r w:rsidRPr="00FA0D99">
              <w:rPr>
                <w:rFonts w:eastAsia="Calibri" w:cs="Times New Roman"/>
              </w:rPr>
              <w:t>Fe</w:t>
            </w:r>
            <w:r w:rsidRPr="00FA0D99">
              <w:rPr>
                <w:rFonts w:eastAsia="Calibri" w:cs="Times New Roman"/>
                <w:vertAlign w:val="subscript"/>
              </w:rPr>
              <w:t>0.4</w:t>
            </w:r>
            <w:r w:rsidRPr="00FA0D99">
              <w:rPr>
                <w:rFonts w:eastAsia="Calibri" w:cs="Times New Roman"/>
              </w:rPr>
              <w:t>Zr</w:t>
            </w:r>
            <w:r w:rsidRPr="00FA0D99">
              <w:rPr>
                <w:rFonts w:eastAsia="Calibri" w:cs="Times New Roman"/>
                <w:vertAlign w:val="subscript"/>
              </w:rPr>
              <w:t>0.1</w:t>
            </w:r>
            <w:r w:rsidRPr="00FA0D99">
              <w:rPr>
                <w:rFonts w:eastAsia="Calibri" w:cs="Times New Roman"/>
              </w:rPr>
              <w:t>Y</w:t>
            </w:r>
            <w:r w:rsidRPr="00FA0D99">
              <w:rPr>
                <w:rFonts w:eastAsia="Calibri" w:cs="Times New Roman"/>
                <w:vertAlign w:val="subscript"/>
              </w:rPr>
              <w:t>0.1</w:t>
            </w:r>
            <w:r w:rsidRPr="00FA0D99">
              <w:rPr>
                <w:rFonts w:eastAsia="Calibri" w:cs="Times New Roman"/>
              </w:rPr>
              <w:t>O</w:t>
            </w:r>
            <w:r w:rsidRPr="00FA0D99">
              <w:rPr>
                <w:rFonts w:eastAsia="Calibri" w:cs="Times New Roman"/>
                <w:vertAlign w:val="subscript"/>
              </w:rPr>
              <w:t>3-d</w:t>
            </w:r>
          </w:p>
        </w:tc>
      </w:tr>
      <w:tr w:rsidR="00B927C8" w:rsidRPr="00FA0D99" w14:paraId="2E92B7D0" w14:textId="77777777" w:rsidTr="00C77590">
        <w:trPr>
          <w:trHeight w:val="288"/>
          <w:jc w:val="center"/>
        </w:trPr>
        <w:tc>
          <w:tcPr>
            <w:tcW w:w="1733" w:type="dxa"/>
            <w:noWrap/>
            <w:hideMark/>
          </w:tcPr>
          <w:p w14:paraId="271EE3F4" w14:textId="77777777" w:rsidR="00B927C8" w:rsidRPr="00FA0D99" w:rsidRDefault="00B927C8" w:rsidP="00C77590">
            <w:pPr>
              <w:spacing w:line="240" w:lineRule="auto"/>
              <w:ind w:firstLine="0"/>
              <w:rPr>
                <w:rFonts w:eastAsia="Calibri" w:cs="Times New Roman"/>
              </w:rPr>
            </w:pPr>
            <w:r w:rsidRPr="00FA0D99">
              <w:rPr>
                <w:rFonts w:eastAsia="Calibri" w:cs="Times New Roman"/>
              </w:rPr>
              <w:t>Layer thickness</w:t>
            </w:r>
          </w:p>
        </w:tc>
        <w:tc>
          <w:tcPr>
            <w:tcW w:w="3752" w:type="dxa"/>
            <w:noWrap/>
            <w:vAlign w:val="center"/>
            <w:hideMark/>
          </w:tcPr>
          <w:p w14:paraId="671BBF9C" w14:textId="330A6BF9" w:rsidR="00B927C8" w:rsidRPr="00FA0D99" w:rsidRDefault="00B927C8" w:rsidP="00C77590">
            <w:pPr>
              <w:spacing w:line="240" w:lineRule="auto"/>
              <w:ind w:firstLine="0"/>
              <w:rPr>
                <w:rFonts w:eastAsia="Calibri" w:cs="Times New Roman"/>
              </w:rPr>
            </w:pPr>
            <w:r w:rsidRPr="00FA0D99">
              <w:rPr>
                <w:rFonts w:eastAsia="Calibri" w:cs="Times New Roman"/>
              </w:rPr>
              <w:t>A: 500</w:t>
            </w:r>
            <w:r w:rsidR="00127742">
              <w:rPr>
                <w:rFonts w:ascii="Cambria Math" w:eastAsia="Calibri" w:hAnsi="Cambria Math" w:cs="Times New Roman"/>
                <w:i/>
              </w:rPr>
              <w:t xml:space="preserve"> </w:t>
            </w:r>
            <m:oMath>
              <m:r>
                <w:rPr>
                  <w:rFonts w:ascii="Cambria Math" w:eastAsia="Calibri" w:hAnsi="Cambria Math" w:cs="Times New Roman"/>
                </w:rPr>
                <m:t>μm</m:t>
              </m:r>
            </m:oMath>
            <w:r w:rsidRPr="00FA0D99">
              <w:rPr>
                <w:rFonts w:eastAsia="Calibri" w:cs="Times New Roman"/>
              </w:rPr>
              <w:t>, E: 20</w:t>
            </w:r>
            <w:r w:rsidR="00127742">
              <w:rPr>
                <w:rFonts w:eastAsia="Calibri" w:cs="Times New Roman"/>
              </w:rPr>
              <w:t xml:space="preserve"> </w:t>
            </w:r>
            <m:oMath>
              <m:r>
                <w:rPr>
                  <w:rFonts w:ascii="Cambria Math" w:eastAsia="Calibri" w:hAnsi="Cambria Math" w:cs="Times New Roman"/>
                </w:rPr>
                <m:t>μm</m:t>
              </m:r>
            </m:oMath>
            <w:r w:rsidRPr="00FA0D99">
              <w:rPr>
                <w:rFonts w:eastAsia="Calibri" w:cs="Times New Roman"/>
              </w:rPr>
              <w:t>, C: 40</w:t>
            </w:r>
            <w:r w:rsidR="00127742">
              <w:rPr>
                <w:rFonts w:eastAsia="Calibri" w:cs="Times New Roman"/>
              </w:rPr>
              <w:t xml:space="preserve"> </w:t>
            </w:r>
            <m:oMath>
              <m:r>
                <w:rPr>
                  <w:rFonts w:ascii="Cambria Math" w:eastAsia="Calibri" w:hAnsi="Cambria Math" w:cs="Times New Roman"/>
                </w:rPr>
                <m:t>μm</m:t>
              </m:r>
            </m:oMath>
          </w:p>
        </w:tc>
      </w:tr>
      <w:tr w:rsidR="00B927C8" w:rsidRPr="00FA0D99" w14:paraId="46B39E54" w14:textId="77777777" w:rsidTr="00C77590">
        <w:trPr>
          <w:trHeight w:val="288"/>
          <w:jc w:val="center"/>
        </w:trPr>
        <w:tc>
          <w:tcPr>
            <w:tcW w:w="1733" w:type="dxa"/>
            <w:noWrap/>
          </w:tcPr>
          <w:p w14:paraId="4DA26EDE" w14:textId="77777777" w:rsidR="00B927C8" w:rsidRPr="00FA0D99" w:rsidRDefault="00B927C8" w:rsidP="00C77590">
            <w:pPr>
              <w:spacing w:line="240" w:lineRule="auto"/>
              <w:ind w:firstLine="0"/>
              <w:rPr>
                <w:rFonts w:eastAsia="Calibri" w:cs="Times New Roman"/>
              </w:rPr>
            </w:pPr>
            <w:r w:rsidRPr="00FA0D99">
              <w:rPr>
                <w:rFonts w:eastAsia="Calibri" w:cs="Times New Roman"/>
              </w:rPr>
              <w:t>Power Density</w:t>
            </w:r>
          </w:p>
        </w:tc>
        <w:tc>
          <w:tcPr>
            <w:tcW w:w="3752" w:type="dxa"/>
            <w:noWrap/>
            <w:vAlign w:val="center"/>
          </w:tcPr>
          <w:p w14:paraId="6B841F5A" w14:textId="77777777" w:rsidR="00B927C8" w:rsidRPr="00FA0D99" w:rsidRDefault="00B927C8" w:rsidP="00C77590">
            <w:pPr>
              <w:spacing w:line="240" w:lineRule="auto"/>
              <w:ind w:firstLine="0"/>
              <w:rPr>
                <w:rFonts w:eastAsia="Calibri" w:cs="Times New Roman"/>
              </w:rPr>
            </w:pPr>
            <w:r w:rsidRPr="00FA0D99">
              <w:rPr>
                <w:rFonts w:eastAsia="Calibri" w:cs="Times New Roman"/>
              </w:rPr>
              <w:t xml:space="preserve">.156 </w:t>
            </w:r>
            <m:oMath>
              <m:r>
                <w:rPr>
                  <w:rFonts w:ascii="Cambria Math" w:eastAsia="Calibri" w:hAnsi="Cambria Math" w:cs="Times New Roman"/>
                </w:rPr>
                <m:t>W/c</m:t>
              </m:r>
              <m:sSup>
                <m:sSupPr>
                  <m:ctrlPr>
                    <w:rPr>
                      <w:rFonts w:ascii="Cambria Math" w:eastAsia="Calibri" w:hAnsi="Cambria Math" w:cs="Times New Roman"/>
                      <w:i/>
                    </w:rPr>
                  </m:ctrlPr>
                </m:sSupPr>
                <m:e>
                  <m:r>
                    <w:rPr>
                      <w:rFonts w:ascii="Cambria Math" w:eastAsia="Calibri" w:hAnsi="Cambria Math" w:cs="Times New Roman"/>
                    </w:rPr>
                    <m:t>m</m:t>
                  </m:r>
                </m:e>
                <m:sup>
                  <m:r>
                    <w:rPr>
                      <w:rFonts w:ascii="Cambria Math" w:eastAsia="Calibri" w:hAnsi="Cambria Math" w:cs="Times New Roman"/>
                    </w:rPr>
                    <m:t>2</m:t>
                  </m:r>
                </m:sup>
              </m:sSup>
            </m:oMath>
          </w:p>
        </w:tc>
      </w:tr>
      <w:tr w:rsidR="00B927C8" w:rsidRPr="00FA0D99" w14:paraId="40E7BA4B" w14:textId="77777777" w:rsidTr="00C77590">
        <w:trPr>
          <w:trHeight w:val="539"/>
          <w:jc w:val="center"/>
        </w:trPr>
        <w:tc>
          <w:tcPr>
            <w:tcW w:w="1733" w:type="dxa"/>
            <w:noWrap/>
            <w:vAlign w:val="center"/>
            <w:hideMark/>
          </w:tcPr>
          <w:p w14:paraId="73CDE63D" w14:textId="77777777" w:rsidR="00B927C8" w:rsidRPr="00FA0D99" w:rsidRDefault="00B927C8" w:rsidP="00C77590">
            <w:pPr>
              <w:spacing w:line="240" w:lineRule="auto"/>
              <w:ind w:firstLine="0"/>
              <w:rPr>
                <w:rFonts w:eastAsia="Calibri" w:cs="Times New Roman"/>
              </w:rPr>
            </w:pPr>
            <w:r w:rsidRPr="00FA0D99">
              <w:rPr>
                <w:rFonts w:eastAsia="Calibri" w:cs="Times New Roman"/>
              </w:rPr>
              <w:t>Power Output</w:t>
            </w:r>
          </w:p>
        </w:tc>
        <w:tc>
          <w:tcPr>
            <w:tcW w:w="3752" w:type="dxa"/>
            <w:noWrap/>
            <w:vAlign w:val="center"/>
            <w:hideMark/>
          </w:tcPr>
          <w:p w14:paraId="3D069750" w14:textId="77777777" w:rsidR="00B927C8" w:rsidRPr="00FA0D99" w:rsidRDefault="00B927C8" w:rsidP="00C77590">
            <w:pPr>
              <w:spacing w:line="240" w:lineRule="auto"/>
              <w:ind w:firstLine="0"/>
              <w:rPr>
                <w:rFonts w:eastAsia="Calibri" w:cs="Times New Roman"/>
              </w:rPr>
            </w:pPr>
            <w:r w:rsidRPr="00FA0D99">
              <w:rPr>
                <w:rFonts w:eastAsia="Calibri" w:cs="Times New Roman"/>
              </w:rPr>
              <w:t>5kW</w:t>
            </w:r>
          </w:p>
        </w:tc>
      </w:tr>
      <w:tr w:rsidR="00B927C8" w:rsidRPr="00FA0D99" w14:paraId="047843D3" w14:textId="77777777" w:rsidTr="00C77590">
        <w:trPr>
          <w:trHeight w:val="539"/>
          <w:jc w:val="center"/>
        </w:trPr>
        <w:tc>
          <w:tcPr>
            <w:tcW w:w="1733" w:type="dxa"/>
            <w:noWrap/>
            <w:vAlign w:val="center"/>
          </w:tcPr>
          <w:p w14:paraId="14E2AE1C" w14:textId="77777777" w:rsidR="00B927C8" w:rsidRPr="00FA0D99" w:rsidRDefault="00B927C8" w:rsidP="00C77590">
            <w:pPr>
              <w:spacing w:line="240" w:lineRule="auto"/>
              <w:ind w:firstLine="0"/>
              <w:rPr>
                <w:rFonts w:eastAsia="Calibri" w:cs="Times New Roman"/>
              </w:rPr>
            </w:pPr>
            <w:r>
              <w:rPr>
                <w:rFonts w:eastAsia="Calibri" w:cs="Times New Roman"/>
              </w:rPr>
              <w:t>Active Area</w:t>
            </w:r>
          </w:p>
        </w:tc>
        <w:tc>
          <w:tcPr>
            <w:tcW w:w="3752" w:type="dxa"/>
            <w:noWrap/>
            <w:vAlign w:val="center"/>
          </w:tcPr>
          <w:p w14:paraId="573E1A00" w14:textId="77777777" w:rsidR="00B927C8" w:rsidRPr="00FA0D99" w:rsidRDefault="00B927C8" w:rsidP="00C77590">
            <w:pPr>
              <w:spacing w:line="240" w:lineRule="auto"/>
              <w:ind w:firstLine="0"/>
              <w:rPr>
                <w:rFonts w:eastAsia="Calibri" w:cs="Times New Roman"/>
              </w:rPr>
            </w:pPr>
            <w:r>
              <w:rPr>
                <w:rFonts w:eastAsia="Calibri" w:cs="Times New Roman"/>
              </w:rPr>
              <w:t xml:space="preserve">~3.2 </w:t>
            </w:r>
            <m:oMath>
              <m:sSup>
                <m:sSupPr>
                  <m:ctrlPr>
                    <w:rPr>
                      <w:rFonts w:ascii="Cambria Math" w:eastAsia="Calibri" w:hAnsi="Cambria Math" w:cs="Times New Roman"/>
                      <w:i/>
                    </w:rPr>
                  </m:ctrlPr>
                </m:sSupPr>
                <m:e>
                  <m:r>
                    <w:rPr>
                      <w:rFonts w:ascii="Cambria Math" w:eastAsia="Calibri" w:hAnsi="Cambria Math" w:cs="Times New Roman"/>
                    </w:rPr>
                    <m:t>m</m:t>
                  </m:r>
                </m:e>
                <m:sup>
                  <m:r>
                    <w:rPr>
                      <w:rFonts w:ascii="Cambria Math" w:eastAsia="Calibri" w:hAnsi="Cambria Math" w:cs="Times New Roman"/>
                    </w:rPr>
                    <m:t>2</m:t>
                  </m:r>
                </m:sup>
              </m:sSup>
            </m:oMath>
          </w:p>
        </w:tc>
      </w:tr>
    </w:tbl>
    <w:p w14:paraId="14CEB69E" w14:textId="77777777" w:rsidR="00B927C8" w:rsidRDefault="00B927C8" w:rsidP="00B927C8"/>
    <w:p w14:paraId="59409161" w14:textId="2664BFA7" w:rsidR="00B927C8" w:rsidRPr="001746A8" w:rsidRDefault="00B927C8" w:rsidP="00B927C8">
      <w:r w:rsidRPr="001746A8">
        <w:t xml:space="preserve">Almost every cell configuration is unique amongst PCFC studies, but this serves as an adequate baseline from which further assessment can be made. The result of Dubois’ analysis regarding the PCFC unit is organized in </w:t>
      </w:r>
      <w:r>
        <w:fldChar w:fldCharType="begin"/>
      </w:r>
      <w:r>
        <w:instrText xml:space="preserve"> REF _Ref164649818 \h </w:instrText>
      </w:r>
      <w:r>
        <w:fldChar w:fldCharType="separate"/>
      </w:r>
      <w:r w:rsidR="00CF0AAF" w:rsidRPr="00CF0AAF">
        <w:t>Table 5.5</w:t>
      </w:r>
      <w:r>
        <w:fldChar w:fldCharType="end"/>
      </w:r>
      <w:r>
        <w:t>.</w:t>
      </w:r>
    </w:p>
    <w:p w14:paraId="1D16291B" w14:textId="3986F543" w:rsidR="00B927C8" w:rsidRPr="00CF0AAF" w:rsidRDefault="00B927C8" w:rsidP="00CF0AAF">
      <w:pPr>
        <w:pStyle w:val="Caption"/>
      </w:pPr>
      <w:bookmarkStart w:id="178" w:name="_Ref164649818"/>
      <w:bookmarkStart w:id="179" w:name="_Toc165641124"/>
      <w:r w:rsidRPr="00CF0AAF">
        <w:t>Table 5.</w:t>
      </w:r>
      <w:r w:rsidRPr="00CF0AAF">
        <w:fldChar w:fldCharType="begin"/>
      </w:r>
      <w:r w:rsidRPr="00CF0AAF">
        <w:instrText xml:space="preserve"> SEQ Table \* ARABIC </w:instrText>
      </w:r>
      <w:r w:rsidRPr="00CF0AAF">
        <w:fldChar w:fldCharType="separate"/>
      </w:r>
      <w:r w:rsidRPr="00CF0AAF">
        <w:t>5</w:t>
      </w:r>
      <w:r w:rsidRPr="00CF0AAF">
        <w:fldChar w:fldCharType="end"/>
      </w:r>
      <w:bookmarkEnd w:id="178"/>
      <w:r w:rsidRPr="00CF0AAF">
        <w:t xml:space="preserve">: Specific PCFC manufacturing costs in $/kW assuming a power density of .156 </w:t>
      </w:r>
      <m:oMath>
        <m:r>
          <w:rPr>
            <w:rFonts w:ascii="Cambria Math" w:hAnsi="Cambria Math"/>
          </w:rPr>
          <m:t>W</m:t>
        </m:r>
        <m:r>
          <m:rPr>
            <m:sty m:val="p"/>
          </m:rPr>
          <w:rPr>
            <w:rFonts w:ascii="Cambria Math" w:hAnsi="Cambria Math"/>
          </w:rPr>
          <m:t>/</m:t>
        </m:r>
        <m:r>
          <w:rPr>
            <w:rFonts w:ascii="Cambria Math" w:hAnsi="Cambria Math"/>
          </w:rPr>
          <m:t>c</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w:fldChar w:fldCharType="begin"/>
        </m:r>
        <m:r>
          <m:rPr>
            <m:sty m:val="p"/>
          </m:rPr>
          <w:rPr>
            <w:rFonts w:ascii="Cambria Math" w:hAnsi="Cambria Math"/>
          </w:rPr>
          <m:t xml:space="preserve"> ADDIN ZOTERO_ITEM CSL_CITATION {"citationID":"amnr5r18s8","properties":{"formattedCitation":"[20]","plainCitation":"[20]","noteIndex":0},"citationItems":[{"id":83,"uris":["http://zotero.org/users/12063231/items/NHNHNLC2"],"itemData":{"id":83,"type":"article-journal","abstract":"Recent progress in the performance of intermediate temperature (500–600 °C) protonic ceramic fuel cells (PCFCs) has demonstrated both fuel flexibility and increasing power density that approach commercial application requirements. These developments may eventually position the technology as a viable alternative to solid oxide fuel cells (SOFCs) and molten carbonate fuel cells (MCFCs). The PCFCs investigated in this work are based on a BaZr0.8Y0.2O3-δ (BZY20) thin electrolyte supported by BZY20/Ni porous anodes, and a triple conducting cathode material comprised of BaCo0.4Fe0.4Zr0.1Y0.1O3-δ (BCFZY0.1). These cells are prepared using a low-cost solid-state reactive sintering (SSRS) process, and are capable of power densities of 0.156 W cm-2 at 500 °C operating directly from methane fuel. We develop a manufacturing cost model to estimate the Nth generation production costs of PCFC stack technology using high volume manufacturing processes and compare them to the state-of-the-art in SOFC technology. The low-cost cell manufacturing enabled by the SSRS technique compensates for the lower PCFC power density and the trade-off between operating temperature and efficiency enables the use of lower-cost stainless steel materials. PCFC stack production cost estimates are found to be as much as 27–37% lower at 550 °C than SOFCs operating at 800 °C.","container-title":"Journal of Power Sources","DOI":"10.1016/j.jpowsour.2017.09.024","ISSN":"0378-7753","journalAbbreviation":"Journal of Power Sources","page":"65-77","source":"ScienceDirect","title":"Benchmarking the expected stack manufacturing cost of next generation, intermediate-temperature protonic ceramic fuel cells with solid oxide fuel cell technology","volume":"369","author":[{"family":"Dubois","given":"Alexis"},{"family":"Ricote","given":"Sandrine"},{"family":"Braun","given":"Robert J."}],"issued":{"date-parts":[["2017",11,30]]}}}],"schema":"https://github.com/citation-style-language/schema/raw/master/csl-citation.json"} </m:t>
        </m:r>
        <m:r>
          <m:rPr>
            <m:sty m:val="p"/>
          </m:rPr>
          <w:rPr>
            <w:rFonts w:ascii="Cambria Math" w:hAnsi="Cambria Math"/>
          </w:rPr>
          <w:fldChar w:fldCharType="separate"/>
        </m:r>
      </m:oMath>
      <w:r w:rsidR="00CA7A9D" w:rsidRPr="00CA7A9D">
        <w:rPr>
          <w:rFonts w:ascii="Aptos" w:hAnsi="Aptos"/>
        </w:rPr>
        <w:t>[20]</w:t>
      </w:r>
      <w:bookmarkEnd w:id="179"/>
      <m:oMath>
        <m:r>
          <m:rPr>
            <m:sty m:val="p"/>
          </m:rPr>
          <w:rPr>
            <w:rFonts w:ascii="Cambria Math" w:hAnsi="Cambria Math"/>
          </w:rPr>
          <w:fldChar w:fldCharType="end"/>
        </m:r>
      </m:oMath>
    </w:p>
    <w:tbl>
      <w:tblPr>
        <w:tblStyle w:val="TableGrid"/>
        <w:tblW w:w="0" w:type="auto"/>
        <w:jc w:val="center"/>
        <w:tblLook w:val="04A0" w:firstRow="1" w:lastRow="0" w:firstColumn="1" w:lastColumn="0" w:noHBand="0" w:noVBand="1"/>
      </w:tblPr>
      <w:tblGrid>
        <w:gridCol w:w="2731"/>
        <w:gridCol w:w="864"/>
      </w:tblGrid>
      <w:tr w:rsidR="00B927C8" w:rsidRPr="00077F80" w14:paraId="2237CFCB" w14:textId="77777777" w:rsidTr="00C77590">
        <w:trPr>
          <w:trHeight w:val="288"/>
          <w:jc w:val="center"/>
        </w:trPr>
        <w:tc>
          <w:tcPr>
            <w:tcW w:w="2731" w:type="dxa"/>
            <w:noWrap/>
            <w:hideMark/>
          </w:tcPr>
          <w:p w14:paraId="7633B5BD" w14:textId="77777777" w:rsidR="00B927C8" w:rsidRPr="00077F80" w:rsidRDefault="00B927C8" w:rsidP="00C77590">
            <w:pPr>
              <w:spacing w:after="160" w:line="259" w:lineRule="auto"/>
              <w:ind w:firstLine="0"/>
              <w:rPr>
                <w:rFonts w:eastAsia="Calibri" w:cs="Times New Roman"/>
                <w:b/>
                <w:bCs/>
              </w:rPr>
            </w:pPr>
            <w:r w:rsidRPr="00077F80">
              <w:rPr>
                <w:rFonts w:eastAsia="Calibri" w:cs="Times New Roman"/>
                <w:b/>
                <w:bCs/>
              </w:rPr>
              <w:t>Item(s)</w:t>
            </w:r>
          </w:p>
        </w:tc>
        <w:tc>
          <w:tcPr>
            <w:tcW w:w="864" w:type="dxa"/>
            <w:noWrap/>
            <w:hideMark/>
          </w:tcPr>
          <w:p w14:paraId="38D0180F" w14:textId="77777777" w:rsidR="00B927C8" w:rsidRPr="00077F80" w:rsidRDefault="00B927C8" w:rsidP="00C77590">
            <w:pPr>
              <w:spacing w:after="160" w:line="259" w:lineRule="auto"/>
              <w:ind w:firstLine="0"/>
              <w:rPr>
                <w:rFonts w:eastAsia="Calibri" w:cs="Times New Roman"/>
                <w:b/>
                <w:bCs/>
              </w:rPr>
            </w:pPr>
            <w:r w:rsidRPr="00077F80">
              <w:rPr>
                <w:rFonts w:eastAsia="Calibri" w:cs="Times New Roman"/>
                <w:b/>
                <w:bCs/>
              </w:rPr>
              <w:t>$/kW</w:t>
            </w:r>
          </w:p>
        </w:tc>
      </w:tr>
      <w:tr w:rsidR="00B927C8" w:rsidRPr="00077F80" w14:paraId="52CDDDFD" w14:textId="77777777" w:rsidTr="00C77590">
        <w:trPr>
          <w:trHeight w:val="288"/>
          <w:jc w:val="center"/>
        </w:trPr>
        <w:tc>
          <w:tcPr>
            <w:tcW w:w="2731" w:type="dxa"/>
            <w:noWrap/>
            <w:hideMark/>
          </w:tcPr>
          <w:p w14:paraId="522B5824" w14:textId="77777777" w:rsidR="00B927C8" w:rsidRPr="00077F80" w:rsidRDefault="00B927C8" w:rsidP="00C77590">
            <w:pPr>
              <w:spacing w:after="160" w:line="259" w:lineRule="auto"/>
              <w:ind w:firstLine="0"/>
              <w:rPr>
                <w:rFonts w:eastAsia="Calibri" w:cs="Times New Roman"/>
              </w:rPr>
            </w:pPr>
            <w:r w:rsidRPr="00077F80">
              <w:rPr>
                <w:rFonts w:eastAsia="Calibri" w:cs="Times New Roman"/>
              </w:rPr>
              <w:t xml:space="preserve">Raw </w:t>
            </w:r>
            <w:r>
              <w:rPr>
                <w:rFonts w:eastAsia="Calibri" w:cs="Times New Roman"/>
              </w:rPr>
              <w:t>PEN</w:t>
            </w:r>
            <w:r w:rsidRPr="00077F80">
              <w:rPr>
                <w:rFonts w:eastAsia="Calibri" w:cs="Times New Roman"/>
              </w:rPr>
              <w:t xml:space="preserve"> materials</w:t>
            </w:r>
          </w:p>
        </w:tc>
        <w:tc>
          <w:tcPr>
            <w:tcW w:w="864" w:type="dxa"/>
            <w:noWrap/>
            <w:hideMark/>
          </w:tcPr>
          <w:p w14:paraId="63E13C29" w14:textId="77777777" w:rsidR="00B927C8" w:rsidRPr="00077F80" w:rsidRDefault="00B927C8" w:rsidP="00C77590">
            <w:pPr>
              <w:spacing w:after="160" w:line="259" w:lineRule="auto"/>
              <w:ind w:firstLine="0"/>
              <w:rPr>
                <w:rFonts w:eastAsia="Calibri" w:cs="Times New Roman"/>
              </w:rPr>
            </w:pPr>
            <w:r w:rsidRPr="00077F80">
              <w:rPr>
                <w:rFonts w:eastAsia="Calibri" w:cs="Times New Roman"/>
              </w:rPr>
              <w:t>19</w:t>
            </w:r>
          </w:p>
        </w:tc>
      </w:tr>
      <w:tr w:rsidR="00B927C8" w:rsidRPr="00077F80" w14:paraId="73259561" w14:textId="77777777" w:rsidTr="00C77590">
        <w:trPr>
          <w:trHeight w:val="288"/>
          <w:jc w:val="center"/>
        </w:trPr>
        <w:tc>
          <w:tcPr>
            <w:tcW w:w="2731" w:type="dxa"/>
            <w:noWrap/>
            <w:hideMark/>
          </w:tcPr>
          <w:p w14:paraId="3ECA1EBB" w14:textId="77777777" w:rsidR="00B927C8" w:rsidRPr="00077F80" w:rsidRDefault="00B927C8" w:rsidP="00C77590">
            <w:pPr>
              <w:spacing w:after="160" w:line="259" w:lineRule="auto"/>
              <w:ind w:firstLine="0"/>
              <w:rPr>
                <w:rFonts w:eastAsia="Calibri" w:cs="Times New Roman"/>
              </w:rPr>
            </w:pPr>
            <w:r w:rsidRPr="00077F80">
              <w:rPr>
                <w:rFonts w:eastAsia="Calibri" w:cs="Times New Roman"/>
              </w:rPr>
              <w:t xml:space="preserve">Cell </w:t>
            </w:r>
            <w:r>
              <w:rPr>
                <w:rFonts w:eastAsia="Calibri" w:cs="Times New Roman"/>
              </w:rPr>
              <w:t>PEN</w:t>
            </w:r>
            <w:r w:rsidRPr="00077F80">
              <w:rPr>
                <w:rFonts w:eastAsia="Calibri" w:cs="Times New Roman"/>
              </w:rPr>
              <w:t xml:space="preserve"> manufacturing cost</w:t>
            </w:r>
          </w:p>
        </w:tc>
        <w:tc>
          <w:tcPr>
            <w:tcW w:w="864" w:type="dxa"/>
            <w:noWrap/>
            <w:hideMark/>
          </w:tcPr>
          <w:p w14:paraId="6B09D462" w14:textId="77777777" w:rsidR="00B927C8" w:rsidRPr="00077F80" w:rsidRDefault="00B927C8" w:rsidP="00C77590">
            <w:pPr>
              <w:spacing w:after="160" w:line="259" w:lineRule="auto"/>
              <w:ind w:firstLine="0"/>
              <w:rPr>
                <w:rFonts w:eastAsia="Calibri" w:cs="Times New Roman"/>
              </w:rPr>
            </w:pPr>
            <w:r w:rsidRPr="00077F80">
              <w:rPr>
                <w:rFonts w:eastAsia="Calibri" w:cs="Times New Roman"/>
              </w:rPr>
              <w:t>52</w:t>
            </w:r>
          </w:p>
        </w:tc>
      </w:tr>
      <w:tr w:rsidR="00B927C8" w:rsidRPr="00077F80" w14:paraId="186EC611" w14:textId="77777777" w:rsidTr="00C77590">
        <w:trPr>
          <w:trHeight w:val="332"/>
          <w:jc w:val="center"/>
        </w:trPr>
        <w:tc>
          <w:tcPr>
            <w:tcW w:w="2731" w:type="dxa"/>
            <w:noWrap/>
            <w:hideMark/>
          </w:tcPr>
          <w:p w14:paraId="03E0AC18" w14:textId="77777777" w:rsidR="00B927C8" w:rsidRPr="00077F80" w:rsidRDefault="00B927C8" w:rsidP="00C77590">
            <w:pPr>
              <w:spacing w:after="160" w:line="259" w:lineRule="auto"/>
              <w:ind w:firstLine="0"/>
              <w:rPr>
                <w:rFonts w:eastAsia="Calibri" w:cs="Times New Roman"/>
              </w:rPr>
            </w:pPr>
            <w:r w:rsidRPr="00077F80">
              <w:rPr>
                <w:rFonts w:eastAsia="Calibri" w:cs="Times New Roman"/>
              </w:rPr>
              <w:t>Ball milling cost</w:t>
            </w:r>
          </w:p>
        </w:tc>
        <w:tc>
          <w:tcPr>
            <w:tcW w:w="864" w:type="dxa"/>
            <w:noWrap/>
            <w:hideMark/>
          </w:tcPr>
          <w:p w14:paraId="5D36BFF3" w14:textId="77777777" w:rsidR="00B927C8" w:rsidRPr="00077F80" w:rsidRDefault="00B927C8" w:rsidP="00C77590">
            <w:pPr>
              <w:spacing w:after="160" w:line="259" w:lineRule="auto"/>
              <w:ind w:firstLine="0"/>
              <w:rPr>
                <w:rFonts w:eastAsia="Calibri" w:cs="Times New Roman"/>
              </w:rPr>
            </w:pPr>
            <w:r w:rsidRPr="00077F80">
              <w:rPr>
                <w:rFonts w:eastAsia="Calibri" w:cs="Times New Roman"/>
              </w:rPr>
              <w:t>17</w:t>
            </w:r>
          </w:p>
        </w:tc>
      </w:tr>
      <w:tr w:rsidR="00B927C8" w:rsidRPr="00077F80" w14:paraId="3ABD5314" w14:textId="77777777" w:rsidTr="00C77590">
        <w:trPr>
          <w:trHeight w:val="288"/>
          <w:jc w:val="center"/>
        </w:trPr>
        <w:tc>
          <w:tcPr>
            <w:tcW w:w="2731" w:type="dxa"/>
            <w:noWrap/>
            <w:hideMark/>
          </w:tcPr>
          <w:p w14:paraId="6CB12628" w14:textId="77777777" w:rsidR="00B927C8" w:rsidRPr="00077F80" w:rsidRDefault="00B927C8" w:rsidP="00C77590">
            <w:pPr>
              <w:spacing w:after="160" w:line="259" w:lineRule="auto"/>
              <w:ind w:firstLine="0"/>
              <w:rPr>
                <w:rFonts w:eastAsia="Calibri" w:cs="Times New Roman"/>
              </w:rPr>
            </w:pPr>
            <w:r w:rsidRPr="00077F80">
              <w:rPr>
                <w:rFonts w:eastAsia="Calibri" w:cs="Times New Roman"/>
              </w:rPr>
              <w:t>Assembly and housing</w:t>
            </w:r>
          </w:p>
        </w:tc>
        <w:tc>
          <w:tcPr>
            <w:tcW w:w="864" w:type="dxa"/>
            <w:noWrap/>
            <w:hideMark/>
          </w:tcPr>
          <w:p w14:paraId="6311BE45" w14:textId="77777777" w:rsidR="00B927C8" w:rsidRPr="00077F80" w:rsidRDefault="00B927C8" w:rsidP="00C77590">
            <w:pPr>
              <w:spacing w:after="160" w:line="259" w:lineRule="auto"/>
              <w:ind w:firstLine="0"/>
              <w:rPr>
                <w:rFonts w:eastAsia="Calibri" w:cs="Times New Roman"/>
              </w:rPr>
            </w:pPr>
            <w:r w:rsidRPr="00077F80">
              <w:rPr>
                <w:rFonts w:eastAsia="Calibri" w:cs="Times New Roman"/>
              </w:rPr>
              <w:t>38</w:t>
            </w:r>
          </w:p>
        </w:tc>
      </w:tr>
      <w:tr w:rsidR="00B927C8" w:rsidRPr="00077F80" w14:paraId="48125A5F" w14:textId="77777777" w:rsidTr="00C77590">
        <w:trPr>
          <w:trHeight w:val="288"/>
          <w:jc w:val="center"/>
        </w:trPr>
        <w:tc>
          <w:tcPr>
            <w:tcW w:w="2731" w:type="dxa"/>
            <w:noWrap/>
            <w:hideMark/>
          </w:tcPr>
          <w:p w14:paraId="0C290354" w14:textId="77777777" w:rsidR="00B927C8" w:rsidRPr="00077F80" w:rsidRDefault="00B927C8" w:rsidP="00C77590">
            <w:pPr>
              <w:spacing w:after="160" w:line="259" w:lineRule="auto"/>
              <w:ind w:firstLine="0"/>
              <w:rPr>
                <w:rFonts w:eastAsia="Calibri" w:cs="Times New Roman"/>
              </w:rPr>
            </w:pPr>
            <w:r w:rsidRPr="00077F80">
              <w:rPr>
                <w:rFonts w:eastAsia="Calibri" w:cs="Times New Roman"/>
              </w:rPr>
              <w:t>Interconnects</w:t>
            </w:r>
          </w:p>
        </w:tc>
        <w:tc>
          <w:tcPr>
            <w:tcW w:w="864" w:type="dxa"/>
            <w:noWrap/>
            <w:hideMark/>
          </w:tcPr>
          <w:p w14:paraId="1C7177EC" w14:textId="77777777" w:rsidR="00B927C8" w:rsidRPr="00077F80" w:rsidRDefault="00B927C8" w:rsidP="00C77590">
            <w:pPr>
              <w:spacing w:after="160" w:line="259" w:lineRule="auto"/>
              <w:ind w:firstLine="0"/>
              <w:rPr>
                <w:rFonts w:eastAsia="Calibri" w:cs="Times New Roman"/>
              </w:rPr>
            </w:pPr>
            <w:r w:rsidRPr="00077F80">
              <w:rPr>
                <w:rFonts w:eastAsia="Calibri" w:cs="Times New Roman"/>
              </w:rPr>
              <w:t>63</w:t>
            </w:r>
          </w:p>
        </w:tc>
      </w:tr>
      <w:tr w:rsidR="00B927C8" w:rsidRPr="00077F80" w14:paraId="51EC1EFB" w14:textId="77777777" w:rsidTr="00C77590">
        <w:trPr>
          <w:trHeight w:val="288"/>
          <w:jc w:val="center"/>
        </w:trPr>
        <w:tc>
          <w:tcPr>
            <w:tcW w:w="2731" w:type="dxa"/>
            <w:noWrap/>
            <w:hideMark/>
          </w:tcPr>
          <w:p w14:paraId="0321CCDA" w14:textId="77777777" w:rsidR="00B927C8" w:rsidRPr="00077F80" w:rsidRDefault="00B927C8" w:rsidP="00C77590">
            <w:pPr>
              <w:spacing w:after="160" w:line="259" w:lineRule="auto"/>
              <w:ind w:firstLine="0"/>
              <w:rPr>
                <w:rFonts w:eastAsia="Calibri" w:cs="Times New Roman"/>
              </w:rPr>
            </w:pPr>
            <w:r w:rsidRPr="00077F80">
              <w:rPr>
                <w:rFonts w:eastAsia="Calibri" w:cs="Times New Roman"/>
              </w:rPr>
              <w:t>Seals</w:t>
            </w:r>
          </w:p>
        </w:tc>
        <w:tc>
          <w:tcPr>
            <w:tcW w:w="864" w:type="dxa"/>
            <w:noWrap/>
            <w:hideMark/>
          </w:tcPr>
          <w:p w14:paraId="42BC6E9C" w14:textId="77777777" w:rsidR="00B927C8" w:rsidRPr="00077F80" w:rsidRDefault="00B927C8" w:rsidP="00C77590">
            <w:pPr>
              <w:spacing w:after="160" w:line="259" w:lineRule="auto"/>
              <w:ind w:firstLine="0"/>
              <w:rPr>
                <w:rFonts w:eastAsia="Calibri" w:cs="Times New Roman"/>
              </w:rPr>
            </w:pPr>
            <w:r w:rsidRPr="00077F80">
              <w:rPr>
                <w:rFonts w:eastAsia="Calibri" w:cs="Times New Roman"/>
              </w:rPr>
              <w:t>118</w:t>
            </w:r>
          </w:p>
        </w:tc>
      </w:tr>
      <w:tr w:rsidR="00B927C8" w:rsidRPr="00077F80" w14:paraId="50593325" w14:textId="77777777" w:rsidTr="00C77590">
        <w:trPr>
          <w:trHeight w:val="288"/>
          <w:jc w:val="center"/>
        </w:trPr>
        <w:tc>
          <w:tcPr>
            <w:tcW w:w="2731" w:type="dxa"/>
            <w:noWrap/>
            <w:hideMark/>
          </w:tcPr>
          <w:p w14:paraId="6A6D5886" w14:textId="77777777" w:rsidR="00B927C8" w:rsidRPr="00077F80" w:rsidRDefault="00B927C8" w:rsidP="00C77590">
            <w:pPr>
              <w:spacing w:after="160" w:line="259" w:lineRule="auto"/>
              <w:ind w:firstLine="0"/>
              <w:rPr>
                <w:rFonts w:eastAsia="Calibri" w:cs="Times New Roman"/>
              </w:rPr>
            </w:pPr>
            <w:r w:rsidRPr="00077F80">
              <w:rPr>
                <w:rFonts w:eastAsia="Calibri" w:cs="Times New Roman"/>
              </w:rPr>
              <w:t>Current collectors</w:t>
            </w:r>
          </w:p>
        </w:tc>
        <w:tc>
          <w:tcPr>
            <w:tcW w:w="864" w:type="dxa"/>
            <w:noWrap/>
            <w:hideMark/>
          </w:tcPr>
          <w:p w14:paraId="7FEA089C" w14:textId="77777777" w:rsidR="00B927C8" w:rsidRPr="00077F80" w:rsidRDefault="00B927C8" w:rsidP="00C77590">
            <w:pPr>
              <w:spacing w:after="160" w:line="259" w:lineRule="auto"/>
              <w:ind w:firstLine="0"/>
              <w:rPr>
                <w:rFonts w:eastAsia="Calibri" w:cs="Times New Roman"/>
              </w:rPr>
            </w:pPr>
            <w:r w:rsidRPr="00077F80">
              <w:rPr>
                <w:rFonts w:eastAsia="Calibri" w:cs="Times New Roman"/>
              </w:rPr>
              <w:t>58</w:t>
            </w:r>
          </w:p>
        </w:tc>
      </w:tr>
    </w:tbl>
    <w:p w14:paraId="6B4E3710" w14:textId="77777777" w:rsidR="00B927C8" w:rsidRPr="001746A8" w:rsidRDefault="00B927C8" w:rsidP="00B927C8"/>
    <w:p w14:paraId="32A344C5" w14:textId="6A3A8C4A" w:rsidR="00B927C8" w:rsidRPr="001746A8" w:rsidRDefault="00B927C8" w:rsidP="00B927C8">
      <w:r w:rsidRPr="001746A8">
        <w:t>It should first be acknowledged that Dubois et al.</w:t>
      </w:r>
      <w:r>
        <w:t xml:space="preserve"> </w:t>
      </w:r>
      <w:r w:rsidRPr="001746A8">
        <w:fldChar w:fldCharType="begin"/>
      </w:r>
      <w:r w:rsidR="00CA7A9D">
        <w:instrText xml:space="preserve"> ADDIN ZOTERO_ITEM CSL_CITATION {"citationID":"ljGQFo4V","properties":{"formattedCitation":"[20]","plainCitation":"[20]","noteIndex":0},"citationItems":[{"id":83,"uris":["http://zotero.org/users/12063231/items/NHNHNLC2"],"itemData":{"id":83,"type":"article-journal","abstract":"Recent progress in the performance of intermediate temperature (500–600 °C) protonic ceramic fuel cells (PCFCs) has demonstrated both fuel flexibility and increasing power density that approach commercial application requirements. These developments may eventually position the technology as a viable alternative to solid oxide fuel cells (SOFCs) and molten carbonate fuel cells (MCFCs). The PCFCs investigated in this work are based on a BaZr0.8Y0.2O3-δ (BZY20) thin electrolyte supported by BZY20/Ni porous anodes, and a triple conducting cathode material comprised of BaCo0.4Fe0.4Zr0.1Y0.1O3-δ (BCFZY0.1). These cells are prepared using a low-cost solid-state reactive sintering (SSRS) process, and are capable of power densities of 0.156 W cm−2 at 500 °C operating directly from methane fuel. We develop a manufacturing cost model to estimate the Nth generation production costs of PCFC stack technology using high volume manufacturing processes and compare them to the state-of-the-art in SOFC technology. The low-cost cell manufacturing enabled by the SSRS technique compensates for the lower PCFC power density and the trade-off between operating temperature and efficiency enables the use of lower-cost stainless steel materials. PCFC stack production cost estimates are found to be as much as 27–37% lower at 550 °C than SOFCs operating at 800 °C.","container-title":"Journal of Power Sources","DOI":"10.1016/j.jpowsour.2017.09.024","ISSN":"0378-7753","journalAbbreviation":"Journal of Power Sources","page":"65-77","source":"ScienceDirect","title":"Benchmarking the expected stack manufacturing cost of next generation, intermediate-temperature protonic ceramic fuel cells with solid oxide fuel cell technology","volume":"369","author":[{"family":"Dubois","given":"Alexis"},{"family":"Ricote","given":"Sandrine"},{"family":"Braun","given":"Robert J."}],"issued":{"date-parts":[["2017",11,30]]}}}],"schema":"https://github.com/citation-style-language/schema/raw/master/csl-citation.json"} </w:instrText>
      </w:r>
      <w:r w:rsidRPr="001746A8">
        <w:fldChar w:fldCharType="separate"/>
      </w:r>
      <w:r w:rsidR="00CA7A9D" w:rsidRPr="00CA7A9D">
        <w:rPr>
          <w:rFonts w:ascii="Aptos" w:hAnsi="Aptos"/>
        </w:rPr>
        <w:t>[20]</w:t>
      </w:r>
      <w:r w:rsidRPr="001746A8">
        <w:fldChar w:fldCharType="end"/>
      </w:r>
      <w:r>
        <w:t xml:space="preserve"> </w:t>
      </w:r>
      <w:r w:rsidRPr="001746A8">
        <w:t xml:space="preserve">noted that the seals, interconnects, and assembly carry the largest amount of uncertainty. </w:t>
      </w:r>
      <w:r>
        <w:t xml:space="preserve">Additionally, tubular cells require substantially less sealing compared to </w:t>
      </w:r>
      <w:r w:rsidR="004D76D0">
        <w:t>planar cells</w:t>
      </w:r>
      <w:r>
        <w:t xml:space="preserve"> due to having a closed end.</w:t>
      </w:r>
      <w:r w:rsidRPr="001746A8">
        <w:t xml:space="preserve"> Therefore, this is an </w:t>
      </w:r>
      <w:r w:rsidR="004D76D0" w:rsidRPr="001746A8">
        <w:t>overly conservative</w:t>
      </w:r>
      <w:r w:rsidRPr="001746A8">
        <w:t xml:space="preserve"> estimate for the purpose of establishing a starting point for the cogenerating reactor. </w:t>
      </w:r>
    </w:p>
    <w:p w14:paraId="3C91F908" w14:textId="60513763" w:rsidR="00B927C8" w:rsidRPr="001746A8" w:rsidRDefault="00B927C8" w:rsidP="00B927C8">
      <w:r w:rsidRPr="001746A8">
        <w:t xml:space="preserve">Arguably the most important part of the PCFC, the membrane electrode assembly, only accounts for 24% of the total manufacturing cost of the PCFC. The other aspects can vary widely depending on whether tubular or planar dimensions are chosen, or if the model </w:t>
      </w:r>
      <w:r w:rsidR="00E9792B">
        <w:t>is</w:t>
      </w:r>
      <w:r w:rsidRPr="001746A8">
        <w:t xml:space="preserve"> based on additive or subtractive manufacturing </w:t>
      </w:r>
      <w:r w:rsidRPr="001746A8">
        <w:fldChar w:fldCharType="begin"/>
      </w:r>
      <w:r w:rsidR="00CA7A9D">
        <w:instrText xml:space="preserve"> ADDIN ZOTERO_ITEM CSL_CITATION {"citationID":"vYsWPHAb","properties":{"formattedCitation":"[21]","plainCitation":"[21]","noteIndex":0},"citationItems":[{"id":82,"uris":["http://zotero.org/users/12063231/items/IKMWCGBN"],"itemData":{"id":82,"type":"article-journal","abstract":"Protonic ceramic fuel cells (PCFCs) are clean and efficient power generation devices operating at intermediate temperatures. However, manufacturing difficulties have limited their commercialization, especially for promising tubular PCFCs. Herein, we report a cost-effective 3D printing technique for manufacturing large-area tubular PCFCs (e.g., 15.7 cm2), featured with the use of commercial raw materials, a small amount of binder, and a CO2 laser for rapid in situ drying. The technical advantages enable low-cost material preparation and efficient achievement of exemplary shape/dimension-controlled uniform microstructures in porous anode support, dense electrolyte, and porous cathode. The 3D-printed tubular PCFC (</w:instrText>
      </w:r>
      <w:r w:rsidR="00CA7A9D">
        <w:rPr>
          <w:rFonts w:ascii="Cambria Math" w:hAnsi="Cambria Math" w:cs="Cambria Math"/>
        </w:rPr>
        <w:instrText>∼</w:instrText>
      </w:r>
      <w:r w:rsidR="00CA7A9D">
        <w:instrText xml:space="preserve">12.5 cm2) exhibits a power output of 2.45 W at 650 °C. Meanwhile, the long-term stability is confirmed during 200 h of operation. This novel 3D printing offers great potential to advance PCFCs from the laboratory to larger scales for realistic applications.","container-title":"ACS Energy Letters","DOI":"10.1021/acsenergylett.3c01345","issue":"8","journalAbbreviation":"ACS Energy Lett.","note":"publisher: American Chemical Society","page":"3545-3551","source":"ACS Publications","title":"3D Printing Enabled Highly Scalable Tubular Protonic Ceramic Fuel Cells","volume":"8","author":[{"family":"Zou","given":"Minda"},{"family":"Conrad","given":"Jacob"},{"family":"Sheridan","given":"Bridget"},{"family":"Zhang","given":"Jiawei"},{"family":"Huang","given":"Hua"},{"family":"Mu","given":"Shenglong"},{"family":"Zhou","given":"Tianyi"},{"family":"Zhao","given":"Zeyu"},{"family":"Brinkman","given":"Kyle S."},{"family":"Xiao","given":"Hai"},{"family":"Peng","given":"Fei"},{"family":"Tong","given":"Jianhua"}],"issued":{"date-parts":[["2023",8,11]]}}}],"schema":"https://github.com/citation-style-language/schema/raw/master/csl-citation.json"} </w:instrText>
      </w:r>
      <w:r w:rsidRPr="001746A8">
        <w:fldChar w:fldCharType="separate"/>
      </w:r>
      <w:r w:rsidR="00CA7A9D" w:rsidRPr="00CA7A9D">
        <w:rPr>
          <w:rFonts w:ascii="Aptos" w:hAnsi="Aptos"/>
        </w:rPr>
        <w:t>[21]</w:t>
      </w:r>
      <w:r w:rsidRPr="001746A8">
        <w:fldChar w:fldCharType="end"/>
      </w:r>
      <w:r w:rsidRPr="001746A8">
        <w:t>, or other chosen manufacturing processes. Regardless, the total for cell is $365/kW</w:t>
      </w:r>
      <w:r>
        <w:t xml:space="preserve"> </w:t>
      </w:r>
      <w:r>
        <w:fldChar w:fldCharType="begin"/>
      </w:r>
      <w:r w:rsidR="00CA7A9D">
        <w:instrText xml:space="preserve"> ADDIN ZOTERO_ITEM CSL_CITATION {"citationID":"a7p2gu7l2o","properties":{"formattedCitation":"[20]","plainCitation":"[20]","noteIndex":0},"citationItems":[{"id":83,"uris":["http://zotero.org/users/12063231/items/NHNHNLC2"],"itemData":{"id":83,"type":"article-journal","abstract":"Recent progress in the performance of intermediate temperature (500–600 °C) protonic ceramic fuel cells (PCFCs) has demonstrated both fuel flexibility and increasing power density that approach commercial application requirements. These developments may eventually position the technology as a viable alternative to solid oxide fuel cells (SOFCs) and molten carbonate fuel cells (MCFCs). The PCFCs investigated in this work are based on a BaZr0.8Y0.2O3-δ (BZY20) thin electrolyte supported by BZY20/Ni porous anodes, and a triple conducting cathode material comprised of BaCo0.4Fe0.4Zr0.1Y0.1O3-δ (BCFZY0.1). These cells are prepared using a low-cost solid-state reactive sintering (SSRS) process, and are capable of power densities of 0.156 W cm−2 at 500 °C operating directly from methane fuel. We develop a manufacturing cost model to estimate the Nth generation production costs of PCFC stack technology using high volume manufacturing processes and compare them to the state-of-the-art in SOFC technology. The low-cost cell manufacturing enabled by the SSRS technique compensates for the lower PCFC power density and the trade-off between operating temperature and efficiency enables the use of lower-cost stainless steel materials. PCFC stack production cost estimates are found to be as much as 27–37% lower at 550 °C than SOFCs operating at 800 °C.","container-title":"Journal of Power Sources","DOI":"10.1016/j.jpowsour.2017.09.024","ISSN":"0378-7753","journalAbbreviation":"Journal of Power Sources","page":"65-77","source":"ScienceDirect","title":"Benchmarking the expected stack manufacturing cost of next generation, intermediate-temperature protonic ceramic fuel cells with solid oxide fuel cell technology","volume":"369","author":[{"family":"Dubois","given":"Alexis"},{"family":"Ricote","given":"Sandrine"},{"family":"Braun","given":"Robert J."}],"issued":{"date-parts":[["2017",11,30]]}}}],"schema":"https://github.com/citation-style-language/schema/raw/master/csl-citation.json"} </w:instrText>
      </w:r>
      <w:r>
        <w:fldChar w:fldCharType="separate"/>
      </w:r>
      <w:r w:rsidR="00CA7A9D" w:rsidRPr="00CA7A9D">
        <w:rPr>
          <w:rFonts w:ascii="Aptos" w:hAnsi="Aptos"/>
        </w:rPr>
        <w:t>[20]</w:t>
      </w:r>
      <w:r>
        <w:fldChar w:fldCharType="end"/>
      </w:r>
      <w:r w:rsidRPr="001746A8">
        <w:t>. At this rate, a 5kW cell stack</w:t>
      </w:r>
      <w:r>
        <w:t xml:space="preserve"> with no balance of plant components</w:t>
      </w:r>
      <w:r w:rsidRPr="001746A8">
        <w:t xml:space="preserve"> would cost $1,825. </w:t>
      </w:r>
    </w:p>
    <w:p w14:paraId="470B7BFA" w14:textId="48C5A3F1" w:rsidR="00B927C8" w:rsidRPr="001746A8" w:rsidRDefault="00B927C8" w:rsidP="00B927C8">
      <w:r>
        <w:t>For comparison</w:t>
      </w:r>
      <w:r w:rsidRPr="001746A8">
        <w:t xml:space="preserve">, Bloom Energy, a modern fuel cell manufacturer, currently has prices of ~$7-8,000/kW for SOFC </w:t>
      </w:r>
      <w:r w:rsidRPr="001746A8">
        <w:fldChar w:fldCharType="begin"/>
      </w:r>
      <w:r w:rsidR="00CA7A9D">
        <w:instrText xml:space="preserve"> ADDIN ZOTERO_ITEM CSL_CITATION {"citationID":"tGhnjLsw","properties":{"formattedCitation":"[131]","plainCitation":"[131]","noteIndex":0},"citationItems":[{"id":61,"uris":["http://zotero.org/users/12063231/items/X95U5U7F"],"itemData":{"id":61,"type":"webpage","abstract":"With ongoing subsidies, the Bloom fuel cell may find a good market.","container-title":"Forbes","language":"en","note":"section: Energy","title":"Doing The Math On Bloom Energy","URL":"https://www.forbes.com/2010/02/25/fuel-cell-costs-technology-ecotech-bloom-energy.html","author":[{"family":"Jenkins","given":"Jesse"}],"accessed":{"date-parts":[["2023",9,14]]}}}],"schema":"https://github.com/citation-style-language/schema/raw/master/csl-citation.json"} </w:instrText>
      </w:r>
      <w:r w:rsidRPr="001746A8">
        <w:fldChar w:fldCharType="separate"/>
      </w:r>
      <w:r w:rsidR="00CA7A9D" w:rsidRPr="00CA7A9D">
        <w:rPr>
          <w:rFonts w:ascii="Aptos" w:hAnsi="Aptos"/>
        </w:rPr>
        <w:t>[131]</w:t>
      </w:r>
      <w:r w:rsidRPr="001746A8">
        <w:fldChar w:fldCharType="end"/>
      </w:r>
      <w:r w:rsidRPr="001746A8">
        <w:t>. This price can be broken down into ~$4,000/kW for the fuel cell</w:t>
      </w:r>
      <w:r>
        <w:t xml:space="preserve"> system</w:t>
      </w:r>
      <w:r w:rsidRPr="001746A8">
        <w:t xml:space="preserve">, and ~$2500/kW for installation, with a few other fees </w:t>
      </w:r>
      <w:r w:rsidRPr="001746A8">
        <w:fldChar w:fldCharType="begin"/>
      </w:r>
      <w:r w:rsidR="00CA7A9D">
        <w:instrText xml:space="preserve"> ADDIN ZOTERO_ITEM CSL_CITATION {"citationID":"JlxHKrhY","properties":{"formattedCitation":"[129], [131], [132]","plainCitation":"[129], [131], [132]","noteIndex":0},"citationItems":[{"id":64,"uris":["http://zotero.org/users/12063231/items/XQNHULJX"],"itemData":{"id":64,"type":"webpage","abstract":"The Colorado School of Mines is developing a mixed proton and oxygen ion conducting electrolyte that will allow a fuel cell to operate at temperatures less than 500°C. By using a proton and oxygen ion electrolyte, the fuel cell stack is able to reduce coking – which clogs anodes with carbon deposits – and enhance the process of turning hydrocarbon fuels into hydrogen. Today’s ceramic fuel cells are based on oxygen-ion conducting electrolytes and operate at high temperatures. Mines’ advanced mixed proton and oxygen-ion conducting fuel cells will operate on lower temperatures, and have the capacity to run on hydrogen, ethanol, methanol, or methane, representing a drastic improvement over using only oxygen-ion conducting electrolytes. Additionally, the fuel cell will leverage a recently developed ceramic processing technique that decreases fuel cell manufacturing cost and complexity. Additionally, their technology will reduce the number of manufacturing steps from 15 to 3, drastically reducing the cost of distributed generation applications.","container-title":"arpa-e.energy.gov","language":"en","title":"ARPA-E Project | Fuel-Flexible Protonic Ceramic Fuel Cell Stack","URL":"http://arpa-e.energy.gov/technologies/projects/fuel-flexible-protonic-ceramic-fuel-cell-stack","author":[{"family":"O'Hayre","given":"Ryan"}],"accessed":{"date-parts":[["2023",9,13]]}}},{"id":61,"uris":["http://zotero.org/users/12063231/items/X95U5U7F"],"itemData":{"id":61,"type":"webpage","abstract":"With ongoing subsidies, the Bloom fuel cell may find a good market.","container-title":"Forbes","language":"en","note":"section: Energy","title":"Doing The Math On Bloom Energy","URL":"https://www.forbes.com/2010/02/25/fuel-cell-costs-technology-ecotech-bloom-energy.html","author":[{"family":"Jenkins","given":"Jesse"}],"accessed":{"date-parts":[["2023",9,14]]}}},{"id":75,"uris":["http://zotero.org/users/12063231/items/CUGTEEIY"],"itemData":{"id":75,"type":"report","abstract":"This project, led by the Colorado School of Mines (CSM) with commercial partner FuelCell Energy (FCE), sought to demonstrate a novel intermediate temperature fuel cell technology operating on natural gas fuel based on proton conducting ceramic materials that combines many of the advantages of both lower temperature polymer-based fuel cells and higher-temperature solid oxide-based fuel cells while mitigating many of the disadvantages of these older fuel cell technologies. The team successfully advanced their protonic ceramic fuel cell (PCFC) technology from the small (&lt;1 cm2) laboratory button-cell scale to the commercial scale (81 cm2) utilizing low-cost, volume-qualified industrial manufacturing processes. The team validated the intrinsic high performance and high durability of the PCFC materials set at scale with large-area 81 cm2 cells operating for more than 11,000 hours at 600-650 oC, achieving cell-level degradation rates &lt;0.6%/khr and power densities &gt;500 mW/cm2. To our knowledge, these results represent the world’s largest-area and longest-duration cell tests of PCFC technology. The team also successfully demonstrated the world’s first large-area, &gt;100W natural gas-fueled PCFC stack prototype by leveraging these large-area cells with FCE’s low-cost Compact Stack Architecture (CSA). The project team also made significant advancements in modeling, simulation, design, and understanding of the overall techno-economic potential of protonic ceramic fuel cells and systems. In particular, the team developed first-of-a-kind steady-state and dynamic cell-level models for protonic ceramic cell-stack performance prediction and transient simulation (at both 1- and 3-D resolution), system level modeling, design, and optimization, and for transdisciplinary analysis of coupled, multi-physics around thermo-chemo-mechanical behaviors of protonic ceramic material systems. The first protonic ceramic stack production cost models were developed and used in system bottom-up costing and subsequently for optimal sizing and dispatch in hybrid renewable energy system configurations in building applications for value proposition analyses. The sum of these efforts enabled an understanding of application-specific design strategies on capital and life cycle system costs, as well the development of quantitative competitive advantage summaries of the technology. The findings concluded that PCFC-based systems always resulted in higher relative savings than conventional generation and RES-only systems for the given scenario (with PCFC systems exemplified as the most cost-effective solution of all the CHP options). These savings are upwards of 20 to 40 percent across all sites, and are typically higher when some fraction of thermal loads are served with PCFC CHP systems. Competitively, the life cycle savings advantage of PCFCs over conventional generation (MTs and ICEs) ranges between 5-20%, and is the advantage is about 2 to 8% over other SOFC technologies.","language":"English","note":"DOI: 10.2172/1861417","number":"Final Report: DOE-CSM-0493-1","publisher":"Colorado School of Mines, Golden, CO (United States)","source":"www.osti.gov","title":"Low-Cost Intermediate-Temperature Fuel-Flexible Protonic-Ceramic Fuel Cell and Stack","URL":"https://www.osti.gov/biblio/1861417","author":[{"family":"O'Hayre","given":"Ryan"},{"family":"Sullivan","given":"Neal"},{"family":"Kee","given":"Robert"},{"family":"Braun","given":"Robert"},{"family":"Ghezel-Ayagh","given":"Hossein"},{"family":"Tang","given":"Eric"},{"family":"Pastula","given":"Michael"}],"accessed":{"date-parts":[["2023",9,11]]},"issued":{"date-parts":[["2021",9,15]]}}}],"schema":"https://github.com/citation-style-language/schema/raw/master/csl-citation.json"} </w:instrText>
      </w:r>
      <w:r w:rsidRPr="001746A8">
        <w:fldChar w:fldCharType="separate"/>
      </w:r>
      <w:r w:rsidR="00CA7A9D" w:rsidRPr="00CA7A9D">
        <w:rPr>
          <w:rFonts w:ascii="Aptos" w:hAnsi="Aptos"/>
        </w:rPr>
        <w:t>[129], [131], [132]</w:t>
      </w:r>
      <w:r w:rsidRPr="001746A8">
        <w:fldChar w:fldCharType="end"/>
      </w:r>
      <w:r w:rsidRPr="001746A8">
        <w:t xml:space="preserve">. The greater specifics of how Bloom breaks down their prices is not publicly available. </w:t>
      </w:r>
    </w:p>
    <w:p w14:paraId="1E9FF805" w14:textId="6A789EAD" w:rsidR="00B927C8" w:rsidRDefault="00B927C8" w:rsidP="00B927C8">
      <w:pPr>
        <w:rPr>
          <w:rFonts w:eastAsiaTheme="minorEastAsia"/>
        </w:rPr>
      </w:pPr>
      <w:r w:rsidRPr="001746A8">
        <w:t>Since</w:t>
      </w:r>
      <w:r>
        <w:t xml:space="preserve"> the economic analysis by Dubois et al. </w:t>
      </w:r>
      <w:r>
        <w:fldChar w:fldCharType="begin"/>
      </w:r>
      <w:r w:rsidR="00CA7A9D">
        <w:instrText xml:space="preserve"> ADDIN ZOTERO_ITEM CSL_CITATION {"citationID":"a13qpplalf5","properties":{"formattedCitation":"[20]","plainCitation":"[20]","noteIndex":0},"citationItems":[{"id":83,"uris":["http://zotero.org/users/12063231/items/NHNHNLC2"],"itemData":{"id":83,"type":"article-journal","abstract":"Recent progress in the performance of intermediate temperature (500–600 °C) protonic ceramic fuel cells (PCFCs) has demonstrated both fuel flexibility and increasing power density that approach commercial application requirements. These developments may eventually position the technology as a viable alternative to solid oxide fuel cells (SOFCs) and molten carbonate fuel cells (MCFCs). The PCFCs investigated in this work are based on a BaZr0.8Y0.2O3-δ (BZY20) thin electrolyte supported by BZY20/Ni porous anodes, and a triple conducting cathode material comprised of BaCo0.4Fe0.4Zr0.1Y0.1O3-δ (BCFZY0.1). These cells are prepared using a low-cost solid-state reactive sintering (SSRS) process, and are capable of power densities of 0.156 W cm−2 at 500 °C operating directly from methane fuel. We develop a manufacturing cost model to estimate the Nth generation production costs of PCFC stack technology using high volume manufacturing processes and compare them to the state-of-the-art in SOFC technology. The low-cost cell manufacturing enabled by the SSRS technique compensates for the lower PCFC power density and the trade-off between operating temperature and efficiency enables the use of lower-cost stainless steel materials. PCFC stack production cost estimates are found to be as much as 27–37% lower at 550 °C than SOFCs operating at 800 °C.","container-title":"Journal of Power Sources","DOI":"10.1016/j.jpowsour.2017.09.024","ISSN":"0378-7753","journalAbbreviation":"Journal of Power Sources","page":"65-77","source":"ScienceDirect","title":"Benchmarking the expected stack manufacturing cost of next generation, intermediate-temperature protonic ceramic fuel cells with solid oxide fuel cell technology","volume":"369","author":[{"family":"Dubois","given":"Alexis"},{"family":"Ricote","given":"Sandrine"},{"family":"Braun","given":"Robert J."}],"issued":{"date-parts":[["2017",11,30]]}}}],"schema":"https://github.com/citation-style-language/schema/raw/master/csl-citation.json"} </w:instrText>
      </w:r>
      <w:r>
        <w:fldChar w:fldCharType="separate"/>
      </w:r>
      <w:r w:rsidR="00CA7A9D" w:rsidRPr="00CA7A9D">
        <w:rPr>
          <w:rFonts w:ascii="Aptos" w:hAnsi="Aptos"/>
        </w:rPr>
        <w:t>[20]</w:t>
      </w:r>
      <w:r>
        <w:fldChar w:fldCharType="end"/>
      </w:r>
      <w:r>
        <w:t xml:space="preserve"> was in 2017 and utilized a planar geometry instead of a tubular, some updates for this application are reasonable. As shown in Figure 4.12a, the power density of the MDA PCFC system </w:t>
      </w:r>
      <w:r w:rsidR="00EB6FFF">
        <w:t>is</w:t>
      </w:r>
      <w:r>
        <w:t xml:space="preserve"> significantly lower than what was considered in the study by</w:t>
      </w:r>
      <w:r w:rsidR="00EB6FFF">
        <w:t xml:space="preserve"> Dubois</w:t>
      </w:r>
      <w:r>
        <w:t xml:space="preserve"> </w:t>
      </w:r>
      <w:r>
        <w:fldChar w:fldCharType="begin"/>
      </w:r>
      <w:r w:rsidR="00CA7A9D">
        <w:instrText xml:space="preserve"> ADDIN ZOTERO_ITEM CSL_CITATION {"citationID":"a1ignqkph9e","properties":{"formattedCitation":"[20]","plainCitation":"[20]","noteIndex":0},"citationItems":[{"id":83,"uris":["http://zotero.org/users/12063231/items/NHNHNLC2"],"itemData":{"id":83,"type":"article-journal","abstract":"Recent progress in the performance of intermediate temperature (500–600 °C) protonic ceramic fuel cells (PCFCs) has demonstrated both fuel flexibility and increasing power density that approach commercial application requirements. These developments may eventually position the technology as a viable alternative to solid oxide fuel cells (SOFCs) and molten carbonate fuel cells (MCFCs). The PCFCs investigated in this work are based on a BaZr0.8Y0.2O3-δ (BZY20) thin electrolyte supported by BZY20/Ni porous anodes, and a triple conducting cathode material comprised of BaCo0.4Fe0.4Zr0.1Y0.1O3-δ (BCFZY0.1). These cells are prepared using a low-cost solid-state reactive sintering (SSRS) process, and are capable of power densities of 0.156 W cm−2 at 500 °C operating directly from methane fuel. We develop a manufacturing cost model to estimate the Nth generation production costs of PCFC stack technology using high volume manufacturing processes and compare them to the state-of-the-art in SOFC technology. The low-cost cell manufacturing enabled by the SSRS technique compensates for the lower PCFC power density and the trade-off between operating temperature and efficiency enables the use of lower-cost stainless steel materials. PCFC stack production cost estimates are found to be as much as 27–37% lower at 550 °C than SOFCs operating at 800 °C.","container-title":"Journal of Power Sources","DOI":"10.1016/j.jpowsour.2017.09.024","ISSN":"0378-7753","journalAbbreviation":"Journal of Power Sources","page":"65-77","source":"ScienceDirect","title":"Benchmarking the expected stack manufacturing cost of next generation, intermediate-temperature protonic ceramic fuel cells with solid oxide fuel cell technology","volume":"369","author":[{"family":"Dubois","given":"Alexis"},{"family":"Ricote","given":"Sandrine"},{"family":"Braun","given":"Robert J."}],"issued":{"date-parts":[["2017",11,30]]}}}],"schema":"https://github.com/citation-style-language/schema/raw/master/csl-citation.json"} </w:instrText>
      </w:r>
      <w:r>
        <w:fldChar w:fldCharType="separate"/>
      </w:r>
      <w:r w:rsidR="00CA7A9D" w:rsidRPr="00CA7A9D">
        <w:rPr>
          <w:rFonts w:ascii="Aptos" w:hAnsi="Aptos"/>
        </w:rPr>
        <w:t>[20]</w:t>
      </w:r>
      <w:r>
        <w:fldChar w:fldCharType="end"/>
      </w:r>
      <w:r>
        <w:t xml:space="preserve">. Therefore, instead of measuring the cost by kW as has been done historically, a price per square meter of active area </w:t>
      </w:r>
      <w:r w:rsidR="00E9792B">
        <w:t>is</w:t>
      </w:r>
      <w:r>
        <w:t xml:space="preserve"> used instead. This results in a starting value of $570.31/</w:t>
      </w:r>
      <m:oMath>
        <m:sSup>
          <m:sSupPr>
            <m:ctrlPr>
              <w:rPr>
                <w:rFonts w:ascii="Cambria Math" w:hAnsi="Cambria Math"/>
                <w:i/>
              </w:rPr>
            </m:ctrlPr>
          </m:sSupPr>
          <m:e>
            <m:r>
              <w:rPr>
                <w:rFonts w:ascii="Cambria Math" w:hAnsi="Cambria Math"/>
              </w:rPr>
              <m:t>m</m:t>
            </m:r>
          </m:e>
          <m:sup>
            <m:r>
              <w:rPr>
                <w:rFonts w:ascii="Cambria Math" w:hAnsi="Cambria Math"/>
              </w:rPr>
              <m:t>2</m:t>
            </m:r>
          </m:sup>
        </m:sSup>
      </m:oMath>
      <w:r>
        <w:rPr>
          <w:rFonts w:eastAsiaTheme="minorEastAsia"/>
        </w:rPr>
        <w:t xml:space="preserve">. Considering the factors from </w:t>
      </w:r>
      <w:r>
        <w:rPr>
          <w:rFonts w:eastAsiaTheme="minorEastAsia"/>
        </w:rPr>
        <w:fldChar w:fldCharType="begin"/>
      </w:r>
      <w:r>
        <w:rPr>
          <w:rFonts w:eastAsiaTheme="minorEastAsia"/>
        </w:rPr>
        <w:instrText xml:space="preserve"> REF _Ref164649818 \h </w:instrText>
      </w:r>
      <w:r>
        <w:rPr>
          <w:rFonts w:eastAsiaTheme="minorEastAsia"/>
        </w:rPr>
      </w:r>
      <w:r>
        <w:rPr>
          <w:rFonts w:eastAsiaTheme="minorEastAsia"/>
        </w:rPr>
        <w:fldChar w:fldCharType="separate"/>
      </w:r>
      <w:r w:rsidRPr="001746A8">
        <w:rPr>
          <w:i/>
          <w:iCs/>
        </w:rPr>
        <w:t xml:space="preserve">Table </w:t>
      </w:r>
      <w:r>
        <w:rPr>
          <w:i/>
          <w:iCs/>
        </w:rPr>
        <w:t>5.</w:t>
      </w:r>
      <w:r>
        <w:rPr>
          <w:i/>
          <w:iCs/>
          <w:noProof/>
        </w:rPr>
        <w:t>5</w:t>
      </w:r>
      <w:r>
        <w:rPr>
          <w:rFonts w:eastAsiaTheme="minorEastAsia"/>
        </w:rPr>
        <w:fldChar w:fldCharType="end"/>
      </w:r>
      <w:r>
        <w:rPr>
          <w:rFonts w:eastAsiaTheme="minorEastAsia"/>
        </w:rPr>
        <w:t xml:space="preserve">, the anode thickness in the PCFC model is double that of the value used in </w:t>
      </w:r>
      <w:r>
        <w:rPr>
          <w:rFonts w:eastAsiaTheme="minorEastAsia"/>
        </w:rPr>
        <w:fldChar w:fldCharType="begin"/>
      </w:r>
      <w:r w:rsidR="00CA7A9D">
        <w:rPr>
          <w:rFonts w:eastAsiaTheme="minorEastAsia"/>
        </w:rPr>
        <w:instrText xml:space="preserve"> ADDIN ZOTERO_ITEM CSL_CITATION {"citationID":"a2o7k3dctcg","properties":{"formattedCitation":"[20]","plainCitation":"[20]","noteIndex":0},"citationItems":[{"id":83,"uris":["http://zotero.org/users/12063231/items/NHNHNLC2"],"itemData":{"id":83,"type":"article-journal","abstract":"Recent progress in the performance of intermediate temperature (500–600 °C) protonic ceramic fuel cells (PCFCs) has demonstrated both fuel flexibility and increasing power density that approach commercial application requirements. These developments may eventually position the technology as a viable alternative to solid oxide fuel cells (SOFCs) and molten carbonate fuel cells (MCFCs). The PCFCs investigated in this work are based on a BaZr0.8Y0.2O3-δ (BZY20) thin electrolyte supported by BZY20/Ni porous anodes, and a triple conducting cathode material comprised of BaCo0.4Fe0.4Zr0.1Y0.1O3-δ (BCFZY0.1). These cells are prepared using a low-cost solid-state reactive sintering (SSRS) process, and are capable of power densities of 0.156 W cm−2 at 500 °C operating directly from methane fuel. We develop a manufacturing cost model to estimate the Nth generation production costs of PCFC stack technology using high volume manufacturing processes and compare them to the state-of-the-art in SOFC technology. The low-cost cell manufacturing enabled by the SSRS technique compensates for the lower PCFC power density and the trade-off between operating temperature and efficiency enables the use of lower-cost stainless steel materials. PCFC stack production cost estimates are found to be as much as 27–37% lower at 550 °C than SOFCs operating at 800 °C.","container-title":"Journal of Power Sources","DOI":"10.1016/j.jpowsour.2017.09.024","ISSN":"0378-7753","journalAbbreviation":"Journal of Power Sources","page":"65-77","source":"ScienceDirect","title":"Benchmarking the expected stack manufacturing cost of next generation, intermediate-temperature protonic ceramic fuel cells with solid oxide fuel cell technology","volume":"369","author":[{"family":"Dubois","given":"Alexis"},{"family":"Ricote","given":"Sandrine"},{"family":"Braun","given":"Robert J."}],"issued":{"date-parts":[["2017",11,30]]}}}],"schema":"https://github.com/citation-style-language/schema/raw/master/csl-citation.json"} </w:instrText>
      </w:r>
      <w:r>
        <w:rPr>
          <w:rFonts w:eastAsiaTheme="minorEastAsia"/>
        </w:rPr>
        <w:fldChar w:fldCharType="separate"/>
      </w:r>
      <w:r w:rsidR="00CA7A9D" w:rsidRPr="00CA7A9D">
        <w:rPr>
          <w:rFonts w:ascii="Aptos" w:hAnsi="Aptos"/>
        </w:rPr>
        <w:t>[20]</w:t>
      </w:r>
      <w:r>
        <w:rPr>
          <w:rFonts w:eastAsiaTheme="minorEastAsia"/>
        </w:rPr>
        <w:fldChar w:fldCharType="end"/>
      </w:r>
      <w:r>
        <w:rPr>
          <w:rFonts w:eastAsiaTheme="minorEastAsia"/>
        </w:rPr>
        <w:t xml:space="preserve">, so the raw material cost </w:t>
      </w:r>
      <w:r w:rsidR="00E9792B">
        <w:rPr>
          <w:rFonts w:eastAsiaTheme="minorEastAsia"/>
        </w:rPr>
        <w:t>is</w:t>
      </w:r>
      <w:r>
        <w:rPr>
          <w:rFonts w:eastAsiaTheme="minorEastAsia"/>
        </w:rPr>
        <w:t xml:space="preserve"> doubled. Due to advancements in cell manufacturing that include 3D printing processes for maximum raw material use </w:t>
      </w:r>
      <w:r>
        <w:rPr>
          <w:rFonts w:eastAsiaTheme="minorEastAsia"/>
        </w:rPr>
        <w:fldChar w:fldCharType="begin"/>
      </w:r>
      <w:r w:rsidR="00CA7A9D">
        <w:rPr>
          <w:rFonts w:eastAsiaTheme="minorEastAsia"/>
        </w:rPr>
        <w:instrText xml:space="preserve"> ADDIN ZOTERO_ITEM CSL_CITATION {"citationID":"aa4j44us6b","properties":{"formattedCitation":"[21]","plainCitation":"[21]","noteIndex":0},"citationItems":[{"id":82,"uris":["http://zotero.org/users/12063231/items/IKMWCGBN"],"itemData":{"id":82,"type":"article-journal","abstract":"Protonic ceramic fuel cells (PCFCs) are clean and efficient power generation devices operating at intermediate temperatures. However, manufacturing difficulties have limited their commercialization, especially for promising tubular PCFCs. Herein, we report a cost-effective 3D printing technique for manufacturing large-area tubular PCFCs (e.g., 15.7 cm2), featured with the use of commercial raw materials, a small amount of binder, and a CO2 laser for rapid in situ drying. The technical advantages enable low-cost material preparation and efficient achievement of exemplary shape/dimension-controlled uniform microstructures in porous anode support, dense electrolyte, and porous cathode. The 3D-printed tubular PCFC (</w:instrText>
      </w:r>
      <w:r w:rsidR="00CA7A9D">
        <w:rPr>
          <w:rFonts w:ascii="Cambria Math" w:eastAsiaTheme="minorEastAsia" w:hAnsi="Cambria Math" w:cs="Cambria Math"/>
        </w:rPr>
        <w:instrText>∼</w:instrText>
      </w:r>
      <w:r w:rsidR="00CA7A9D">
        <w:rPr>
          <w:rFonts w:eastAsiaTheme="minorEastAsia"/>
        </w:rPr>
        <w:instrText xml:space="preserve">12.5 cm2) exhibits a power output of 2.45 W at 650 °C. Meanwhile, the long-term stability is confirmed during 200 h of operation. This novel 3D printing offers great potential to advance PCFCs from the laboratory to larger scales for realistic applications.","container-title":"ACS Energy Letters","DOI":"10.1021/acsenergylett.3c01345","issue":"8","journalAbbreviation":"ACS Energy Lett.","note":"publisher: American Chemical Society","page":"3545-3551","source":"ACS Publications","title":"3D Printing Enabled Highly Scalable Tubular Protonic Ceramic Fuel Cells","volume":"8","author":[{"family":"Zou","given":"Minda"},{"family":"Conrad","given":"Jacob"},{"family":"Sheridan","given":"Bridget"},{"family":"Zhang","given":"Jiawei"},{"family":"Huang","given":"Hua"},{"family":"Mu","given":"Shenglong"},{"family":"Zhou","given":"Tianyi"},{"family":"Zhao","given":"Zeyu"},{"family":"Brinkman","given":"Kyle S."},{"family":"Xiao","given":"Hai"},{"family":"Peng","given":"Fei"},{"family":"Tong","given":"Jianhua"}],"issued":{"date-parts":[["2023",8,11]]}}}],"schema":"https://github.com/citation-style-language/schema/raw/master/csl-citation.json"} </w:instrText>
      </w:r>
      <w:r>
        <w:rPr>
          <w:rFonts w:eastAsiaTheme="minorEastAsia"/>
        </w:rPr>
        <w:fldChar w:fldCharType="separate"/>
      </w:r>
      <w:r w:rsidR="00CA7A9D" w:rsidRPr="00CA7A9D">
        <w:rPr>
          <w:rFonts w:ascii="Aptos" w:hAnsi="Aptos"/>
        </w:rPr>
        <w:t>[21]</w:t>
      </w:r>
      <w:r>
        <w:rPr>
          <w:rFonts w:eastAsiaTheme="minorEastAsia"/>
        </w:rPr>
        <w:fldChar w:fldCharType="end"/>
      </w:r>
      <w:r>
        <w:rPr>
          <w:rFonts w:eastAsiaTheme="minorEastAsia"/>
        </w:rPr>
        <w:t xml:space="preserve">, the manufacturing cost is considered to be reduced 40%. Ball milling remains the same as an important part of applying well-coated PEN layers </w:t>
      </w:r>
      <w:r>
        <w:rPr>
          <w:rFonts w:eastAsiaTheme="minorEastAsia"/>
        </w:rPr>
        <w:fldChar w:fldCharType="begin"/>
      </w:r>
      <w:r w:rsidR="00CA7A9D">
        <w:rPr>
          <w:rFonts w:eastAsiaTheme="minorEastAsia"/>
        </w:rPr>
        <w:instrText xml:space="preserve"> ADDIN ZOTERO_ITEM CSL_CITATION {"citationID":"a1uqknc8hp8","properties":{"formattedCitation":"[33]","plainCitation":"[33]","noteIndex":0},"citationItems":[{"id":591,"uris":["http://zotero.org/users/12063231/items/BE5BSF4A"],"itemData":{"id":591,"type":"article-journal","abstract":"The typically high temperatures (≥500</w:instrText>
      </w:r>
      <w:r w:rsidR="00CA7A9D">
        <w:rPr>
          <w:rFonts w:ascii="Arial" w:eastAsiaTheme="minorEastAsia" w:hAnsi="Arial" w:cs="Arial"/>
        </w:rPr>
        <w:instrText> </w:instrText>
      </w:r>
      <w:r w:rsidR="00CA7A9D">
        <w:rPr>
          <w:rFonts w:ascii="Aptos" w:eastAsiaTheme="minorEastAsia" w:hAnsi="Aptos" w:cs="Aptos"/>
        </w:rPr>
        <w:instrText>°</w:instrText>
      </w:r>
      <w:r w:rsidR="00CA7A9D">
        <w:rPr>
          <w:rFonts w:eastAsiaTheme="minorEastAsia"/>
        </w:rPr>
        <w:instrText>C) at which ceramic electrochemical cells operate place constraints on device materials and construction. Here Liu and colleagues design reversible proton-conducting electrochemical cells that can operate with high performance at temperatures of 450</w:instrText>
      </w:r>
      <w:r w:rsidR="00CA7A9D">
        <w:rPr>
          <w:rFonts w:ascii="Arial" w:eastAsiaTheme="minorEastAsia" w:hAnsi="Arial" w:cs="Arial"/>
        </w:rPr>
        <w:instrText> </w:instrText>
      </w:r>
      <w:r w:rsidR="00CA7A9D">
        <w:rPr>
          <w:rFonts w:ascii="Aptos" w:eastAsiaTheme="minorEastAsia" w:hAnsi="Aptos" w:cs="Aptos"/>
        </w:rPr>
        <w:instrText>°</w:instrText>
      </w:r>
      <w:r w:rsidR="00CA7A9D">
        <w:rPr>
          <w:rFonts w:eastAsiaTheme="minorEastAsia"/>
        </w:rPr>
        <w:instrText xml:space="preserve">C and below.","container-title":"Nature Energy","DOI":"10.1038/s41560-023-01350-4","ISSN":"2058-7546","issue":"10","journalAbbreviation":"Nat Energy","language":"en","license":"2023 The Author(s), under exclusive licence to Springer Nature Limited","note":"number: 10\npublisher: Nature Publishing Group","page":"1145-1157","source":"www.nature.com","title":"Lowering the operating temperature of protonic ceramic electrochemical cells to &lt;450 </w:instrText>
      </w:r>
      <w:r w:rsidR="00CA7A9D">
        <w:rPr>
          <w:rFonts w:ascii="Aptos" w:eastAsiaTheme="minorEastAsia" w:hAnsi="Aptos" w:cs="Aptos"/>
        </w:rPr>
        <w:instrText>°</w:instrText>
      </w:r>
      <w:r w:rsidR="00CA7A9D">
        <w:rPr>
          <w:rFonts w:eastAsiaTheme="minorEastAsia"/>
        </w:rPr>
        <w:instrText xml:space="preserve">C","volume":"8","author":[{"family":"Liu","given":"Fan"},{"family":"Deng","given":"Hao"},{"family":"Diercks","given":"David"},{"family":"Kumar","given":"Praveen"},{"family":"Jabbar","given":"Mohammed Hussain Abdul"},{"family":"Gumeci","given":"Cenk"},{"family":"Furuya","given":"Yoshihisa"},{"family":"Dale","given":"Nilesh"},{"family":"Oku","given":"Takanori"},{"family":"Usuda","given":"Masahiro"},{"family":"Kazempoor","given":"Pejman"},{"family":"Fang","given":"Liyang"},{"family":"Chen","given":"Di"},{"family":"Liu","given":"Bin"},{"family":"Duan","given":"Chuancheng"}],"issued":{"date-parts":[["2023",10]]}}}],"schema":"https://github.com/citation-style-language/schema/raw/master/csl-citation.json"} </w:instrText>
      </w:r>
      <w:r>
        <w:rPr>
          <w:rFonts w:eastAsiaTheme="minorEastAsia"/>
        </w:rPr>
        <w:fldChar w:fldCharType="separate"/>
      </w:r>
      <w:r w:rsidR="00CA7A9D" w:rsidRPr="00CA7A9D">
        <w:rPr>
          <w:rFonts w:ascii="Aptos" w:hAnsi="Aptos"/>
        </w:rPr>
        <w:t>[33]</w:t>
      </w:r>
      <w:r>
        <w:rPr>
          <w:rFonts w:eastAsiaTheme="minorEastAsia"/>
        </w:rPr>
        <w:fldChar w:fldCharType="end"/>
      </w:r>
      <w:r>
        <w:rPr>
          <w:rFonts w:eastAsiaTheme="minorEastAsia"/>
        </w:rPr>
        <w:t xml:space="preserve">. The assembly and housing, interconnects, and current collector costs </w:t>
      </w:r>
      <w:r w:rsidR="00E9792B">
        <w:rPr>
          <w:rFonts w:eastAsiaTheme="minorEastAsia"/>
        </w:rPr>
        <w:t>are</w:t>
      </w:r>
      <w:r>
        <w:rPr>
          <w:rFonts w:eastAsiaTheme="minorEastAsia"/>
        </w:rPr>
        <w:t xml:space="preserve"> reduced by 10% to account for advancements in manufacturing processes </w:t>
      </w:r>
      <w:r>
        <w:rPr>
          <w:rFonts w:eastAsiaTheme="minorEastAsia"/>
        </w:rPr>
        <w:fldChar w:fldCharType="begin"/>
      </w:r>
      <w:r w:rsidR="00CA7A9D">
        <w:rPr>
          <w:rFonts w:eastAsiaTheme="minorEastAsia"/>
        </w:rPr>
        <w:instrText xml:space="preserve"> ADDIN ZOTERO_ITEM CSL_CITATION {"citationID":"a298guelf7e","properties":{"formattedCitation":"[130]","plainCitation":"[130]","noteIndex":0},"citationItems":[{"id":74,"uris":["http://zotero.org/users/12063231/items/D85NDZHJ"],"itemData":{"id":74,"type":"article-journal","abstract":"The technology landscape around distributed generation continues to evolve in response to increasing demand for high-efficiency, low-emission, low-cost power generation. While emerging distributed power technologies, such as solid oxide fuel cells (SOFCs), continue to advance, they still face challenges due to their high capital costs, and shorter lifetimes that typically arise from electrochemical stack performance degradation at high operating temperatures (&gt;750 °C). Recent advancements in protonic ceramic fuel cells (PCFCs) offer the potential to mitigate drawbacks of their higher temperature SOFC counterparts by enabling lower operating temperatures (550 °C–600 °C) with acceptable power densities. The present work leverages the recent progress in protonic ceramic cell and stack technology development to generate viable system configurations and evaluate the energetic performance potential of PCFC-based systems for stationary power generation. Process system engineering of two water-neutral system concepts, which provide 25 kW of electric power and process hot water, are presented and evaluated through sensitivity studies. Stack design parameters are altered and used to gauge the effect on system performance characteristics, including fuel cell stack and balance-of-plant sizing requirements, and electric and cogeneration efficiencies. The study finds that the potentially high per-pass fuel utilization capability of PCFC stacks could enable unprecedented electric efficiencies approaching 70% without hybridization with other prime movers.","container-title":"Energy Conversion and Management","DOI":"10.1016/j.enconman.2021.114763","ISSN":"0196-8904","journalAbbreviation":"Energy Conversion and Management","page":"114763","source":"ScienceDirect","title":"High performance protonic ceramic fuel cell systems for distributed power generation","volume":"248","author":[{"family":"Ferguson","given":"Kyle"},{"family":"Dubois","given":"Alexis"},{"family":"Albrecht","given":"Kevin"},{"family":"Braun","given":"Robert J."}],"issued":{"date-parts":[["2021",11,15]]}}}],"schema":"https://github.com/citation-style-language/schema/raw/master/csl-citation.json"} </w:instrText>
      </w:r>
      <w:r>
        <w:rPr>
          <w:rFonts w:eastAsiaTheme="minorEastAsia"/>
        </w:rPr>
        <w:fldChar w:fldCharType="separate"/>
      </w:r>
      <w:r w:rsidR="00CA7A9D" w:rsidRPr="00CA7A9D">
        <w:rPr>
          <w:rFonts w:ascii="Aptos" w:hAnsi="Aptos"/>
        </w:rPr>
        <w:t>[130]</w:t>
      </w:r>
      <w:r>
        <w:rPr>
          <w:rFonts w:eastAsiaTheme="minorEastAsia"/>
        </w:rPr>
        <w:fldChar w:fldCharType="end"/>
      </w:r>
      <w:r>
        <w:rPr>
          <w:rFonts w:eastAsiaTheme="minorEastAsia"/>
        </w:rPr>
        <w:t>. Lastly, the cost</w:t>
      </w:r>
      <w:r w:rsidR="004D76D0">
        <w:rPr>
          <w:rFonts w:eastAsiaTheme="minorEastAsia"/>
        </w:rPr>
        <w:t>s</w:t>
      </w:r>
      <w:r>
        <w:rPr>
          <w:rFonts w:eastAsiaTheme="minorEastAsia"/>
        </w:rPr>
        <w:t xml:space="preserve"> of seals </w:t>
      </w:r>
      <w:r w:rsidR="00E9792B">
        <w:rPr>
          <w:rFonts w:eastAsiaTheme="minorEastAsia"/>
        </w:rPr>
        <w:t>are</w:t>
      </w:r>
      <w:r>
        <w:rPr>
          <w:rFonts w:eastAsiaTheme="minorEastAsia"/>
        </w:rPr>
        <w:t xml:space="preserve"> reduced by 80% due to the tubular configuration. This combination yields a price of $252.9/kW, or ~$395.2/</w:t>
      </w:r>
      <m:oMath>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2</m:t>
            </m:r>
          </m:sup>
        </m:sSup>
      </m:oMath>
      <w:r>
        <w:rPr>
          <w:rFonts w:eastAsiaTheme="minorEastAsia"/>
        </w:rPr>
        <w:t xml:space="preserve">, which is not unreasonable considering further advancements since a 2021 cost estimation attempt that returned a value of $260/kW for low-intermediate temperature PCFCs </w:t>
      </w:r>
      <w:r>
        <w:rPr>
          <w:rFonts w:eastAsiaTheme="minorEastAsia"/>
        </w:rPr>
        <w:fldChar w:fldCharType="begin"/>
      </w:r>
      <w:r w:rsidR="00CA7A9D">
        <w:rPr>
          <w:rFonts w:eastAsiaTheme="minorEastAsia"/>
        </w:rPr>
        <w:instrText xml:space="preserve"> ADDIN ZOTERO_ITEM CSL_CITATION {"citationID":"a218e8q16t0","properties":{"formattedCitation":"[132]","plainCitation":"[132]","noteIndex":0},"citationItems":[{"id":75,"uris":["http://zotero.org/users/12063231/items/CUGTEEIY"],"itemData":{"id":75,"type":"report","abstract":"This project, led by the Colorado School of Mines (CSM) with commercial partner FuelCell Energy (FCE), sought to demonstrate a novel intermediate temperature fuel cell technology operating on natural gas fuel based on proton conducting ceramic materials that combines many of the advantages of both lower temperature polymer-based fuel cells and higher-temperature solid oxide-based fuel cells while mitigating many of the disadvantages of these older fuel cell technologies. The team successfully advanced their protonic ceramic fuel cell (PCFC) technology from the small (&lt;1 cm2) laboratory button-cell scale to the commercial scale (81 cm2) utilizing low-cost, volume-qualified industrial manufacturing processes. The team validated the intrinsic high performance and high durability of the PCFC materials set at scale with large-area 81 cm2 cells operating for more than 11,000 hours at 600-650 oC, achieving cell-level degradation rates &lt;0.6%/khr and power densities &gt;500 mW/cm2. To our knowledge, these results represent the world’s largest-area and longest-duration cell tests of PCFC technology. The team also successfully demonstrated the world’s first large-area, &gt;100W natural gas-fueled PCFC stack prototype by leveraging these large-area cells with FCE’s low-cost Compact Stack Architecture (CSA). The project team also made significant advancements in modeling, simulation, design, and understanding of the overall techno-economic potential of protonic ceramic fuel cells and systems. In particular, the team developed first-of-a-kind steady-state and dynamic cell-level models for protonic ceramic cell-stack performance prediction and transient simulation (at both 1- and 3-D resolution), system level modeling, design, and optimization, and for transdisciplinary analysis of coupled, multi-physics around thermo-chemo-mechanical behaviors of protonic ceramic material systems. The first protonic ceramic stack production cost models were developed and used in system bottom-up costing and subsequently for optimal sizing and dispatch in hybrid renewable energy system configurations in building applications for value proposition analyses. The sum of these efforts enabled an understanding of application-specific design strategies on capital and life cycle system costs, as well the development of quantitative competitive advantage summaries of the technology. The findings concluded that PCFC-based systems always resulted in higher relative savings than conventional generation and RES-only systems for the given scenario (with PCFC systems exemplified as the most cost-effective solution of all the CHP options). These savings are upwards of 20 to 40 percent across all sites, and are typically higher when some fraction of thermal loads are served with PCFC CHP systems. Competitively, the life cycle savings advantage of PCFCs over conventional generation (MTs and ICEs) ranges between 5-20%, and is the advantage is about 2 to 8% over other SOFC technologies.","language":"English","note":"DOI: 10.2172/1861417","number":"Final Report: DOE-CSM-0493-1","publisher":"Colorado School of Mines, Golden, CO (United States)","source":"www.osti.gov","title":"Low-Cost Intermediate-Temperature Fuel-Flexible Protonic-Ceramic Fuel Cell and Stack","URL":"https://www.osti.gov/biblio/1861417","author":[{"family":"O'Hayre","given":"Ryan"},{"family":"Sullivan","given":"Neal"},{"family":"Kee","given":"Robert"},{"family":"Braun","given":"Robert"},{"family":"Ghezel-Ayagh","given":"Hossein"},{"family":"Tang","given":"Eric"},{"family":"Pastula","given":"Michael"}],"accessed":{"date-parts":[["2023",9,11]]},"issued":{"date-parts":[["2021",9,15]]}}}],"schema":"https://github.com/citation-style-language/schema/raw/master/csl-citation.json"} </w:instrText>
      </w:r>
      <w:r>
        <w:rPr>
          <w:rFonts w:eastAsiaTheme="minorEastAsia"/>
        </w:rPr>
        <w:fldChar w:fldCharType="separate"/>
      </w:r>
      <w:r w:rsidR="00CA7A9D" w:rsidRPr="00CA7A9D">
        <w:rPr>
          <w:rFonts w:ascii="Aptos" w:hAnsi="Aptos"/>
        </w:rPr>
        <w:t>[132]</w:t>
      </w:r>
      <w:r>
        <w:rPr>
          <w:rFonts w:eastAsiaTheme="minorEastAsia"/>
        </w:rPr>
        <w:fldChar w:fldCharType="end"/>
      </w:r>
      <w:r>
        <w:rPr>
          <w:rFonts w:eastAsiaTheme="minorEastAsia"/>
        </w:rPr>
        <w:t>.</w:t>
      </w:r>
    </w:p>
    <w:p w14:paraId="79FA9541" w14:textId="77777777" w:rsidR="00B927C8" w:rsidRDefault="00B927C8" w:rsidP="00B927C8">
      <w:pPr>
        <w:pStyle w:val="Heading3"/>
      </w:pPr>
      <w:bookmarkStart w:id="180" w:name="_Toc165641106"/>
      <w:r>
        <w:rPr>
          <w:rFonts w:eastAsiaTheme="minorEastAsia"/>
        </w:rPr>
        <w:t>5.3.2 Cost analysis results</w:t>
      </w:r>
      <w:bookmarkEnd w:id="180"/>
    </w:p>
    <w:p w14:paraId="1D3CDCB8" w14:textId="04CE3B06" w:rsidR="00B927C8" w:rsidRPr="00500FBE" w:rsidRDefault="00B927C8" w:rsidP="00B927C8">
      <w:r w:rsidRPr="001746A8">
        <w:t>Using</w:t>
      </w:r>
      <w:r>
        <w:t xml:space="preserve"> the</w:t>
      </w:r>
      <w:r w:rsidRPr="001746A8">
        <w:t xml:space="preserve"> </w:t>
      </w:r>
      <w:r>
        <w:t>values described above</w:t>
      </w:r>
      <w:r w:rsidRPr="001746A8">
        <w:t xml:space="preserve"> in the calculations and assumptions outlined for the model, the </w:t>
      </w:r>
      <w:r>
        <w:t xml:space="preserve">raw data from the </w:t>
      </w:r>
      <w:r w:rsidRPr="001746A8">
        <w:t xml:space="preserve">projected economic results of </w:t>
      </w:r>
      <w:r w:rsidR="00BA6723" w:rsidRPr="001746A8">
        <w:t>implementing the</w:t>
      </w:r>
      <w:r w:rsidRPr="001746A8">
        <w:t xml:space="preserve"> PCER system are shown in </w:t>
      </w:r>
      <w:r w:rsidRPr="001746A8">
        <w:fldChar w:fldCharType="begin"/>
      </w:r>
      <w:r w:rsidRPr="001746A8">
        <w:instrText xml:space="preserve"> REF _Ref147792509 \h </w:instrText>
      </w:r>
      <w:r w:rsidRPr="001746A8">
        <w:fldChar w:fldCharType="separate"/>
      </w:r>
      <w:r w:rsidRPr="00663CB6">
        <w:t xml:space="preserve">Table </w:t>
      </w:r>
      <w:r>
        <w:t>5.</w:t>
      </w:r>
      <w:r>
        <w:rPr>
          <w:noProof/>
        </w:rPr>
        <w:t>6</w:t>
      </w:r>
      <w:r w:rsidRPr="001746A8">
        <w:fldChar w:fldCharType="end"/>
      </w:r>
      <w:r>
        <w:t xml:space="preserve">. There are several companies that offer modular CCSs that would work for this application, but none of them have any posted prices, and those who have responded to inquiries have claimed their prices are under a non-disclosure agreement. So instead, it </w:t>
      </w:r>
      <w:r w:rsidR="00E9792B">
        <w:t>is</w:t>
      </w:r>
      <w:r>
        <w:t xml:space="preserve"> assumed they can be purchased for $1 million, which is lumped into the capital costs. In addition, CCS’s require a lot of energy, of which 100kWh is being taken from the energy produced by the PCFC for a constant source, and the remaining needed energy will ideally come in the form of heat from the PCFC outlet, which must be cooled and can provide 500-1150 kWh </w:t>
      </w:r>
      <w:r w:rsidR="008725BE">
        <w:t xml:space="preserve">of heat energy </w:t>
      </w:r>
      <w:r>
        <w:t>depending on the chosen scenario.</w:t>
      </w:r>
      <w:r w:rsidRPr="001746A8">
        <w:t xml:space="preserve"> </w:t>
      </w:r>
      <w:r>
        <w:t xml:space="preserve">To determine trends and best future applications, four scenarios </w:t>
      </w:r>
      <w:r w:rsidR="00E9792B">
        <w:t>are</w:t>
      </w:r>
      <w:r>
        <w:t xml:space="preserve"> considered, wherein the 177 kg/h average flow through the system represented 1</w:t>
      </w:r>
      <w:r>
        <w:rPr>
          <w:rFonts w:eastAsia="Calibri" w:cs="Times New Roman"/>
        </w:rPr>
        <w:t xml:space="preserve">, </w:t>
      </w:r>
      <w:r>
        <w:t>1.5,</w:t>
      </w:r>
      <w:r>
        <w:rPr>
          <w:rFonts w:eastAsia="Calibri" w:cs="Times New Roman"/>
        </w:rPr>
        <w:t xml:space="preserve"> 2, </w:t>
      </w:r>
      <w:r w:rsidR="00C32119">
        <w:rPr>
          <w:rFonts w:eastAsia="Calibri" w:cs="Times New Roman"/>
        </w:rPr>
        <w:t>and</w:t>
      </w:r>
      <w:r>
        <w:rPr>
          <w:rFonts w:eastAsia="Calibri" w:cs="Times New Roman"/>
        </w:rPr>
        <w:t xml:space="preserve"> 3</w:t>
      </w:r>
      <w:r>
        <w:t xml:space="preserve"> </w:t>
      </w:r>
      <w:r w:rsidRPr="00500FBE">
        <w:rPr>
          <w:rFonts w:eastAsia="Calibri" w:cs="Times New Roman"/>
        </w:rPr>
        <w:t>Lg</w:t>
      </w:r>
      <w:r w:rsidRPr="00500FBE">
        <w:rPr>
          <w:rFonts w:eastAsia="Calibri" w:cs="Times New Roman"/>
          <w:vertAlign w:val="subscript"/>
        </w:rPr>
        <w:t>cat</w:t>
      </w:r>
      <w:r w:rsidRPr="00500FBE">
        <w:rPr>
          <w:rFonts w:eastAsia="Calibri" w:cs="Times New Roman"/>
          <w:vertAlign w:val="superscript"/>
        </w:rPr>
        <w:t>-1</w:t>
      </w:r>
      <w:r w:rsidRPr="00500FBE">
        <w:rPr>
          <w:rFonts w:eastAsia="Calibri" w:cs="Times New Roman"/>
        </w:rPr>
        <w:t>h</w:t>
      </w:r>
      <w:r w:rsidRPr="00500FBE">
        <w:rPr>
          <w:rFonts w:eastAsia="Calibri" w:cs="Times New Roman"/>
          <w:vertAlign w:val="superscript"/>
        </w:rPr>
        <w:t>-1</w:t>
      </w:r>
      <w:r>
        <w:rPr>
          <w:rFonts w:eastAsia="Calibri" w:cs="Times New Roman"/>
        </w:rPr>
        <w:t xml:space="preserve">. Each scenario </w:t>
      </w:r>
      <w:r w:rsidR="00EB6FFF">
        <w:rPr>
          <w:rFonts w:eastAsia="Calibri" w:cs="Times New Roman"/>
        </w:rPr>
        <w:t>is</w:t>
      </w:r>
      <w:r>
        <w:rPr>
          <w:rFonts w:eastAsia="Calibri" w:cs="Times New Roman"/>
        </w:rPr>
        <w:t xml:space="preserve"> adjusted to operate at its peak power density, which </w:t>
      </w:r>
      <w:r w:rsidR="00E9792B">
        <w:rPr>
          <w:rFonts w:eastAsia="Calibri" w:cs="Times New Roman"/>
        </w:rPr>
        <w:t>are</w:t>
      </w:r>
      <w:r>
        <w:rPr>
          <w:rFonts w:eastAsia="Calibri" w:cs="Times New Roman"/>
        </w:rPr>
        <w:t xml:space="preserve"> approximately 0.016, 0.018, 0.02 and 0.023 </w:t>
      </w:r>
      <m:oMath>
        <m:r>
          <w:rPr>
            <w:rFonts w:ascii="Cambria Math" w:eastAsia="Calibri" w:hAnsi="Cambria Math" w:cs="Times New Roman"/>
          </w:rPr>
          <m:t>A/c</m:t>
        </m:r>
        <m:sSup>
          <m:sSupPr>
            <m:ctrlPr>
              <w:rPr>
                <w:rFonts w:ascii="Cambria Math" w:eastAsia="Calibri" w:hAnsi="Cambria Math" w:cs="Times New Roman"/>
                <w:i/>
              </w:rPr>
            </m:ctrlPr>
          </m:sSupPr>
          <m:e>
            <m:r>
              <w:rPr>
                <w:rFonts w:ascii="Cambria Math" w:eastAsia="Calibri" w:hAnsi="Cambria Math" w:cs="Times New Roman"/>
              </w:rPr>
              <m:t>m</m:t>
            </m:r>
          </m:e>
          <m:sup>
            <m:r>
              <w:rPr>
                <w:rFonts w:ascii="Cambria Math" w:eastAsia="Calibri" w:hAnsi="Cambria Math" w:cs="Times New Roman"/>
              </w:rPr>
              <m:t>2</m:t>
            </m:r>
          </m:sup>
        </m:sSup>
      </m:oMath>
      <w:r>
        <w:rPr>
          <w:rFonts w:eastAsia="Calibri" w:cs="Times New Roman"/>
        </w:rPr>
        <w:t xml:space="preserve">, respectively. Naturally, small amounts of water may need to be added to maintain the 5% water in the inlet stream, which is important to </w:t>
      </w:r>
      <w:r w:rsidR="00C32119">
        <w:rPr>
          <w:rFonts w:eastAsia="Calibri" w:cs="Times New Roman"/>
        </w:rPr>
        <w:t>ensure</w:t>
      </w:r>
      <w:r>
        <w:rPr>
          <w:rFonts w:eastAsia="Calibri" w:cs="Times New Roman"/>
        </w:rPr>
        <w:t xml:space="preserve"> appropriate hydrogen levels throughout the cell for the current to draw on. This is represented by the utilities cost gradually increasing with the space </w:t>
      </w:r>
      <w:r w:rsidRPr="005253EB">
        <w:rPr>
          <w:rFonts w:eastAsia="Calibri" w:cs="Times New Roman"/>
        </w:rPr>
        <w:t xml:space="preserve">velocity in </w:t>
      </w:r>
      <w:r w:rsidRPr="005253EB">
        <w:rPr>
          <w:rFonts w:eastAsia="Calibri" w:cs="Times New Roman"/>
        </w:rPr>
        <w:fldChar w:fldCharType="begin"/>
      </w:r>
      <w:r w:rsidRPr="005253EB">
        <w:rPr>
          <w:rFonts w:eastAsia="Calibri" w:cs="Times New Roman"/>
        </w:rPr>
        <w:instrText xml:space="preserve"> REF _Ref147792509 \h  \* MERGEFORMAT </w:instrText>
      </w:r>
      <w:r w:rsidRPr="005253EB">
        <w:rPr>
          <w:rFonts w:eastAsia="Calibri" w:cs="Times New Roman"/>
        </w:rPr>
      </w:r>
      <w:r w:rsidRPr="005253EB">
        <w:rPr>
          <w:rFonts w:eastAsia="Calibri" w:cs="Times New Roman"/>
        </w:rPr>
        <w:fldChar w:fldCharType="separate"/>
      </w:r>
      <w:r w:rsidRPr="005A2C75">
        <w:rPr>
          <w:rFonts w:eastAsia="Calibri" w:cs="Times New Roman"/>
          <w:color w:val="44546A"/>
        </w:rPr>
        <w:t>Table 5.6</w:t>
      </w:r>
      <w:r w:rsidRPr="005253EB">
        <w:rPr>
          <w:rFonts w:eastAsia="Calibri" w:cs="Times New Roman"/>
        </w:rPr>
        <w:fldChar w:fldCharType="end"/>
      </w:r>
      <w:r>
        <w:rPr>
          <w:rFonts w:eastAsia="Calibri" w:cs="Times New Roman"/>
        </w:rPr>
        <w:t>.</w:t>
      </w:r>
    </w:p>
    <w:p w14:paraId="42EC4D4B" w14:textId="67F011FB" w:rsidR="00B927C8" w:rsidRPr="00663CB6" w:rsidRDefault="00B927C8" w:rsidP="00B927C8">
      <w:pPr>
        <w:pStyle w:val="Caption"/>
      </w:pPr>
      <w:bookmarkStart w:id="181" w:name="_Ref147792509"/>
      <w:bookmarkStart w:id="182" w:name="_Toc165641125"/>
      <w:r w:rsidRPr="00663CB6">
        <w:t xml:space="preserve">Table </w:t>
      </w:r>
      <w:r>
        <w:t>5.</w:t>
      </w:r>
      <w:r w:rsidRPr="00663CB6">
        <w:fldChar w:fldCharType="begin"/>
      </w:r>
      <w:r w:rsidRPr="00663CB6">
        <w:instrText xml:space="preserve"> SEQ Table \* ARABIC </w:instrText>
      </w:r>
      <w:r w:rsidRPr="00663CB6">
        <w:fldChar w:fldCharType="separate"/>
      </w:r>
      <w:r>
        <w:rPr>
          <w:noProof/>
        </w:rPr>
        <w:t>6</w:t>
      </w:r>
      <w:r w:rsidRPr="00663CB6">
        <w:rPr>
          <w:noProof/>
        </w:rPr>
        <w:fldChar w:fldCharType="end"/>
      </w:r>
      <w:bookmarkEnd w:id="181"/>
      <w:r w:rsidRPr="00663CB6">
        <w:t>:Summary of capital cost breakdown</w:t>
      </w:r>
      <w:bookmarkEnd w:id="182"/>
    </w:p>
    <w:tbl>
      <w:tblPr>
        <w:tblStyle w:val="TableGrid"/>
        <w:tblW w:w="9000" w:type="dxa"/>
        <w:jc w:val="center"/>
        <w:tblLayout w:type="fixed"/>
        <w:tblLook w:val="04A0" w:firstRow="1" w:lastRow="0" w:firstColumn="1" w:lastColumn="0" w:noHBand="0" w:noVBand="1"/>
      </w:tblPr>
      <w:tblGrid>
        <w:gridCol w:w="2515"/>
        <w:gridCol w:w="1621"/>
        <w:gridCol w:w="1621"/>
        <w:gridCol w:w="1621"/>
        <w:gridCol w:w="1622"/>
      </w:tblGrid>
      <w:tr w:rsidR="00B927C8" w:rsidRPr="00663CB6" w14:paraId="212183F4" w14:textId="77777777" w:rsidTr="00415020">
        <w:trPr>
          <w:trHeight w:val="288"/>
          <w:jc w:val="center"/>
        </w:trPr>
        <w:tc>
          <w:tcPr>
            <w:tcW w:w="2515" w:type="dxa"/>
            <w:noWrap/>
            <w:hideMark/>
          </w:tcPr>
          <w:p w14:paraId="7E5E16E6" w14:textId="77777777" w:rsidR="00B927C8" w:rsidRPr="00663CB6" w:rsidRDefault="00B927C8" w:rsidP="00C77590">
            <w:pPr>
              <w:spacing w:line="240" w:lineRule="auto"/>
              <w:ind w:firstLine="0"/>
              <w:rPr>
                <w:rFonts w:eastAsia="Calibri" w:cs="Times New Roman"/>
                <w:b/>
                <w:bCs/>
              </w:rPr>
            </w:pPr>
            <w:bookmarkStart w:id="183" w:name="_Hlk164662945"/>
          </w:p>
        </w:tc>
        <w:tc>
          <w:tcPr>
            <w:tcW w:w="1621" w:type="dxa"/>
            <w:noWrap/>
            <w:hideMark/>
          </w:tcPr>
          <w:p w14:paraId="7AA181E4" w14:textId="77777777" w:rsidR="00B927C8" w:rsidRPr="00236596" w:rsidRDefault="00B927C8" w:rsidP="00C77590">
            <w:pPr>
              <w:spacing w:line="240" w:lineRule="auto"/>
              <w:ind w:firstLine="0"/>
              <w:rPr>
                <w:rFonts w:eastAsia="Calibri" w:cs="Times New Roman"/>
                <w:b/>
                <w:bCs/>
              </w:rPr>
            </w:pPr>
            <w:r w:rsidRPr="00663CB6">
              <w:rPr>
                <w:rFonts w:eastAsia="Calibri" w:cs="Times New Roman"/>
                <w:b/>
                <w:bCs/>
              </w:rPr>
              <w:t>1</w:t>
            </w:r>
            <w:r>
              <w:rPr>
                <w:rFonts w:eastAsia="Calibri" w:cs="Times New Roman"/>
                <w:b/>
                <w:bCs/>
              </w:rPr>
              <w:t xml:space="preserve"> Lg</w:t>
            </w:r>
            <w:r>
              <w:rPr>
                <w:rFonts w:eastAsia="Calibri" w:cs="Times New Roman"/>
                <w:b/>
                <w:bCs/>
                <w:vertAlign w:val="subscript"/>
              </w:rPr>
              <w:t>cat</w:t>
            </w:r>
            <w:r>
              <w:rPr>
                <w:rFonts w:eastAsia="Calibri" w:cs="Times New Roman"/>
                <w:b/>
                <w:bCs/>
                <w:vertAlign w:val="superscript"/>
              </w:rPr>
              <w:t>-1</w:t>
            </w:r>
            <w:r>
              <w:rPr>
                <w:rFonts w:eastAsia="Calibri" w:cs="Times New Roman"/>
                <w:b/>
                <w:bCs/>
              </w:rPr>
              <w:t>h</w:t>
            </w:r>
            <w:r>
              <w:rPr>
                <w:rFonts w:eastAsia="Calibri" w:cs="Times New Roman"/>
                <w:b/>
                <w:bCs/>
                <w:vertAlign w:val="superscript"/>
              </w:rPr>
              <w:t>-1</w:t>
            </w:r>
          </w:p>
        </w:tc>
        <w:tc>
          <w:tcPr>
            <w:tcW w:w="1621" w:type="dxa"/>
            <w:noWrap/>
            <w:hideMark/>
          </w:tcPr>
          <w:p w14:paraId="21011046" w14:textId="77777777" w:rsidR="00B927C8" w:rsidRPr="00663CB6" w:rsidRDefault="00B927C8" w:rsidP="00C77590">
            <w:pPr>
              <w:spacing w:line="240" w:lineRule="auto"/>
              <w:ind w:firstLine="0"/>
              <w:rPr>
                <w:rFonts w:eastAsia="Calibri" w:cs="Times New Roman"/>
                <w:b/>
                <w:bCs/>
              </w:rPr>
            </w:pPr>
            <w:r>
              <w:rPr>
                <w:rFonts w:eastAsia="Calibri" w:cs="Times New Roman"/>
                <w:b/>
                <w:bCs/>
              </w:rPr>
              <w:t>1.5 Lg</w:t>
            </w:r>
            <w:r>
              <w:rPr>
                <w:rFonts w:eastAsia="Calibri" w:cs="Times New Roman"/>
                <w:b/>
                <w:bCs/>
                <w:vertAlign w:val="subscript"/>
              </w:rPr>
              <w:t>cat</w:t>
            </w:r>
            <w:r>
              <w:rPr>
                <w:rFonts w:eastAsia="Calibri" w:cs="Times New Roman"/>
                <w:b/>
                <w:bCs/>
                <w:vertAlign w:val="superscript"/>
              </w:rPr>
              <w:t>-1</w:t>
            </w:r>
            <w:r>
              <w:rPr>
                <w:rFonts w:eastAsia="Calibri" w:cs="Times New Roman"/>
                <w:b/>
                <w:bCs/>
              </w:rPr>
              <w:t>h</w:t>
            </w:r>
            <w:r>
              <w:rPr>
                <w:rFonts w:eastAsia="Calibri" w:cs="Times New Roman"/>
                <w:b/>
                <w:bCs/>
                <w:vertAlign w:val="superscript"/>
              </w:rPr>
              <w:t>-1</w:t>
            </w:r>
          </w:p>
        </w:tc>
        <w:tc>
          <w:tcPr>
            <w:tcW w:w="1621" w:type="dxa"/>
          </w:tcPr>
          <w:p w14:paraId="40DA1E6D" w14:textId="77777777" w:rsidR="00B927C8" w:rsidRPr="00663CB6" w:rsidRDefault="00B927C8" w:rsidP="00C77590">
            <w:pPr>
              <w:spacing w:line="240" w:lineRule="auto"/>
              <w:ind w:firstLine="0"/>
              <w:rPr>
                <w:rFonts w:eastAsia="Calibri" w:cs="Times New Roman"/>
                <w:b/>
                <w:bCs/>
              </w:rPr>
            </w:pPr>
            <w:r>
              <w:rPr>
                <w:rFonts w:eastAsia="Calibri" w:cs="Times New Roman"/>
                <w:b/>
                <w:bCs/>
              </w:rPr>
              <w:t>2 Lg</w:t>
            </w:r>
            <w:r>
              <w:rPr>
                <w:rFonts w:eastAsia="Calibri" w:cs="Times New Roman"/>
                <w:b/>
                <w:bCs/>
                <w:vertAlign w:val="subscript"/>
              </w:rPr>
              <w:t>cat</w:t>
            </w:r>
            <w:r>
              <w:rPr>
                <w:rFonts w:eastAsia="Calibri" w:cs="Times New Roman"/>
                <w:b/>
                <w:bCs/>
                <w:vertAlign w:val="superscript"/>
              </w:rPr>
              <w:t>-1</w:t>
            </w:r>
            <w:r>
              <w:rPr>
                <w:rFonts w:eastAsia="Calibri" w:cs="Times New Roman"/>
                <w:b/>
                <w:bCs/>
              </w:rPr>
              <w:t>h</w:t>
            </w:r>
            <w:r>
              <w:rPr>
                <w:rFonts w:eastAsia="Calibri" w:cs="Times New Roman"/>
                <w:b/>
                <w:bCs/>
                <w:vertAlign w:val="superscript"/>
              </w:rPr>
              <w:t>-1</w:t>
            </w:r>
          </w:p>
        </w:tc>
        <w:tc>
          <w:tcPr>
            <w:tcW w:w="1622" w:type="dxa"/>
          </w:tcPr>
          <w:p w14:paraId="0ACE2301" w14:textId="77777777" w:rsidR="00B927C8" w:rsidRPr="00663CB6" w:rsidRDefault="00B927C8" w:rsidP="00C77590">
            <w:pPr>
              <w:spacing w:line="240" w:lineRule="auto"/>
              <w:ind w:firstLine="0"/>
              <w:rPr>
                <w:rFonts w:eastAsia="Calibri" w:cs="Times New Roman"/>
                <w:b/>
                <w:bCs/>
              </w:rPr>
            </w:pPr>
            <w:r>
              <w:rPr>
                <w:rFonts w:eastAsia="Calibri" w:cs="Times New Roman"/>
                <w:b/>
                <w:bCs/>
              </w:rPr>
              <w:t>3 Lg</w:t>
            </w:r>
            <w:r>
              <w:rPr>
                <w:rFonts w:eastAsia="Calibri" w:cs="Times New Roman"/>
                <w:b/>
                <w:bCs/>
                <w:vertAlign w:val="subscript"/>
              </w:rPr>
              <w:t>cat</w:t>
            </w:r>
            <w:r>
              <w:rPr>
                <w:rFonts w:eastAsia="Calibri" w:cs="Times New Roman"/>
                <w:b/>
                <w:bCs/>
                <w:vertAlign w:val="superscript"/>
              </w:rPr>
              <w:t>-1</w:t>
            </w:r>
            <w:r>
              <w:rPr>
                <w:rFonts w:eastAsia="Calibri" w:cs="Times New Roman"/>
                <w:b/>
                <w:bCs/>
              </w:rPr>
              <w:t>h</w:t>
            </w:r>
            <w:r>
              <w:rPr>
                <w:rFonts w:eastAsia="Calibri" w:cs="Times New Roman"/>
                <w:b/>
                <w:bCs/>
                <w:vertAlign w:val="superscript"/>
              </w:rPr>
              <w:t>-1</w:t>
            </w:r>
          </w:p>
        </w:tc>
      </w:tr>
      <w:bookmarkEnd w:id="183"/>
      <w:tr w:rsidR="00B927C8" w:rsidRPr="00663CB6" w14:paraId="0F8DA28D" w14:textId="77777777" w:rsidTr="00415020">
        <w:trPr>
          <w:trHeight w:val="288"/>
          <w:jc w:val="center"/>
        </w:trPr>
        <w:tc>
          <w:tcPr>
            <w:tcW w:w="2515" w:type="dxa"/>
            <w:noWrap/>
            <w:hideMark/>
          </w:tcPr>
          <w:p w14:paraId="1DCFF006" w14:textId="31A5B59D" w:rsidR="00B927C8" w:rsidRPr="00663CB6" w:rsidRDefault="00B927C8" w:rsidP="00C77590">
            <w:pPr>
              <w:spacing w:line="240" w:lineRule="auto"/>
              <w:ind w:firstLine="0"/>
              <w:rPr>
                <w:rFonts w:eastAsia="Calibri" w:cs="Times New Roman"/>
                <w:b/>
                <w:bCs/>
              </w:rPr>
            </w:pPr>
            <w:r w:rsidRPr="00663CB6">
              <w:rPr>
                <w:rFonts w:eastAsia="Calibri" w:cs="Times New Roman"/>
                <w:b/>
                <w:bCs/>
              </w:rPr>
              <w:t>Total Capital Cost [</w:t>
            </w:r>
            <w:r w:rsidR="00D93627">
              <w:rPr>
                <w:rFonts w:eastAsia="Calibri" w:cs="Times New Roman"/>
                <w:b/>
                <w:bCs/>
              </w:rPr>
              <w:t>$</w:t>
            </w:r>
            <w:r w:rsidRPr="00663CB6">
              <w:rPr>
                <w:rFonts w:eastAsia="Calibri" w:cs="Times New Roman"/>
                <w:b/>
                <w:bCs/>
              </w:rPr>
              <w:t>]</w:t>
            </w:r>
          </w:p>
        </w:tc>
        <w:tc>
          <w:tcPr>
            <w:tcW w:w="1621" w:type="dxa"/>
            <w:noWrap/>
            <w:vAlign w:val="center"/>
            <w:hideMark/>
          </w:tcPr>
          <w:p w14:paraId="4D37DB7D" w14:textId="69A7B354" w:rsidR="00B927C8" w:rsidRPr="00663CB6" w:rsidRDefault="00B927C8" w:rsidP="00415020">
            <w:pPr>
              <w:spacing w:line="240" w:lineRule="auto"/>
              <w:ind w:firstLine="0"/>
              <w:jc w:val="left"/>
              <w:rPr>
                <w:rFonts w:eastAsia="Calibri" w:cs="Times New Roman"/>
              </w:rPr>
            </w:pPr>
            <w:r>
              <w:rPr>
                <w:rFonts w:ascii="Calibri" w:hAnsi="Calibri" w:cs="Calibri"/>
                <w:color w:val="000000"/>
              </w:rPr>
              <w:t xml:space="preserve"> $ 8,419,463 </w:t>
            </w:r>
          </w:p>
        </w:tc>
        <w:tc>
          <w:tcPr>
            <w:tcW w:w="1621" w:type="dxa"/>
            <w:noWrap/>
            <w:vAlign w:val="center"/>
            <w:hideMark/>
          </w:tcPr>
          <w:p w14:paraId="72EC24EC" w14:textId="6F7B1209" w:rsidR="00B927C8" w:rsidRPr="00663CB6" w:rsidRDefault="00B927C8" w:rsidP="00415020">
            <w:pPr>
              <w:spacing w:line="240" w:lineRule="auto"/>
              <w:ind w:firstLine="0"/>
              <w:jc w:val="left"/>
              <w:rPr>
                <w:rFonts w:eastAsia="Calibri" w:cs="Times New Roman"/>
              </w:rPr>
            </w:pPr>
            <w:r>
              <w:rPr>
                <w:rFonts w:ascii="Calibri" w:hAnsi="Calibri" w:cs="Calibri"/>
                <w:color w:val="000000"/>
              </w:rPr>
              <w:t xml:space="preserve"> $</w:t>
            </w:r>
            <w:r w:rsidR="00C80BDB">
              <w:rPr>
                <w:rFonts w:ascii="Calibri" w:hAnsi="Calibri" w:cs="Calibri"/>
                <w:color w:val="000000"/>
              </w:rPr>
              <w:t xml:space="preserve"> </w:t>
            </w:r>
            <w:r>
              <w:rPr>
                <w:rFonts w:ascii="Calibri" w:hAnsi="Calibri" w:cs="Calibri"/>
                <w:color w:val="000000"/>
              </w:rPr>
              <w:t>7,995,29</w:t>
            </w:r>
            <w:r w:rsidR="00BE76E3">
              <w:rPr>
                <w:rFonts w:ascii="Calibri" w:hAnsi="Calibri" w:cs="Calibri"/>
                <w:color w:val="000000"/>
              </w:rPr>
              <w:t>9</w:t>
            </w:r>
            <w:r>
              <w:rPr>
                <w:rFonts w:ascii="Calibri" w:hAnsi="Calibri" w:cs="Calibri"/>
                <w:color w:val="000000"/>
              </w:rPr>
              <w:t xml:space="preserve"> </w:t>
            </w:r>
          </w:p>
        </w:tc>
        <w:tc>
          <w:tcPr>
            <w:tcW w:w="1621" w:type="dxa"/>
            <w:vAlign w:val="center"/>
          </w:tcPr>
          <w:p w14:paraId="68515BC1" w14:textId="70971CC6" w:rsidR="00B927C8" w:rsidRPr="00663CB6" w:rsidRDefault="00B927C8" w:rsidP="00415020">
            <w:pPr>
              <w:spacing w:line="240" w:lineRule="auto"/>
              <w:ind w:firstLine="0"/>
              <w:jc w:val="left"/>
              <w:rPr>
                <w:rFonts w:eastAsia="Calibri" w:cs="Times New Roman"/>
              </w:rPr>
            </w:pPr>
            <w:r>
              <w:rPr>
                <w:rFonts w:ascii="Calibri" w:hAnsi="Calibri" w:cs="Calibri"/>
                <w:color w:val="000000"/>
              </w:rPr>
              <w:t xml:space="preserve"> $</w:t>
            </w:r>
            <w:r w:rsidR="0083677E">
              <w:rPr>
                <w:rFonts w:ascii="Calibri" w:hAnsi="Calibri" w:cs="Calibri"/>
                <w:color w:val="000000"/>
              </w:rPr>
              <w:t xml:space="preserve"> </w:t>
            </w:r>
            <w:r>
              <w:rPr>
                <w:rFonts w:ascii="Calibri" w:hAnsi="Calibri" w:cs="Calibri"/>
                <w:color w:val="000000"/>
              </w:rPr>
              <w:t>7,629,57</w:t>
            </w:r>
            <w:r w:rsidR="00BE76E3">
              <w:rPr>
                <w:rFonts w:ascii="Calibri" w:hAnsi="Calibri" w:cs="Calibri"/>
                <w:color w:val="000000"/>
              </w:rPr>
              <w:t>5</w:t>
            </w:r>
            <w:r>
              <w:rPr>
                <w:rFonts w:ascii="Calibri" w:hAnsi="Calibri" w:cs="Calibri"/>
                <w:color w:val="000000"/>
              </w:rPr>
              <w:t xml:space="preserve"> </w:t>
            </w:r>
          </w:p>
        </w:tc>
        <w:tc>
          <w:tcPr>
            <w:tcW w:w="1622" w:type="dxa"/>
            <w:vAlign w:val="center"/>
          </w:tcPr>
          <w:p w14:paraId="1439FC38" w14:textId="4B562E08" w:rsidR="00B927C8" w:rsidRPr="00663CB6" w:rsidRDefault="00B927C8" w:rsidP="00415020">
            <w:pPr>
              <w:spacing w:line="240" w:lineRule="auto"/>
              <w:ind w:firstLine="0"/>
              <w:jc w:val="left"/>
              <w:rPr>
                <w:rFonts w:eastAsia="Calibri" w:cs="Times New Roman"/>
              </w:rPr>
            </w:pPr>
            <w:r>
              <w:rPr>
                <w:rFonts w:ascii="Calibri" w:hAnsi="Calibri" w:cs="Calibri"/>
                <w:color w:val="000000"/>
              </w:rPr>
              <w:t xml:space="preserve"> $ 6,671,092 </w:t>
            </w:r>
          </w:p>
        </w:tc>
      </w:tr>
      <w:tr w:rsidR="00B927C8" w:rsidRPr="00663CB6" w14:paraId="0D81A4F3" w14:textId="77777777" w:rsidTr="00415020">
        <w:trPr>
          <w:trHeight w:val="288"/>
          <w:jc w:val="center"/>
        </w:trPr>
        <w:tc>
          <w:tcPr>
            <w:tcW w:w="2515" w:type="dxa"/>
            <w:noWrap/>
            <w:hideMark/>
          </w:tcPr>
          <w:p w14:paraId="47A1A329" w14:textId="43707633" w:rsidR="00B927C8" w:rsidRPr="00663CB6" w:rsidRDefault="00B927C8" w:rsidP="00F125BC">
            <w:pPr>
              <w:spacing w:line="240" w:lineRule="auto"/>
              <w:ind w:firstLine="0"/>
              <w:jc w:val="left"/>
              <w:rPr>
                <w:rFonts w:eastAsia="Calibri" w:cs="Times New Roman"/>
                <w:b/>
                <w:bCs/>
              </w:rPr>
            </w:pPr>
            <w:r w:rsidRPr="00663CB6">
              <w:rPr>
                <w:rFonts w:eastAsia="Calibri" w:cs="Times New Roman"/>
                <w:b/>
                <w:bCs/>
              </w:rPr>
              <w:t>Total Operating Cost [</w:t>
            </w:r>
            <w:r w:rsidR="0076393C">
              <w:rPr>
                <w:rFonts w:eastAsia="Calibri" w:cs="Times New Roman"/>
                <w:b/>
                <w:bCs/>
              </w:rPr>
              <w:t>$</w:t>
            </w:r>
            <w:r w:rsidRPr="00663CB6">
              <w:rPr>
                <w:rFonts w:eastAsia="Calibri" w:cs="Times New Roman"/>
                <w:b/>
                <w:bCs/>
              </w:rPr>
              <w:t>/Year]</w:t>
            </w:r>
          </w:p>
        </w:tc>
        <w:tc>
          <w:tcPr>
            <w:tcW w:w="1621" w:type="dxa"/>
            <w:noWrap/>
            <w:vAlign w:val="center"/>
            <w:hideMark/>
          </w:tcPr>
          <w:p w14:paraId="1EFD2E9E" w14:textId="754E4013" w:rsidR="00B927C8" w:rsidRPr="00663CB6" w:rsidRDefault="00B927C8" w:rsidP="00415020">
            <w:pPr>
              <w:spacing w:line="240" w:lineRule="auto"/>
              <w:ind w:firstLine="0"/>
              <w:jc w:val="left"/>
              <w:rPr>
                <w:rFonts w:eastAsia="Calibri" w:cs="Times New Roman"/>
              </w:rPr>
            </w:pPr>
            <w:r>
              <w:rPr>
                <w:rFonts w:ascii="Calibri" w:hAnsi="Calibri" w:cs="Calibri"/>
                <w:color w:val="000000"/>
              </w:rPr>
              <w:t xml:space="preserve"> $ 962,227 </w:t>
            </w:r>
          </w:p>
        </w:tc>
        <w:tc>
          <w:tcPr>
            <w:tcW w:w="1621" w:type="dxa"/>
            <w:noWrap/>
            <w:vAlign w:val="center"/>
            <w:hideMark/>
          </w:tcPr>
          <w:p w14:paraId="71F22B40" w14:textId="20689592" w:rsidR="00B927C8" w:rsidRPr="00663CB6" w:rsidRDefault="00B927C8" w:rsidP="00415020">
            <w:pPr>
              <w:spacing w:line="240" w:lineRule="auto"/>
              <w:ind w:firstLine="0"/>
              <w:jc w:val="left"/>
              <w:rPr>
                <w:rFonts w:eastAsia="Calibri" w:cs="Times New Roman"/>
              </w:rPr>
            </w:pPr>
            <w:r>
              <w:rPr>
                <w:rFonts w:ascii="Calibri" w:hAnsi="Calibri" w:cs="Calibri"/>
                <w:color w:val="000000"/>
              </w:rPr>
              <w:t xml:space="preserve"> $ 966,536</w:t>
            </w:r>
          </w:p>
        </w:tc>
        <w:tc>
          <w:tcPr>
            <w:tcW w:w="1621" w:type="dxa"/>
            <w:vAlign w:val="center"/>
          </w:tcPr>
          <w:p w14:paraId="72723DDE" w14:textId="205C585B" w:rsidR="00B927C8" w:rsidRPr="00663CB6" w:rsidRDefault="00B927C8" w:rsidP="00415020">
            <w:pPr>
              <w:spacing w:line="240" w:lineRule="auto"/>
              <w:ind w:firstLine="0"/>
              <w:jc w:val="left"/>
              <w:rPr>
                <w:rFonts w:eastAsia="Calibri" w:cs="Times New Roman"/>
              </w:rPr>
            </w:pPr>
            <w:r>
              <w:rPr>
                <w:rFonts w:ascii="Calibri" w:hAnsi="Calibri" w:cs="Calibri"/>
                <w:color w:val="000000"/>
              </w:rPr>
              <w:t xml:space="preserve"> $ 970,400 </w:t>
            </w:r>
          </w:p>
        </w:tc>
        <w:tc>
          <w:tcPr>
            <w:tcW w:w="1622" w:type="dxa"/>
            <w:vAlign w:val="center"/>
          </w:tcPr>
          <w:p w14:paraId="23BC6529" w14:textId="2B744F71" w:rsidR="00B927C8" w:rsidRPr="00663CB6" w:rsidRDefault="00B927C8" w:rsidP="00415020">
            <w:pPr>
              <w:spacing w:line="240" w:lineRule="auto"/>
              <w:ind w:firstLine="0"/>
              <w:jc w:val="left"/>
              <w:rPr>
                <w:rFonts w:eastAsia="Calibri" w:cs="Times New Roman"/>
              </w:rPr>
            </w:pPr>
            <w:r>
              <w:rPr>
                <w:rFonts w:ascii="Calibri" w:hAnsi="Calibri" w:cs="Calibri"/>
                <w:color w:val="000000"/>
              </w:rPr>
              <w:t xml:space="preserve"> $ 977,603 </w:t>
            </w:r>
          </w:p>
        </w:tc>
      </w:tr>
      <w:tr w:rsidR="00B927C8" w:rsidRPr="00663CB6" w14:paraId="3D45DB5D" w14:textId="77777777" w:rsidTr="00415020">
        <w:trPr>
          <w:trHeight w:val="288"/>
          <w:jc w:val="center"/>
        </w:trPr>
        <w:tc>
          <w:tcPr>
            <w:tcW w:w="2515" w:type="dxa"/>
            <w:noWrap/>
            <w:hideMark/>
          </w:tcPr>
          <w:p w14:paraId="41A1A398" w14:textId="67DC3459" w:rsidR="00B927C8" w:rsidRPr="00663CB6" w:rsidRDefault="00B927C8" w:rsidP="00F125BC">
            <w:pPr>
              <w:spacing w:line="240" w:lineRule="auto"/>
              <w:ind w:firstLine="0"/>
              <w:jc w:val="left"/>
              <w:rPr>
                <w:rFonts w:eastAsia="Calibri" w:cs="Times New Roman"/>
                <w:b/>
                <w:bCs/>
              </w:rPr>
            </w:pPr>
            <w:r>
              <w:rPr>
                <w:rFonts w:eastAsia="Calibri" w:cs="Times New Roman"/>
                <w:b/>
                <w:bCs/>
              </w:rPr>
              <w:t>Utilities</w:t>
            </w:r>
            <w:r w:rsidRPr="00663CB6">
              <w:rPr>
                <w:rFonts w:eastAsia="Calibri" w:cs="Times New Roman"/>
                <w:b/>
                <w:bCs/>
              </w:rPr>
              <w:t xml:space="preserve"> Cost [</w:t>
            </w:r>
            <w:r w:rsidR="0076393C">
              <w:rPr>
                <w:rFonts w:eastAsia="Calibri" w:cs="Times New Roman"/>
                <w:b/>
                <w:bCs/>
              </w:rPr>
              <w:t>$</w:t>
            </w:r>
            <w:r w:rsidRPr="00663CB6">
              <w:rPr>
                <w:rFonts w:eastAsia="Calibri" w:cs="Times New Roman"/>
                <w:b/>
                <w:bCs/>
              </w:rPr>
              <w:t>/Year]</w:t>
            </w:r>
          </w:p>
        </w:tc>
        <w:tc>
          <w:tcPr>
            <w:tcW w:w="1621" w:type="dxa"/>
            <w:noWrap/>
            <w:vAlign w:val="center"/>
            <w:hideMark/>
          </w:tcPr>
          <w:p w14:paraId="710DC33A" w14:textId="7CE36A2E" w:rsidR="00B927C8" w:rsidRPr="00663CB6" w:rsidRDefault="00B927C8" w:rsidP="00415020">
            <w:pPr>
              <w:spacing w:line="240" w:lineRule="auto"/>
              <w:ind w:firstLine="0"/>
              <w:jc w:val="left"/>
              <w:rPr>
                <w:rFonts w:eastAsia="Calibri" w:cs="Times New Roman"/>
              </w:rPr>
            </w:pPr>
            <w:r>
              <w:rPr>
                <w:rFonts w:ascii="Calibri" w:hAnsi="Calibri" w:cs="Calibri"/>
                <w:color w:val="000000"/>
              </w:rPr>
              <w:t xml:space="preserve"> $ 46,346 </w:t>
            </w:r>
          </w:p>
        </w:tc>
        <w:tc>
          <w:tcPr>
            <w:tcW w:w="1621" w:type="dxa"/>
            <w:noWrap/>
            <w:vAlign w:val="center"/>
            <w:hideMark/>
          </w:tcPr>
          <w:p w14:paraId="38076D13" w14:textId="40F8964D" w:rsidR="00B927C8" w:rsidRPr="00663CB6" w:rsidRDefault="00B927C8" w:rsidP="00415020">
            <w:pPr>
              <w:spacing w:line="240" w:lineRule="auto"/>
              <w:ind w:firstLine="0"/>
              <w:jc w:val="left"/>
              <w:rPr>
                <w:rFonts w:eastAsia="Calibri" w:cs="Times New Roman"/>
              </w:rPr>
            </w:pPr>
            <w:r>
              <w:rPr>
                <w:rFonts w:ascii="Calibri" w:hAnsi="Calibri" w:cs="Calibri"/>
                <w:color w:val="000000"/>
              </w:rPr>
              <w:t xml:space="preserve"> $ 50,286 </w:t>
            </w:r>
          </w:p>
        </w:tc>
        <w:tc>
          <w:tcPr>
            <w:tcW w:w="1621" w:type="dxa"/>
            <w:vAlign w:val="center"/>
          </w:tcPr>
          <w:p w14:paraId="0FF0460D" w14:textId="1C7C8D1C" w:rsidR="00B927C8" w:rsidRPr="00663CB6" w:rsidRDefault="00B927C8" w:rsidP="00415020">
            <w:pPr>
              <w:spacing w:line="240" w:lineRule="auto"/>
              <w:ind w:firstLine="0"/>
              <w:jc w:val="left"/>
              <w:rPr>
                <w:rFonts w:eastAsia="Calibri" w:cs="Times New Roman"/>
              </w:rPr>
            </w:pPr>
            <w:r>
              <w:rPr>
                <w:rFonts w:ascii="Calibri" w:hAnsi="Calibri" w:cs="Calibri"/>
                <w:color w:val="000000"/>
              </w:rPr>
              <w:t xml:space="preserve"> $ 53,716 </w:t>
            </w:r>
          </w:p>
        </w:tc>
        <w:tc>
          <w:tcPr>
            <w:tcW w:w="1622" w:type="dxa"/>
            <w:vAlign w:val="center"/>
          </w:tcPr>
          <w:p w14:paraId="0FBC1387" w14:textId="171105E6" w:rsidR="00B927C8" w:rsidRPr="00663CB6" w:rsidRDefault="00B927C8" w:rsidP="00415020">
            <w:pPr>
              <w:spacing w:line="240" w:lineRule="auto"/>
              <w:ind w:firstLine="0"/>
              <w:jc w:val="left"/>
              <w:rPr>
                <w:rFonts w:eastAsia="Calibri" w:cs="Times New Roman"/>
              </w:rPr>
            </w:pPr>
            <w:r>
              <w:rPr>
                <w:rFonts w:ascii="Calibri" w:hAnsi="Calibri" w:cs="Calibri"/>
                <w:color w:val="000000"/>
              </w:rPr>
              <w:t xml:space="preserve"> </w:t>
            </w:r>
            <w:r w:rsidR="006811E5">
              <w:rPr>
                <w:rFonts w:ascii="Calibri" w:hAnsi="Calibri" w:cs="Calibri"/>
                <w:color w:val="000000"/>
              </w:rPr>
              <w:t>$</w:t>
            </w:r>
            <w:r>
              <w:rPr>
                <w:rFonts w:ascii="Calibri" w:hAnsi="Calibri" w:cs="Calibri"/>
                <w:color w:val="000000"/>
              </w:rPr>
              <w:t xml:space="preserve"> 60,282 </w:t>
            </w:r>
          </w:p>
        </w:tc>
      </w:tr>
      <w:tr w:rsidR="001378DF" w:rsidRPr="00663CB6" w14:paraId="747AEC09" w14:textId="77777777" w:rsidTr="00415020">
        <w:trPr>
          <w:trHeight w:val="288"/>
          <w:jc w:val="center"/>
        </w:trPr>
        <w:tc>
          <w:tcPr>
            <w:tcW w:w="2515" w:type="dxa"/>
            <w:noWrap/>
          </w:tcPr>
          <w:p w14:paraId="2212E269" w14:textId="21F82A20" w:rsidR="001378DF" w:rsidRPr="00663CB6" w:rsidRDefault="001378DF" w:rsidP="00F125BC">
            <w:pPr>
              <w:spacing w:line="240" w:lineRule="auto"/>
              <w:ind w:firstLine="0"/>
              <w:jc w:val="left"/>
              <w:rPr>
                <w:rFonts w:eastAsia="Calibri" w:cs="Times New Roman"/>
                <w:b/>
                <w:bCs/>
              </w:rPr>
            </w:pPr>
            <w:r>
              <w:rPr>
                <w:rFonts w:eastAsia="Calibri" w:cs="Times New Roman"/>
                <w:b/>
                <w:bCs/>
              </w:rPr>
              <w:t>Aromatics Transportation ($/year)</w:t>
            </w:r>
          </w:p>
        </w:tc>
        <w:tc>
          <w:tcPr>
            <w:tcW w:w="1621" w:type="dxa"/>
            <w:noWrap/>
            <w:vAlign w:val="center"/>
          </w:tcPr>
          <w:p w14:paraId="4984910A" w14:textId="4C1F4B67" w:rsidR="001378DF" w:rsidRDefault="001378DF" w:rsidP="00415020">
            <w:pPr>
              <w:spacing w:line="240" w:lineRule="auto"/>
              <w:ind w:firstLine="0"/>
              <w:jc w:val="left"/>
              <w:rPr>
                <w:rFonts w:ascii="Calibri" w:hAnsi="Calibri" w:cs="Calibri"/>
                <w:color w:val="000000"/>
              </w:rPr>
            </w:pPr>
            <w:r>
              <w:rPr>
                <w:rFonts w:ascii="Calibri" w:hAnsi="Calibri" w:cs="Calibri"/>
                <w:color w:val="000000"/>
              </w:rPr>
              <w:t xml:space="preserve"> $ 14</w:t>
            </w:r>
            <w:r w:rsidR="007F71C8">
              <w:rPr>
                <w:rFonts w:ascii="Calibri" w:hAnsi="Calibri" w:cs="Calibri"/>
                <w:color w:val="000000"/>
              </w:rPr>
              <w:t>8</w:t>
            </w:r>
            <w:r>
              <w:rPr>
                <w:rFonts w:ascii="Calibri" w:hAnsi="Calibri" w:cs="Calibri"/>
                <w:color w:val="000000"/>
              </w:rPr>
              <w:t>,</w:t>
            </w:r>
            <w:r w:rsidR="007F71C8">
              <w:rPr>
                <w:rFonts w:ascii="Calibri" w:hAnsi="Calibri" w:cs="Calibri"/>
                <w:color w:val="000000"/>
              </w:rPr>
              <w:t>661</w:t>
            </w:r>
          </w:p>
        </w:tc>
        <w:tc>
          <w:tcPr>
            <w:tcW w:w="1621" w:type="dxa"/>
            <w:noWrap/>
            <w:vAlign w:val="center"/>
          </w:tcPr>
          <w:p w14:paraId="7DBCFDA0" w14:textId="2AA244D4" w:rsidR="001378DF" w:rsidRDefault="001378DF" w:rsidP="00415020">
            <w:pPr>
              <w:spacing w:line="240" w:lineRule="auto"/>
              <w:ind w:firstLine="0"/>
              <w:jc w:val="left"/>
              <w:rPr>
                <w:rFonts w:ascii="Calibri" w:hAnsi="Calibri" w:cs="Calibri"/>
                <w:color w:val="000000"/>
              </w:rPr>
            </w:pPr>
            <w:r>
              <w:rPr>
                <w:rFonts w:ascii="Calibri" w:hAnsi="Calibri" w:cs="Calibri"/>
                <w:color w:val="000000"/>
              </w:rPr>
              <w:t xml:space="preserve"> $ </w:t>
            </w:r>
            <w:r w:rsidR="007F71C8">
              <w:rPr>
                <w:rFonts w:ascii="Calibri" w:hAnsi="Calibri" w:cs="Calibri"/>
                <w:color w:val="000000"/>
              </w:rPr>
              <w:t>147,901</w:t>
            </w:r>
          </w:p>
        </w:tc>
        <w:tc>
          <w:tcPr>
            <w:tcW w:w="1621" w:type="dxa"/>
            <w:vAlign w:val="center"/>
          </w:tcPr>
          <w:p w14:paraId="565AF0E3" w14:textId="1406C1F7" w:rsidR="001378DF" w:rsidRDefault="001378DF" w:rsidP="00415020">
            <w:pPr>
              <w:spacing w:line="240" w:lineRule="auto"/>
              <w:ind w:firstLine="0"/>
              <w:jc w:val="left"/>
              <w:rPr>
                <w:rFonts w:ascii="Calibri" w:hAnsi="Calibri" w:cs="Calibri"/>
                <w:color w:val="000000"/>
              </w:rPr>
            </w:pPr>
            <w:r>
              <w:rPr>
                <w:rFonts w:ascii="Calibri" w:hAnsi="Calibri" w:cs="Calibri"/>
                <w:color w:val="000000"/>
              </w:rPr>
              <w:t xml:space="preserve"> $ </w:t>
            </w:r>
            <w:r w:rsidR="00D36C44">
              <w:rPr>
                <w:rFonts w:ascii="Calibri" w:hAnsi="Calibri" w:cs="Calibri"/>
                <w:color w:val="000000"/>
              </w:rPr>
              <w:t>147,311</w:t>
            </w:r>
          </w:p>
        </w:tc>
        <w:tc>
          <w:tcPr>
            <w:tcW w:w="1622" w:type="dxa"/>
            <w:vAlign w:val="center"/>
          </w:tcPr>
          <w:p w14:paraId="79D827C7" w14:textId="2E4FA56B" w:rsidR="001378DF" w:rsidRDefault="001378DF" w:rsidP="00415020">
            <w:pPr>
              <w:spacing w:line="240" w:lineRule="auto"/>
              <w:ind w:firstLine="0"/>
              <w:jc w:val="left"/>
              <w:rPr>
                <w:rFonts w:ascii="Calibri" w:hAnsi="Calibri" w:cs="Calibri"/>
                <w:color w:val="000000"/>
              </w:rPr>
            </w:pPr>
            <w:r>
              <w:rPr>
                <w:rFonts w:ascii="Calibri" w:hAnsi="Calibri" w:cs="Calibri"/>
                <w:color w:val="000000"/>
              </w:rPr>
              <w:t xml:space="preserve"> $ </w:t>
            </w:r>
            <w:r w:rsidR="00D36C44">
              <w:rPr>
                <w:rFonts w:ascii="Calibri" w:hAnsi="Calibri" w:cs="Calibri"/>
                <w:color w:val="000000"/>
              </w:rPr>
              <w:t>146,30</w:t>
            </w:r>
            <w:r w:rsidR="00E41A01">
              <w:rPr>
                <w:rFonts w:ascii="Calibri" w:hAnsi="Calibri" w:cs="Calibri"/>
                <w:color w:val="000000"/>
              </w:rPr>
              <w:t>4</w:t>
            </w:r>
          </w:p>
        </w:tc>
      </w:tr>
      <w:tr w:rsidR="00B927C8" w:rsidRPr="00663CB6" w14:paraId="51444A7E" w14:textId="77777777" w:rsidTr="00415020">
        <w:trPr>
          <w:trHeight w:val="288"/>
          <w:jc w:val="center"/>
        </w:trPr>
        <w:tc>
          <w:tcPr>
            <w:tcW w:w="2515" w:type="dxa"/>
            <w:noWrap/>
            <w:hideMark/>
          </w:tcPr>
          <w:p w14:paraId="3BFD56E7" w14:textId="1053517F" w:rsidR="00B927C8" w:rsidRPr="00663CB6" w:rsidRDefault="00B927C8" w:rsidP="00F125BC">
            <w:pPr>
              <w:spacing w:line="240" w:lineRule="auto"/>
              <w:ind w:firstLine="0"/>
              <w:jc w:val="left"/>
              <w:rPr>
                <w:rFonts w:eastAsia="Calibri" w:cs="Times New Roman"/>
                <w:b/>
                <w:bCs/>
              </w:rPr>
            </w:pPr>
            <w:r w:rsidRPr="00663CB6">
              <w:rPr>
                <w:rFonts w:eastAsia="Calibri" w:cs="Times New Roman"/>
                <w:b/>
                <w:bCs/>
              </w:rPr>
              <w:t xml:space="preserve">Total </w:t>
            </w:r>
            <w:r>
              <w:rPr>
                <w:rFonts w:eastAsia="Calibri" w:cs="Times New Roman"/>
                <w:b/>
                <w:bCs/>
              </w:rPr>
              <w:t>BTX</w:t>
            </w:r>
            <w:r w:rsidRPr="00663CB6">
              <w:rPr>
                <w:rFonts w:eastAsia="Calibri" w:cs="Times New Roman"/>
                <w:b/>
                <w:bCs/>
              </w:rPr>
              <w:t xml:space="preserve"> Product Sales [</w:t>
            </w:r>
            <w:r w:rsidR="0076393C">
              <w:rPr>
                <w:rFonts w:eastAsia="Calibri" w:cs="Times New Roman"/>
                <w:b/>
                <w:bCs/>
              </w:rPr>
              <w:t>$</w:t>
            </w:r>
            <w:r w:rsidRPr="00663CB6">
              <w:rPr>
                <w:rFonts w:eastAsia="Calibri" w:cs="Times New Roman"/>
                <w:b/>
                <w:bCs/>
              </w:rPr>
              <w:t>/Year]</w:t>
            </w:r>
          </w:p>
        </w:tc>
        <w:tc>
          <w:tcPr>
            <w:tcW w:w="1621" w:type="dxa"/>
            <w:noWrap/>
            <w:vAlign w:val="center"/>
            <w:hideMark/>
          </w:tcPr>
          <w:p w14:paraId="00FBA6C7" w14:textId="16FE6798" w:rsidR="00B927C8" w:rsidRPr="00663CB6" w:rsidRDefault="00B927C8" w:rsidP="00415020">
            <w:pPr>
              <w:spacing w:line="240" w:lineRule="auto"/>
              <w:ind w:firstLine="0"/>
              <w:jc w:val="left"/>
              <w:rPr>
                <w:rFonts w:eastAsia="Calibri" w:cs="Times New Roman"/>
              </w:rPr>
            </w:pPr>
            <w:r>
              <w:rPr>
                <w:rFonts w:ascii="Calibri" w:hAnsi="Calibri" w:cs="Calibri"/>
                <w:color w:val="000000"/>
              </w:rPr>
              <w:t xml:space="preserve"> $ 880,215 </w:t>
            </w:r>
          </w:p>
        </w:tc>
        <w:tc>
          <w:tcPr>
            <w:tcW w:w="1621" w:type="dxa"/>
            <w:noWrap/>
            <w:vAlign w:val="center"/>
            <w:hideMark/>
          </w:tcPr>
          <w:p w14:paraId="5139BF03" w14:textId="5BDD028D" w:rsidR="00B927C8" w:rsidRPr="00663CB6" w:rsidRDefault="00B927C8" w:rsidP="00415020">
            <w:pPr>
              <w:spacing w:line="240" w:lineRule="auto"/>
              <w:ind w:firstLine="0"/>
              <w:jc w:val="left"/>
              <w:rPr>
                <w:rFonts w:eastAsia="Calibri" w:cs="Times New Roman"/>
              </w:rPr>
            </w:pPr>
            <w:r>
              <w:rPr>
                <w:rFonts w:ascii="Calibri" w:hAnsi="Calibri" w:cs="Calibri"/>
                <w:color w:val="000000"/>
              </w:rPr>
              <w:t xml:space="preserve"> $ 802,97</w:t>
            </w:r>
            <w:r w:rsidR="00BE76E3">
              <w:rPr>
                <w:rFonts w:ascii="Calibri" w:hAnsi="Calibri" w:cs="Calibri"/>
                <w:color w:val="000000"/>
              </w:rPr>
              <w:t>4</w:t>
            </w:r>
          </w:p>
        </w:tc>
        <w:tc>
          <w:tcPr>
            <w:tcW w:w="1621" w:type="dxa"/>
            <w:vAlign w:val="center"/>
          </w:tcPr>
          <w:p w14:paraId="2F61C210" w14:textId="445A4BA5" w:rsidR="00B927C8" w:rsidRPr="00663CB6" w:rsidRDefault="00B927C8" w:rsidP="00415020">
            <w:pPr>
              <w:spacing w:line="240" w:lineRule="auto"/>
              <w:ind w:firstLine="0"/>
              <w:jc w:val="left"/>
              <w:rPr>
                <w:rFonts w:eastAsia="Calibri" w:cs="Times New Roman"/>
              </w:rPr>
            </w:pPr>
            <w:r>
              <w:rPr>
                <w:rFonts w:ascii="Calibri" w:hAnsi="Calibri" w:cs="Calibri"/>
                <w:color w:val="000000"/>
              </w:rPr>
              <w:t xml:space="preserve"> $ 742,975 </w:t>
            </w:r>
          </w:p>
        </w:tc>
        <w:tc>
          <w:tcPr>
            <w:tcW w:w="1622" w:type="dxa"/>
            <w:vAlign w:val="center"/>
          </w:tcPr>
          <w:p w14:paraId="545EBB4D" w14:textId="33A41F03" w:rsidR="00B927C8" w:rsidRPr="00663CB6" w:rsidRDefault="00B927C8" w:rsidP="00415020">
            <w:pPr>
              <w:spacing w:line="240" w:lineRule="auto"/>
              <w:ind w:firstLine="0"/>
              <w:jc w:val="left"/>
              <w:rPr>
                <w:rFonts w:eastAsia="Calibri" w:cs="Times New Roman"/>
              </w:rPr>
            </w:pPr>
            <w:r>
              <w:rPr>
                <w:rFonts w:ascii="Calibri" w:hAnsi="Calibri" w:cs="Calibri"/>
                <w:color w:val="000000"/>
              </w:rPr>
              <w:t xml:space="preserve"> $ 640,64</w:t>
            </w:r>
            <w:r w:rsidR="00E41A01">
              <w:rPr>
                <w:rFonts w:ascii="Calibri" w:hAnsi="Calibri" w:cs="Calibri"/>
                <w:color w:val="000000"/>
              </w:rPr>
              <w:t>1</w:t>
            </w:r>
            <w:r>
              <w:rPr>
                <w:rFonts w:ascii="Calibri" w:hAnsi="Calibri" w:cs="Calibri"/>
                <w:color w:val="000000"/>
              </w:rPr>
              <w:t xml:space="preserve"> </w:t>
            </w:r>
          </w:p>
        </w:tc>
      </w:tr>
      <w:tr w:rsidR="00B927C8" w:rsidRPr="00663CB6" w14:paraId="06D8CD6B" w14:textId="77777777" w:rsidTr="00415020">
        <w:trPr>
          <w:trHeight w:val="288"/>
          <w:jc w:val="center"/>
        </w:trPr>
        <w:tc>
          <w:tcPr>
            <w:tcW w:w="2515" w:type="dxa"/>
            <w:noWrap/>
            <w:hideMark/>
          </w:tcPr>
          <w:p w14:paraId="43EAB597" w14:textId="1C7526A2" w:rsidR="00B927C8" w:rsidRPr="00663CB6" w:rsidRDefault="00B927C8" w:rsidP="00F125BC">
            <w:pPr>
              <w:spacing w:line="240" w:lineRule="auto"/>
              <w:ind w:firstLine="0"/>
              <w:jc w:val="left"/>
              <w:rPr>
                <w:rFonts w:eastAsia="Calibri" w:cs="Times New Roman"/>
                <w:b/>
                <w:bCs/>
              </w:rPr>
            </w:pPr>
            <w:r w:rsidRPr="00663CB6">
              <w:rPr>
                <w:rFonts w:eastAsia="Calibri" w:cs="Times New Roman"/>
                <w:b/>
                <w:bCs/>
              </w:rPr>
              <w:t>Total Electric Benefit [</w:t>
            </w:r>
            <w:r w:rsidR="0076393C">
              <w:rPr>
                <w:rFonts w:eastAsia="Calibri" w:cs="Times New Roman"/>
                <w:b/>
                <w:bCs/>
              </w:rPr>
              <w:t>$</w:t>
            </w:r>
            <w:r w:rsidRPr="00663CB6">
              <w:rPr>
                <w:rFonts w:eastAsia="Calibri" w:cs="Times New Roman"/>
                <w:b/>
                <w:bCs/>
              </w:rPr>
              <w:t>/Year]</w:t>
            </w:r>
          </w:p>
        </w:tc>
        <w:tc>
          <w:tcPr>
            <w:tcW w:w="1621" w:type="dxa"/>
            <w:noWrap/>
            <w:vAlign w:val="center"/>
            <w:hideMark/>
          </w:tcPr>
          <w:p w14:paraId="1E453853" w14:textId="07E61F4E" w:rsidR="00B927C8" w:rsidRPr="00663CB6" w:rsidRDefault="00B927C8" w:rsidP="00415020">
            <w:pPr>
              <w:spacing w:line="240" w:lineRule="auto"/>
              <w:ind w:firstLine="0"/>
              <w:jc w:val="left"/>
              <w:rPr>
                <w:rFonts w:eastAsia="Calibri" w:cs="Times New Roman"/>
              </w:rPr>
            </w:pPr>
            <w:r>
              <w:rPr>
                <w:rFonts w:ascii="Calibri" w:hAnsi="Calibri" w:cs="Calibri"/>
                <w:color w:val="000000"/>
              </w:rPr>
              <w:t xml:space="preserve"> $ 790,74</w:t>
            </w:r>
            <w:r w:rsidR="00BE76E3">
              <w:rPr>
                <w:rFonts w:ascii="Calibri" w:hAnsi="Calibri" w:cs="Calibri"/>
                <w:color w:val="000000"/>
              </w:rPr>
              <w:t>8</w:t>
            </w:r>
            <w:r>
              <w:rPr>
                <w:rFonts w:ascii="Calibri" w:hAnsi="Calibri" w:cs="Calibri"/>
                <w:color w:val="000000"/>
              </w:rPr>
              <w:t xml:space="preserve"> </w:t>
            </w:r>
          </w:p>
        </w:tc>
        <w:tc>
          <w:tcPr>
            <w:tcW w:w="1621" w:type="dxa"/>
            <w:noWrap/>
            <w:vAlign w:val="center"/>
            <w:hideMark/>
          </w:tcPr>
          <w:p w14:paraId="608E9327" w14:textId="65150F61" w:rsidR="00B927C8" w:rsidRPr="00663CB6" w:rsidRDefault="00B927C8" w:rsidP="00415020">
            <w:pPr>
              <w:spacing w:line="240" w:lineRule="auto"/>
              <w:ind w:firstLine="0"/>
              <w:jc w:val="left"/>
              <w:rPr>
                <w:rFonts w:eastAsia="Calibri" w:cs="Times New Roman"/>
              </w:rPr>
            </w:pPr>
            <w:r>
              <w:rPr>
                <w:rFonts w:ascii="Calibri" w:hAnsi="Calibri" w:cs="Calibri"/>
                <w:color w:val="000000"/>
              </w:rPr>
              <w:t xml:space="preserve"> $ 837,95</w:t>
            </w:r>
            <w:r w:rsidR="00BE76E3">
              <w:rPr>
                <w:rFonts w:ascii="Calibri" w:hAnsi="Calibri" w:cs="Calibri"/>
                <w:color w:val="000000"/>
              </w:rPr>
              <w:t>2</w:t>
            </w:r>
            <w:r>
              <w:rPr>
                <w:rFonts w:ascii="Calibri" w:hAnsi="Calibri" w:cs="Calibri"/>
                <w:color w:val="000000"/>
              </w:rPr>
              <w:t xml:space="preserve"> </w:t>
            </w:r>
          </w:p>
        </w:tc>
        <w:tc>
          <w:tcPr>
            <w:tcW w:w="1621" w:type="dxa"/>
            <w:vAlign w:val="center"/>
          </w:tcPr>
          <w:p w14:paraId="58B0388D" w14:textId="791EAF1C" w:rsidR="00B927C8" w:rsidRPr="00663CB6" w:rsidRDefault="00B927C8" w:rsidP="00415020">
            <w:pPr>
              <w:spacing w:line="240" w:lineRule="auto"/>
              <w:ind w:firstLine="0"/>
              <w:jc w:val="left"/>
              <w:rPr>
                <w:rFonts w:eastAsia="Calibri" w:cs="Times New Roman"/>
              </w:rPr>
            </w:pPr>
            <w:r>
              <w:rPr>
                <w:rFonts w:ascii="Calibri" w:hAnsi="Calibri" w:cs="Calibri"/>
                <w:color w:val="000000"/>
              </w:rPr>
              <w:t xml:space="preserve"> $ 858,6</w:t>
            </w:r>
            <w:r w:rsidR="00BE76E3">
              <w:rPr>
                <w:rFonts w:ascii="Calibri" w:hAnsi="Calibri" w:cs="Calibri"/>
                <w:color w:val="000000"/>
              </w:rPr>
              <w:t>80</w:t>
            </w:r>
            <w:r>
              <w:rPr>
                <w:rFonts w:ascii="Calibri" w:hAnsi="Calibri" w:cs="Calibri"/>
                <w:color w:val="000000"/>
              </w:rPr>
              <w:t xml:space="preserve"> </w:t>
            </w:r>
          </w:p>
        </w:tc>
        <w:tc>
          <w:tcPr>
            <w:tcW w:w="1622" w:type="dxa"/>
            <w:vAlign w:val="center"/>
          </w:tcPr>
          <w:p w14:paraId="7B765CF3" w14:textId="0AA341CE" w:rsidR="00B927C8" w:rsidRPr="00663CB6" w:rsidRDefault="00B927C8" w:rsidP="00415020">
            <w:pPr>
              <w:spacing w:line="240" w:lineRule="auto"/>
              <w:ind w:firstLine="0"/>
              <w:jc w:val="left"/>
              <w:rPr>
                <w:rFonts w:eastAsia="Calibri" w:cs="Times New Roman"/>
              </w:rPr>
            </w:pPr>
            <w:r>
              <w:rPr>
                <w:rFonts w:ascii="Calibri" w:hAnsi="Calibri" w:cs="Calibri"/>
                <w:color w:val="000000"/>
              </w:rPr>
              <w:t xml:space="preserve"> $ 924,6</w:t>
            </w:r>
            <w:r w:rsidR="001F1DF0">
              <w:rPr>
                <w:rFonts w:ascii="Calibri" w:hAnsi="Calibri" w:cs="Calibri"/>
                <w:color w:val="000000"/>
              </w:rPr>
              <w:t>70</w:t>
            </w:r>
            <w:r>
              <w:rPr>
                <w:rFonts w:ascii="Calibri" w:hAnsi="Calibri" w:cs="Calibri"/>
                <w:color w:val="000000"/>
              </w:rPr>
              <w:t xml:space="preserve"> </w:t>
            </w:r>
          </w:p>
        </w:tc>
      </w:tr>
      <w:tr w:rsidR="00B927C8" w:rsidRPr="00663CB6" w14:paraId="5B289D74" w14:textId="77777777" w:rsidTr="00415020">
        <w:trPr>
          <w:trHeight w:val="288"/>
          <w:jc w:val="center"/>
        </w:trPr>
        <w:tc>
          <w:tcPr>
            <w:tcW w:w="2515" w:type="dxa"/>
            <w:noWrap/>
            <w:hideMark/>
          </w:tcPr>
          <w:p w14:paraId="464D2E27" w14:textId="1134BA27" w:rsidR="00B927C8" w:rsidRPr="00663CB6" w:rsidRDefault="00B927C8" w:rsidP="00F125BC">
            <w:pPr>
              <w:spacing w:line="240" w:lineRule="auto"/>
              <w:ind w:firstLine="0"/>
              <w:jc w:val="left"/>
              <w:rPr>
                <w:rFonts w:eastAsia="Calibri" w:cs="Times New Roman"/>
                <w:b/>
                <w:bCs/>
              </w:rPr>
            </w:pPr>
            <w:r w:rsidRPr="00663CB6">
              <w:rPr>
                <w:rFonts w:eastAsia="Calibri" w:cs="Times New Roman"/>
                <w:b/>
                <w:bCs/>
              </w:rPr>
              <w:t>Desired Rate of Return [</w:t>
            </w:r>
            <w:r w:rsidR="0076393C">
              <w:rPr>
                <w:rFonts w:eastAsia="Calibri" w:cs="Times New Roman"/>
                <w:b/>
                <w:bCs/>
              </w:rPr>
              <w:t>%</w:t>
            </w:r>
            <w:r w:rsidRPr="00663CB6">
              <w:rPr>
                <w:rFonts w:eastAsia="Calibri" w:cs="Times New Roman"/>
                <w:b/>
                <w:bCs/>
              </w:rPr>
              <w:t>/Year]</w:t>
            </w:r>
          </w:p>
        </w:tc>
        <w:tc>
          <w:tcPr>
            <w:tcW w:w="1621" w:type="dxa"/>
            <w:noWrap/>
            <w:vAlign w:val="center"/>
            <w:hideMark/>
          </w:tcPr>
          <w:p w14:paraId="19F0756C" w14:textId="77777777" w:rsidR="00B927C8" w:rsidRPr="00663CB6" w:rsidRDefault="00B927C8" w:rsidP="00415020">
            <w:pPr>
              <w:spacing w:line="240" w:lineRule="auto"/>
              <w:ind w:firstLine="0"/>
              <w:jc w:val="left"/>
              <w:rPr>
                <w:rFonts w:eastAsia="Calibri" w:cs="Times New Roman"/>
              </w:rPr>
            </w:pPr>
            <w:r>
              <w:rPr>
                <w:rFonts w:ascii="Calibri" w:hAnsi="Calibri" w:cs="Calibri"/>
                <w:color w:val="000000"/>
              </w:rPr>
              <w:t>10%</w:t>
            </w:r>
          </w:p>
        </w:tc>
        <w:tc>
          <w:tcPr>
            <w:tcW w:w="1621" w:type="dxa"/>
            <w:noWrap/>
            <w:vAlign w:val="center"/>
            <w:hideMark/>
          </w:tcPr>
          <w:p w14:paraId="38D56F40" w14:textId="77777777" w:rsidR="00B927C8" w:rsidRPr="00663CB6" w:rsidRDefault="00B927C8" w:rsidP="00415020">
            <w:pPr>
              <w:spacing w:line="240" w:lineRule="auto"/>
              <w:ind w:firstLine="0"/>
              <w:jc w:val="left"/>
              <w:rPr>
                <w:rFonts w:eastAsia="Calibri" w:cs="Times New Roman"/>
              </w:rPr>
            </w:pPr>
            <w:r>
              <w:rPr>
                <w:rFonts w:ascii="Calibri" w:hAnsi="Calibri" w:cs="Calibri"/>
                <w:color w:val="000000"/>
              </w:rPr>
              <w:t>10%</w:t>
            </w:r>
          </w:p>
        </w:tc>
        <w:tc>
          <w:tcPr>
            <w:tcW w:w="1621" w:type="dxa"/>
            <w:vAlign w:val="center"/>
          </w:tcPr>
          <w:p w14:paraId="6F19BADF" w14:textId="77777777" w:rsidR="00B927C8" w:rsidRPr="00663CB6" w:rsidRDefault="00B927C8" w:rsidP="00415020">
            <w:pPr>
              <w:spacing w:line="240" w:lineRule="auto"/>
              <w:ind w:firstLine="0"/>
              <w:jc w:val="left"/>
              <w:rPr>
                <w:rFonts w:eastAsia="Calibri" w:cs="Times New Roman"/>
              </w:rPr>
            </w:pPr>
            <w:r>
              <w:rPr>
                <w:rFonts w:ascii="Calibri" w:hAnsi="Calibri" w:cs="Calibri"/>
                <w:color w:val="000000"/>
              </w:rPr>
              <w:t>10%</w:t>
            </w:r>
          </w:p>
        </w:tc>
        <w:tc>
          <w:tcPr>
            <w:tcW w:w="1622" w:type="dxa"/>
            <w:vAlign w:val="center"/>
          </w:tcPr>
          <w:p w14:paraId="4922E7EF" w14:textId="77777777" w:rsidR="00B927C8" w:rsidRPr="00663CB6" w:rsidRDefault="00B927C8" w:rsidP="00415020">
            <w:pPr>
              <w:spacing w:line="240" w:lineRule="auto"/>
              <w:ind w:firstLine="0"/>
              <w:jc w:val="left"/>
              <w:rPr>
                <w:rFonts w:eastAsia="Calibri" w:cs="Times New Roman"/>
              </w:rPr>
            </w:pPr>
            <w:r>
              <w:rPr>
                <w:rFonts w:ascii="Calibri" w:hAnsi="Calibri" w:cs="Calibri"/>
                <w:color w:val="000000"/>
              </w:rPr>
              <w:t>10%</w:t>
            </w:r>
          </w:p>
        </w:tc>
      </w:tr>
      <w:tr w:rsidR="00B927C8" w:rsidRPr="00663CB6" w14:paraId="4626B5C8" w14:textId="77777777" w:rsidTr="00415020">
        <w:trPr>
          <w:trHeight w:val="288"/>
          <w:jc w:val="center"/>
        </w:trPr>
        <w:tc>
          <w:tcPr>
            <w:tcW w:w="2515" w:type="dxa"/>
            <w:noWrap/>
            <w:hideMark/>
          </w:tcPr>
          <w:p w14:paraId="402D5EFB" w14:textId="726E1B7D" w:rsidR="00B927C8" w:rsidRPr="00663CB6" w:rsidRDefault="00B927C8" w:rsidP="00F125BC">
            <w:pPr>
              <w:spacing w:line="240" w:lineRule="auto"/>
              <w:ind w:firstLine="0"/>
              <w:jc w:val="left"/>
              <w:rPr>
                <w:rFonts w:eastAsia="Calibri" w:cs="Times New Roman"/>
                <w:b/>
                <w:bCs/>
              </w:rPr>
            </w:pPr>
            <w:r w:rsidRPr="00663CB6">
              <w:rPr>
                <w:rFonts w:eastAsia="Calibri" w:cs="Times New Roman"/>
                <w:b/>
                <w:bCs/>
              </w:rPr>
              <w:t>Equipment Cost [</w:t>
            </w:r>
            <w:r w:rsidR="0076393C">
              <w:rPr>
                <w:rFonts w:eastAsia="Calibri" w:cs="Times New Roman"/>
                <w:b/>
                <w:bCs/>
              </w:rPr>
              <w:t>$</w:t>
            </w:r>
            <w:r w:rsidRPr="00663CB6">
              <w:rPr>
                <w:rFonts w:eastAsia="Calibri" w:cs="Times New Roman"/>
                <w:b/>
                <w:bCs/>
              </w:rPr>
              <w:t>]</w:t>
            </w:r>
          </w:p>
        </w:tc>
        <w:tc>
          <w:tcPr>
            <w:tcW w:w="1621" w:type="dxa"/>
            <w:noWrap/>
            <w:vAlign w:val="center"/>
            <w:hideMark/>
          </w:tcPr>
          <w:p w14:paraId="27A195FB" w14:textId="1785A7F7" w:rsidR="00B927C8" w:rsidRPr="007825BE" w:rsidRDefault="00B927C8" w:rsidP="00415020">
            <w:pPr>
              <w:spacing w:line="240" w:lineRule="auto"/>
              <w:ind w:firstLine="0"/>
              <w:jc w:val="left"/>
              <w:rPr>
                <w:rFonts w:ascii="Calibri" w:hAnsi="Calibri" w:cs="Calibri"/>
                <w:color w:val="000000"/>
              </w:rPr>
            </w:pPr>
            <w:r>
              <w:rPr>
                <w:rFonts w:ascii="Calibri" w:hAnsi="Calibri" w:cs="Calibri"/>
                <w:color w:val="000000"/>
              </w:rPr>
              <w:t xml:space="preserve"> </w:t>
            </w:r>
            <w:r w:rsidRPr="007825BE">
              <w:rPr>
                <w:rFonts w:ascii="Calibri" w:hAnsi="Calibri" w:cs="Calibri"/>
                <w:color w:val="000000"/>
              </w:rPr>
              <w:t>$</w:t>
            </w:r>
            <w:r>
              <w:rPr>
                <w:rFonts w:ascii="Calibri" w:hAnsi="Calibri" w:cs="Calibri"/>
                <w:color w:val="000000"/>
              </w:rPr>
              <w:t xml:space="preserve"> </w:t>
            </w:r>
            <w:r w:rsidRPr="007825BE">
              <w:rPr>
                <w:rFonts w:ascii="Calibri" w:hAnsi="Calibri" w:cs="Calibri"/>
                <w:color w:val="000000"/>
              </w:rPr>
              <w:t>3,476,26</w:t>
            </w:r>
            <w:r w:rsidR="00BE76E3">
              <w:rPr>
                <w:rFonts w:ascii="Calibri" w:hAnsi="Calibri" w:cs="Calibri"/>
                <w:color w:val="000000"/>
              </w:rPr>
              <w:t>4</w:t>
            </w:r>
            <w:r w:rsidRPr="007825BE">
              <w:rPr>
                <w:rFonts w:ascii="Calibri" w:hAnsi="Calibri" w:cs="Calibri"/>
                <w:color w:val="000000"/>
              </w:rPr>
              <w:t xml:space="preserve"> </w:t>
            </w:r>
          </w:p>
        </w:tc>
        <w:tc>
          <w:tcPr>
            <w:tcW w:w="1621" w:type="dxa"/>
            <w:noWrap/>
            <w:vAlign w:val="center"/>
            <w:hideMark/>
          </w:tcPr>
          <w:p w14:paraId="7D038D01" w14:textId="71830BB9" w:rsidR="00B927C8" w:rsidRPr="007825BE" w:rsidRDefault="00B927C8" w:rsidP="00415020">
            <w:pPr>
              <w:spacing w:line="240" w:lineRule="auto"/>
              <w:ind w:firstLine="0"/>
              <w:jc w:val="left"/>
              <w:rPr>
                <w:rFonts w:ascii="Calibri" w:hAnsi="Calibri" w:cs="Calibri"/>
                <w:color w:val="000000"/>
              </w:rPr>
            </w:pPr>
            <w:r>
              <w:rPr>
                <w:rFonts w:ascii="Calibri" w:hAnsi="Calibri" w:cs="Calibri"/>
                <w:color w:val="000000"/>
              </w:rPr>
              <w:t xml:space="preserve"> </w:t>
            </w:r>
            <w:r w:rsidR="00F16E84">
              <w:rPr>
                <w:rFonts w:ascii="Calibri" w:hAnsi="Calibri" w:cs="Calibri"/>
                <w:color w:val="000000"/>
              </w:rPr>
              <w:t>$</w:t>
            </w:r>
            <w:r>
              <w:rPr>
                <w:rFonts w:ascii="Calibri" w:hAnsi="Calibri" w:cs="Calibri"/>
                <w:color w:val="000000"/>
              </w:rPr>
              <w:t xml:space="preserve"> </w:t>
            </w:r>
            <w:r w:rsidRPr="007825BE">
              <w:rPr>
                <w:rFonts w:ascii="Calibri" w:hAnsi="Calibri" w:cs="Calibri"/>
                <w:color w:val="000000"/>
              </w:rPr>
              <w:t xml:space="preserve">3,065,915 </w:t>
            </w:r>
          </w:p>
        </w:tc>
        <w:tc>
          <w:tcPr>
            <w:tcW w:w="1621" w:type="dxa"/>
            <w:vAlign w:val="center"/>
          </w:tcPr>
          <w:p w14:paraId="0C4562DE" w14:textId="1A2FE4CB" w:rsidR="00B927C8" w:rsidRPr="007825BE" w:rsidRDefault="00B927C8" w:rsidP="00415020">
            <w:pPr>
              <w:spacing w:line="240" w:lineRule="auto"/>
              <w:ind w:firstLine="0"/>
              <w:jc w:val="left"/>
              <w:rPr>
                <w:rFonts w:ascii="Calibri" w:hAnsi="Calibri" w:cs="Calibri"/>
                <w:color w:val="000000"/>
              </w:rPr>
            </w:pPr>
            <w:r>
              <w:rPr>
                <w:rFonts w:ascii="Calibri" w:hAnsi="Calibri" w:cs="Calibri"/>
                <w:color w:val="000000"/>
              </w:rPr>
              <w:t xml:space="preserve"> </w:t>
            </w:r>
            <w:r w:rsidRPr="007825BE">
              <w:rPr>
                <w:rFonts w:ascii="Calibri" w:hAnsi="Calibri" w:cs="Calibri"/>
                <w:color w:val="000000"/>
              </w:rPr>
              <w:t>$</w:t>
            </w:r>
            <w:r w:rsidR="0083677E">
              <w:rPr>
                <w:rFonts w:ascii="Calibri" w:hAnsi="Calibri" w:cs="Calibri"/>
                <w:color w:val="000000"/>
              </w:rPr>
              <w:t xml:space="preserve"> </w:t>
            </w:r>
            <w:r w:rsidRPr="007825BE">
              <w:rPr>
                <w:rFonts w:ascii="Calibri" w:hAnsi="Calibri" w:cs="Calibri"/>
                <w:color w:val="000000"/>
              </w:rPr>
              <w:t>3,195,16</w:t>
            </w:r>
            <w:r w:rsidR="00BE76E3">
              <w:rPr>
                <w:rFonts w:ascii="Calibri" w:hAnsi="Calibri" w:cs="Calibri"/>
                <w:color w:val="000000"/>
              </w:rPr>
              <w:t>5</w:t>
            </w:r>
            <w:r w:rsidRPr="007825BE">
              <w:rPr>
                <w:rFonts w:ascii="Calibri" w:hAnsi="Calibri" w:cs="Calibri"/>
                <w:color w:val="000000"/>
              </w:rPr>
              <w:t xml:space="preserve"> </w:t>
            </w:r>
          </w:p>
        </w:tc>
        <w:tc>
          <w:tcPr>
            <w:tcW w:w="1622" w:type="dxa"/>
            <w:vAlign w:val="center"/>
          </w:tcPr>
          <w:p w14:paraId="5CEE89BB" w14:textId="330F8BAF" w:rsidR="00B927C8" w:rsidRPr="007825BE" w:rsidRDefault="00B927C8" w:rsidP="00415020">
            <w:pPr>
              <w:spacing w:line="240" w:lineRule="auto"/>
              <w:ind w:firstLine="0"/>
              <w:jc w:val="left"/>
              <w:rPr>
                <w:rFonts w:ascii="Calibri" w:hAnsi="Calibri" w:cs="Calibri"/>
                <w:color w:val="000000"/>
              </w:rPr>
            </w:pPr>
            <w:r>
              <w:rPr>
                <w:rFonts w:ascii="Calibri" w:hAnsi="Calibri" w:cs="Calibri"/>
                <w:color w:val="000000"/>
              </w:rPr>
              <w:t xml:space="preserve"> </w:t>
            </w:r>
            <w:r w:rsidRPr="007825BE">
              <w:rPr>
                <w:rFonts w:ascii="Calibri" w:hAnsi="Calibri" w:cs="Calibri"/>
                <w:color w:val="000000"/>
              </w:rPr>
              <w:t>$</w:t>
            </w:r>
            <w:r>
              <w:rPr>
                <w:rFonts w:ascii="Calibri" w:hAnsi="Calibri" w:cs="Calibri"/>
                <w:color w:val="000000"/>
              </w:rPr>
              <w:t xml:space="preserve"> </w:t>
            </w:r>
            <w:r w:rsidRPr="007825BE">
              <w:rPr>
                <w:rFonts w:ascii="Calibri" w:hAnsi="Calibri" w:cs="Calibri"/>
                <w:color w:val="000000"/>
              </w:rPr>
              <w:t>3,043,40</w:t>
            </w:r>
            <w:r w:rsidR="001F1DF0">
              <w:rPr>
                <w:rFonts w:ascii="Calibri" w:hAnsi="Calibri" w:cs="Calibri"/>
                <w:color w:val="000000"/>
              </w:rPr>
              <w:t>3</w:t>
            </w:r>
            <w:r w:rsidRPr="007825BE">
              <w:rPr>
                <w:rFonts w:ascii="Calibri" w:hAnsi="Calibri" w:cs="Calibri"/>
                <w:color w:val="000000"/>
              </w:rPr>
              <w:t xml:space="preserve"> </w:t>
            </w:r>
          </w:p>
        </w:tc>
      </w:tr>
      <w:tr w:rsidR="00B927C8" w:rsidRPr="00663CB6" w14:paraId="71BE62A4" w14:textId="77777777" w:rsidTr="00415020">
        <w:trPr>
          <w:trHeight w:val="288"/>
          <w:jc w:val="center"/>
        </w:trPr>
        <w:tc>
          <w:tcPr>
            <w:tcW w:w="2515" w:type="dxa"/>
            <w:noWrap/>
            <w:hideMark/>
          </w:tcPr>
          <w:p w14:paraId="5618943E" w14:textId="75170CA1" w:rsidR="00B927C8" w:rsidRPr="00663CB6" w:rsidRDefault="00B927C8" w:rsidP="00C77590">
            <w:pPr>
              <w:spacing w:line="240" w:lineRule="auto"/>
              <w:ind w:firstLine="0"/>
              <w:rPr>
                <w:rFonts w:eastAsia="Calibri" w:cs="Times New Roman"/>
                <w:b/>
                <w:bCs/>
              </w:rPr>
            </w:pPr>
            <w:r w:rsidRPr="00663CB6">
              <w:rPr>
                <w:rFonts w:eastAsia="Calibri" w:cs="Times New Roman"/>
                <w:b/>
                <w:bCs/>
              </w:rPr>
              <w:t>Total Installed Cost [</w:t>
            </w:r>
            <w:r w:rsidR="0076393C">
              <w:rPr>
                <w:rFonts w:eastAsia="Calibri" w:cs="Times New Roman"/>
                <w:b/>
                <w:bCs/>
              </w:rPr>
              <w:t>$</w:t>
            </w:r>
            <w:r w:rsidRPr="00663CB6">
              <w:rPr>
                <w:rFonts w:eastAsia="Calibri" w:cs="Times New Roman"/>
                <w:b/>
                <w:bCs/>
              </w:rPr>
              <w:t>]</w:t>
            </w:r>
          </w:p>
        </w:tc>
        <w:tc>
          <w:tcPr>
            <w:tcW w:w="1621" w:type="dxa"/>
            <w:noWrap/>
            <w:vAlign w:val="center"/>
            <w:hideMark/>
          </w:tcPr>
          <w:p w14:paraId="07FBFF85" w14:textId="1472E7E0" w:rsidR="00B927C8" w:rsidRPr="00663CB6" w:rsidRDefault="00B927C8" w:rsidP="00415020">
            <w:pPr>
              <w:spacing w:line="240" w:lineRule="auto"/>
              <w:ind w:firstLine="0"/>
              <w:jc w:val="left"/>
              <w:rPr>
                <w:rFonts w:eastAsia="Calibri" w:cs="Times New Roman"/>
              </w:rPr>
            </w:pPr>
            <w:r>
              <w:rPr>
                <w:rFonts w:ascii="Calibri" w:hAnsi="Calibri" w:cs="Calibri"/>
                <w:color w:val="000000"/>
              </w:rPr>
              <w:t xml:space="preserve"> $ 4,679,55</w:t>
            </w:r>
            <w:r w:rsidR="00BE76E3">
              <w:rPr>
                <w:rFonts w:ascii="Calibri" w:hAnsi="Calibri" w:cs="Calibri"/>
                <w:color w:val="000000"/>
              </w:rPr>
              <w:t>6</w:t>
            </w:r>
            <w:r>
              <w:rPr>
                <w:rFonts w:ascii="Calibri" w:hAnsi="Calibri" w:cs="Calibri"/>
                <w:color w:val="000000"/>
              </w:rPr>
              <w:t xml:space="preserve"> </w:t>
            </w:r>
          </w:p>
        </w:tc>
        <w:tc>
          <w:tcPr>
            <w:tcW w:w="1621" w:type="dxa"/>
            <w:noWrap/>
            <w:vAlign w:val="center"/>
            <w:hideMark/>
          </w:tcPr>
          <w:p w14:paraId="6986417E" w14:textId="14D9CE81" w:rsidR="00B927C8" w:rsidRPr="00663CB6" w:rsidRDefault="00B927C8" w:rsidP="00415020">
            <w:pPr>
              <w:spacing w:line="240" w:lineRule="auto"/>
              <w:ind w:firstLine="0"/>
              <w:jc w:val="left"/>
              <w:rPr>
                <w:rFonts w:eastAsia="Calibri" w:cs="Times New Roman"/>
              </w:rPr>
            </w:pPr>
            <w:r>
              <w:rPr>
                <w:rFonts w:ascii="Calibri" w:hAnsi="Calibri" w:cs="Calibri"/>
                <w:color w:val="000000"/>
              </w:rPr>
              <w:t xml:space="preserve"> $ 3,810,23</w:t>
            </w:r>
            <w:r w:rsidR="00BE76E3">
              <w:rPr>
                <w:rFonts w:ascii="Calibri" w:hAnsi="Calibri" w:cs="Calibri"/>
                <w:color w:val="000000"/>
              </w:rPr>
              <w:t>9</w:t>
            </w:r>
            <w:r>
              <w:rPr>
                <w:rFonts w:ascii="Calibri" w:hAnsi="Calibri" w:cs="Calibri"/>
                <w:color w:val="000000"/>
              </w:rPr>
              <w:t xml:space="preserve"> </w:t>
            </w:r>
          </w:p>
        </w:tc>
        <w:tc>
          <w:tcPr>
            <w:tcW w:w="1621" w:type="dxa"/>
            <w:vAlign w:val="center"/>
          </w:tcPr>
          <w:p w14:paraId="5E8B771B" w14:textId="68027AF8" w:rsidR="00B927C8" w:rsidRPr="00663CB6" w:rsidRDefault="00B927C8" w:rsidP="00415020">
            <w:pPr>
              <w:spacing w:line="240" w:lineRule="auto"/>
              <w:ind w:firstLine="0"/>
              <w:jc w:val="left"/>
              <w:rPr>
                <w:rFonts w:eastAsia="Calibri" w:cs="Times New Roman"/>
              </w:rPr>
            </w:pPr>
            <w:r>
              <w:rPr>
                <w:rFonts w:ascii="Calibri" w:hAnsi="Calibri" w:cs="Calibri"/>
                <w:color w:val="000000"/>
              </w:rPr>
              <w:t xml:space="preserve"> $ 4,170,76</w:t>
            </w:r>
            <w:r w:rsidR="00BE76E3">
              <w:rPr>
                <w:rFonts w:ascii="Calibri" w:hAnsi="Calibri" w:cs="Calibri"/>
                <w:color w:val="000000"/>
              </w:rPr>
              <w:t>6</w:t>
            </w:r>
            <w:r>
              <w:rPr>
                <w:rFonts w:ascii="Calibri" w:hAnsi="Calibri" w:cs="Calibri"/>
                <w:color w:val="000000"/>
              </w:rPr>
              <w:t xml:space="preserve"> </w:t>
            </w:r>
          </w:p>
        </w:tc>
        <w:tc>
          <w:tcPr>
            <w:tcW w:w="1622" w:type="dxa"/>
            <w:vAlign w:val="center"/>
          </w:tcPr>
          <w:p w14:paraId="27653C13" w14:textId="5732717F" w:rsidR="00B927C8" w:rsidRPr="00663CB6" w:rsidRDefault="00B927C8" w:rsidP="00415020">
            <w:pPr>
              <w:spacing w:line="240" w:lineRule="auto"/>
              <w:ind w:firstLine="0"/>
              <w:jc w:val="left"/>
              <w:rPr>
                <w:rFonts w:eastAsia="Calibri" w:cs="Times New Roman"/>
              </w:rPr>
            </w:pPr>
            <w:r>
              <w:rPr>
                <w:rFonts w:ascii="Calibri" w:hAnsi="Calibri" w:cs="Calibri"/>
                <w:color w:val="000000"/>
              </w:rPr>
              <w:t xml:space="preserve"> $ 3,364,04</w:t>
            </w:r>
            <w:r w:rsidR="001F1DF0">
              <w:rPr>
                <w:rFonts w:ascii="Calibri" w:hAnsi="Calibri" w:cs="Calibri"/>
                <w:color w:val="000000"/>
              </w:rPr>
              <w:t>5</w:t>
            </w:r>
            <w:r>
              <w:rPr>
                <w:rFonts w:ascii="Calibri" w:hAnsi="Calibri" w:cs="Calibri"/>
                <w:color w:val="000000"/>
              </w:rPr>
              <w:t xml:space="preserve"> </w:t>
            </w:r>
          </w:p>
        </w:tc>
      </w:tr>
    </w:tbl>
    <w:p w14:paraId="2FDB2132" w14:textId="77777777" w:rsidR="00B927C8" w:rsidRPr="00663CB6" w:rsidRDefault="00B927C8" w:rsidP="00B927C8">
      <w:pPr>
        <w:spacing w:after="160" w:line="259" w:lineRule="auto"/>
        <w:ind w:firstLine="0"/>
        <w:rPr>
          <w:rFonts w:ascii="Times New Roman" w:eastAsia="Calibri" w:hAnsi="Times New Roman" w:cs="Times New Roman"/>
        </w:rPr>
      </w:pPr>
    </w:p>
    <w:p w14:paraId="04953922" w14:textId="052212E3" w:rsidR="00B927C8" w:rsidRDefault="00B927C8" w:rsidP="00B927C8">
      <w:r>
        <w:t xml:space="preserve">Interestingly, Aspen-HYSYS did not significantly adjust its estimations for balance of plant equipment and operations costs when recycling </w:t>
      </w:r>
      <w:r w:rsidR="00EB6FFF">
        <w:t>is</w:t>
      </w:r>
      <w:r>
        <w:t xml:space="preserve"> increased. This may be for a similar reason that the aromatic transportation changed minimally.  With increasing space velocities, emissions </w:t>
      </w:r>
      <w:r w:rsidR="00E9792B">
        <w:t>are</w:t>
      </w:r>
      <w:r>
        <w:t xml:space="preserve"> slightly increased in the PCFC, leading to fewer aromatic delivery trips. However, the difference made by paying the driver, getting gas, etc. </w:t>
      </w:r>
      <w:r w:rsidR="00EB6FFF">
        <w:t>is</w:t>
      </w:r>
      <w:r>
        <w:t xml:space="preserve"> relatively insignificant compared to the initial startup cost of purchasing the trailers. Additionally, after 5 years, the aromatic transportation costs go down by approximately $70,000 per year until a new truck needs to be purchased due to a five year payback period on the transportation costs.  </w:t>
      </w:r>
    </w:p>
    <w:p w14:paraId="6BBD8924" w14:textId="77777777" w:rsidR="00B927C8" w:rsidRDefault="00B927C8" w:rsidP="00B927C8">
      <w:pPr>
        <w:keepNext/>
      </w:pPr>
      <w:r>
        <w:rPr>
          <w:noProof/>
        </w:rPr>
        <w:drawing>
          <wp:inline distT="0" distB="0" distL="0" distR="0" wp14:anchorId="60DC9A71" wp14:editId="55FB8507">
            <wp:extent cx="5045448" cy="2716305"/>
            <wp:effectExtent l="0" t="0" r="3175" b="8255"/>
            <wp:docPr id="1490485355" name="Chart 1">
              <a:extLst xmlns:a="http://schemas.openxmlformats.org/drawingml/2006/main">
                <a:ext uri="{FF2B5EF4-FFF2-40B4-BE49-F238E27FC236}">
                  <a16:creationId xmlns:a16="http://schemas.microsoft.com/office/drawing/2014/main" id="{0DC8ED63-3870-6E11-6E55-347B09F16A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61432855" w14:textId="42828E04" w:rsidR="00B927C8" w:rsidRDefault="00B927C8" w:rsidP="00B927C8">
      <w:pPr>
        <w:pStyle w:val="Caption"/>
      </w:pPr>
      <w:bookmarkStart w:id="184" w:name="_Ref164672019"/>
      <w:bookmarkStart w:id="185" w:name="_Ref164672009"/>
      <w:bookmarkStart w:id="186" w:name="_Toc165641160"/>
      <w:r>
        <w:t>Figure 5.</w:t>
      </w:r>
      <w:r>
        <w:fldChar w:fldCharType="begin"/>
      </w:r>
      <w:r>
        <w:instrText xml:space="preserve"> SEQ Figure \* ARABIC </w:instrText>
      </w:r>
      <w:r>
        <w:fldChar w:fldCharType="separate"/>
      </w:r>
      <w:r>
        <w:rPr>
          <w:noProof/>
        </w:rPr>
        <w:t>8</w:t>
      </w:r>
      <w:r>
        <w:fldChar w:fldCharType="end"/>
      </w:r>
      <w:bookmarkEnd w:id="184"/>
      <w:r>
        <w:t xml:space="preserve">: Space velocity </w:t>
      </w:r>
      <w:r w:rsidR="00CA5047">
        <w:t>effect</w:t>
      </w:r>
      <w:r>
        <w:t xml:space="preserve"> on operational profit margins</w:t>
      </w:r>
      <w:bookmarkEnd w:id="185"/>
      <w:bookmarkEnd w:id="186"/>
    </w:p>
    <w:p w14:paraId="686F2143" w14:textId="77777777" w:rsidR="00B927C8" w:rsidRDefault="00B927C8" w:rsidP="00B927C8">
      <w:r>
        <w:t xml:space="preserve">For net profits, clear trends are seen in </w:t>
      </w:r>
      <w:r>
        <w:fldChar w:fldCharType="begin"/>
      </w:r>
      <w:r>
        <w:instrText xml:space="preserve"> REF _Ref164672019 \h </w:instrText>
      </w:r>
      <w:r>
        <w:fldChar w:fldCharType="separate"/>
      </w:r>
      <w:r>
        <w:t>Figure 5.</w:t>
      </w:r>
      <w:r>
        <w:rPr>
          <w:noProof/>
        </w:rPr>
        <w:t>8</w:t>
      </w:r>
      <w:r>
        <w:fldChar w:fldCharType="end"/>
      </w:r>
      <w:r>
        <w:t xml:space="preserve"> as the gap between profits from electrical and chemical products widens with increasing space velocity. Focusing on electrical power appears to have a slight but noticeably negative effect on the overall operational profits of the system. The operational profits are defined as the gross income minus the operational costs, ignoring debts for capital startup costs. When capital costs are included year over year, </w:t>
      </w:r>
      <w:r>
        <w:fldChar w:fldCharType="begin"/>
      </w:r>
      <w:r>
        <w:instrText xml:space="preserve"> REF _Ref164672488 \h </w:instrText>
      </w:r>
      <w:r>
        <w:fldChar w:fldCharType="separate"/>
      </w:r>
      <w:r>
        <w:t>Figure 5.</w:t>
      </w:r>
      <w:r>
        <w:rPr>
          <w:noProof/>
        </w:rPr>
        <w:t>9</w:t>
      </w:r>
      <w:r>
        <w:fldChar w:fldCharType="end"/>
      </w:r>
      <w:r>
        <w:t xml:space="preserve"> shows an approximate 13 year payback period, followed by a linear increase in total profits from the system. </w:t>
      </w:r>
    </w:p>
    <w:p w14:paraId="0A5C061F" w14:textId="77777777" w:rsidR="00B927C8" w:rsidRDefault="00B927C8" w:rsidP="00B927C8">
      <w:pPr>
        <w:keepNext/>
        <w:jc w:val="center"/>
      </w:pPr>
      <w:r>
        <w:rPr>
          <w:noProof/>
        </w:rPr>
        <w:drawing>
          <wp:inline distT="0" distB="0" distL="0" distR="0" wp14:anchorId="31C2AC90" wp14:editId="510C4D93">
            <wp:extent cx="4888089" cy="2816225"/>
            <wp:effectExtent l="0" t="0" r="8255" b="3175"/>
            <wp:docPr id="456501100" name="Chart 1">
              <a:extLst xmlns:a="http://schemas.openxmlformats.org/drawingml/2006/main">
                <a:ext uri="{FF2B5EF4-FFF2-40B4-BE49-F238E27FC236}">
                  <a16:creationId xmlns:a16="http://schemas.microsoft.com/office/drawing/2014/main" id="{3860AF1D-0A4D-B01C-6441-30A44AF796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076393A1" w14:textId="77777777" w:rsidR="00B927C8" w:rsidRDefault="00B927C8" w:rsidP="00B927C8">
      <w:pPr>
        <w:pStyle w:val="Caption"/>
      </w:pPr>
      <w:bookmarkStart w:id="187" w:name="_Ref164672488"/>
      <w:bookmarkStart w:id="188" w:name="_Toc165641161"/>
      <w:r>
        <w:t>Figure 5.</w:t>
      </w:r>
      <w:r>
        <w:fldChar w:fldCharType="begin"/>
      </w:r>
      <w:r>
        <w:instrText xml:space="preserve"> SEQ Figure \* ARABIC </w:instrText>
      </w:r>
      <w:r>
        <w:fldChar w:fldCharType="separate"/>
      </w:r>
      <w:r>
        <w:rPr>
          <w:noProof/>
        </w:rPr>
        <w:t>9</w:t>
      </w:r>
      <w:r>
        <w:fldChar w:fldCharType="end"/>
      </w:r>
      <w:bookmarkEnd w:id="187"/>
      <w:r>
        <w:t>: Cumulative net profits by years of operation</w:t>
      </w:r>
      <w:bookmarkEnd w:id="188"/>
    </w:p>
    <w:p w14:paraId="12233C17" w14:textId="52669986" w:rsidR="00B927C8" w:rsidRPr="00EE6B8F" w:rsidRDefault="00B927C8" w:rsidP="00B927C8">
      <w:r>
        <w:t xml:space="preserve">In </w:t>
      </w:r>
      <w:r>
        <w:fldChar w:fldCharType="begin"/>
      </w:r>
      <w:r>
        <w:instrText xml:space="preserve"> REF _Ref164672488 \h </w:instrText>
      </w:r>
      <w:r>
        <w:fldChar w:fldCharType="separate"/>
      </w:r>
      <w:r>
        <w:t>Figure 5.</w:t>
      </w:r>
      <w:r>
        <w:rPr>
          <w:noProof/>
        </w:rPr>
        <w:t>9</w:t>
      </w:r>
      <w:r>
        <w:fldChar w:fldCharType="end"/>
      </w:r>
      <w:r>
        <w:t xml:space="preserve">, all scenarios clearly lose increasing amounts of money for the first 10 years of operation. After 5 years, the transportation gets </w:t>
      </w:r>
      <w:r w:rsidR="00CA5047">
        <w:t>cheaper,</w:t>
      </w:r>
      <w:r>
        <w:t xml:space="preserve"> but the effect is almost negligible. Scenarios 1, 2, and 4 </w:t>
      </w:r>
      <w:r>
        <w:rPr>
          <w:rFonts w:eastAsia="Calibri" w:cs="Times New Roman"/>
        </w:rPr>
        <w:t xml:space="preserve">break even by year 14, while scenario 3 follows suit by year 15, at which point scenario 1 with 1 </w:t>
      </w:r>
      <w:r w:rsidRPr="00EE6B8F">
        <w:rPr>
          <w:rFonts w:eastAsia="Calibri" w:cs="Times New Roman"/>
        </w:rPr>
        <w:t>Lg</w:t>
      </w:r>
      <w:r w:rsidRPr="00EE6B8F">
        <w:rPr>
          <w:rFonts w:eastAsia="Calibri" w:cs="Times New Roman"/>
          <w:vertAlign w:val="subscript"/>
        </w:rPr>
        <w:t>cat</w:t>
      </w:r>
      <w:r w:rsidRPr="00EE6B8F">
        <w:rPr>
          <w:rFonts w:eastAsia="Calibri" w:cs="Times New Roman"/>
          <w:vertAlign w:val="superscript"/>
        </w:rPr>
        <w:t>-1</w:t>
      </w:r>
      <w:r w:rsidRPr="00EE6B8F">
        <w:rPr>
          <w:rFonts w:eastAsia="Calibri" w:cs="Times New Roman"/>
        </w:rPr>
        <w:t>h</w:t>
      </w:r>
      <w:r w:rsidRPr="00EE6B8F">
        <w:rPr>
          <w:rFonts w:eastAsia="Calibri" w:cs="Times New Roman"/>
          <w:vertAlign w:val="superscript"/>
        </w:rPr>
        <w:t>-1</w:t>
      </w:r>
      <w:r>
        <w:rPr>
          <w:rFonts w:eastAsia="Calibri" w:cs="Times New Roman"/>
        </w:rPr>
        <w:t xml:space="preserve"> will generate the most net profits going forward due to its higher operational profits and prioritization of chemical production compared to the other scenarios. A 13 year payback period is significantly behind the industry standard, which would ideally place the payback period </w:t>
      </w:r>
      <m:oMath>
        <m:r>
          <w:rPr>
            <w:rFonts w:ascii="Cambria Math" w:eastAsia="Calibri" w:hAnsi="Cambria Math" w:cs="Times New Roman"/>
          </w:rPr>
          <m:t>≤</m:t>
        </m:r>
      </m:oMath>
      <w:r>
        <w:rPr>
          <w:rFonts w:eastAsia="Calibri" w:cs="Times New Roman"/>
        </w:rPr>
        <w:t xml:space="preserve"> 10 years for capital projects </w:t>
      </w:r>
      <w:r>
        <w:rPr>
          <w:rFonts w:eastAsia="Calibri" w:cs="Times New Roman"/>
        </w:rPr>
        <w:fldChar w:fldCharType="begin"/>
      </w:r>
      <w:r w:rsidR="00CA7A9D">
        <w:rPr>
          <w:rFonts w:eastAsia="Calibri" w:cs="Times New Roman"/>
        </w:rPr>
        <w:instrText xml:space="preserve"> ADDIN ZOTERO_ITEM CSL_CITATION {"citationID":"a7dvlj08ah","properties":{"formattedCitation":"[133]","plainCitation":"[133]","noteIndex":0},"citationItems":[{"id":883,"uris":["http://zotero.org/users/12063231/items/GC3ZX8A5"],"itemData":{"id":883,"type":"webpage","abstract":"ExxonMobil today announced its corporate plan for the next five years, with a sizeable increase in investments aimed at emission reductions and accretive lower-emission initiatives, including its Low Carbon Solutions business.","container-title":"ExxonMobil","language":"en","title":"ExxonMobil Corporate Plan","URL":"https://corporate.exxonmobil.com/news/news-releases/2023/1206_exxonmobil-corporate-plan","accessed":{"date-parts":[["2024",4,22]]}}}],"schema":"https://github.com/citation-style-language/schema/raw/master/csl-citation.json"} </w:instrText>
      </w:r>
      <w:r>
        <w:rPr>
          <w:rFonts w:eastAsia="Calibri" w:cs="Times New Roman"/>
        </w:rPr>
        <w:fldChar w:fldCharType="separate"/>
      </w:r>
      <w:r w:rsidR="00CA7A9D" w:rsidRPr="00CA7A9D">
        <w:rPr>
          <w:rFonts w:ascii="Aptos" w:hAnsi="Aptos"/>
        </w:rPr>
        <w:t>[133]</w:t>
      </w:r>
      <w:r>
        <w:rPr>
          <w:rFonts w:eastAsia="Calibri" w:cs="Times New Roman"/>
        </w:rPr>
        <w:fldChar w:fldCharType="end"/>
      </w:r>
      <w:r>
        <w:rPr>
          <w:rFonts w:eastAsia="Calibri" w:cs="Times New Roman"/>
        </w:rPr>
        <w:t xml:space="preserve">. </w:t>
      </w:r>
    </w:p>
    <w:p w14:paraId="09EC404C" w14:textId="77777777" w:rsidR="006A6ABD" w:rsidRDefault="006A6ABD">
      <w:pPr>
        <w:spacing w:after="160" w:line="259" w:lineRule="auto"/>
        <w:ind w:firstLine="0"/>
        <w:jc w:val="left"/>
        <w:rPr>
          <w:iCs/>
          <w:szCs w:val="18"/>
        </w:rPr>
      </w:pPr>
      <w:bookmarkStart w:id="189" w:name="_Ref148571584"/>
      <w:bookmarkStart w:id="190" w:name="_Toc165641126"/>
      <w:r>
        <w:br w:type="page"/>
      </w:r>
    </w:p>
    <w:p w14:paraId="6CC50576" w14:textId="24E5409B" w:rsidR="00B927C8" w:rsidRPr="001746A8" w:rsidRDefault="00B927C8" w:rsidP="006A6ABD">
      <w:pPr>
        <w:pStyle w:val="Caption"/>
        <w:ind w:firstLine="0"/>
      </w:pPr>
      <w:r w:rsidRPr="001746A8">
        <w:t xml:space="preserve">Table </w:t>
      </w:r>
      <w:r>
        <w:t>5.</w:t>
      </w:r>
      <w:r w:rsidRPr="001746A8">
        <w:fldChar w:fldCharType="begin"/>
      </w:r>
      <w:r w:rsidRPr="001746A8">
        <w:instrText xml:space="preserve"> SEQ Table \* ARABIC </w:instrText>
      </w:r>
      <w:r w:rsidRPr="001746A8">
        <w:fldChar w:fldCharType="separate"/>
      </w:r>
      <w:r>
        <w:rPr>
          <w:noProof/>
        </w:rPr>
        <w:t>8</w:t>
      </w:r>
      <w:r w:rsidRPr="001746A8">
        <w:fldChar w:fldCharType="end"/>
      </w:r>
      <w:bookmarkEnd w:id="189"/>
      <w:r w:rsidRPr="001746A8">
        <w:t>: Comparing results with competitive target values</w:t>
      </w:r>
      <w:bookmarkEnd w:id="190"/>
    </w:p>
    <w:tbl>
      <w:tblPr>
        <w:tblStyle w:val="TableGrid"/>
        <w:tblW w:w="5148" w:type="dxa"/>
        <w:jc w:val="center"/>
        <w:tblLook w:val="04A0" w:firstRow="1" w:lastRow="0" w:firstColumn="1" w:lastColumn="0" w:noHBand="0" w:noVBand="1"/>
      </w:tblPr>
      <w:tblGrid>
        <w:gridCol w:w="1482"/>
        <w:gridCol w:w="1010"/>
        <w:gridCol w:w="1620"/>
        <w:gridCol w:w="1182"/>
      </w:tblGrid>
      <w:tr w:rsidR="00B927C8" w:rsidRPr="00EA7E63" w14:paraId="3DB6BCAF" w14:textId="77777777" w:rsidTr="00C77590">
        <w:trPr>
          <w:trHeight w:val="288"/>
          <w:jc w:val="center"/>
        </w:trPr>
        <w:tc>
          <w:tcPr>
            <w:tcW w:w="1482" w:type="dxa"/>
            <w:noWrap/>
            <w:vAlign w:val="center"/>
            <w:hideMark/>
          </w:tcPr>
          <w:p w14:paraId="5D6F682A" w14:textId="77777777" w:rsidR="00B927C8" w:rsidRPr="00EA7E63" w:rsidRDefault="00B927C8" w:rsidP="00C77590">
            <w:pPr>
              <w:spacing w:line="240" w:lineRule="auto"/>
              <w:ind w:firstLine="0"/>
              <w:rPr>
                <w:rFonts w:eastAsia="Calibri" w:cs="Times New Roman"/>
                <w:b/>
                <w:bCs/>
              </w:rPr>
            </w:pPr>
            <w:r>
              <w:rPr>
                <w:rFonts w:eastAsia="Calibri" w:cs="Times New Roman"/>
                <w:b/>
                <w:bCs/>
              </w:rPr>
              <w:t>Space Velocity</w:t>
            </w:r>
          </w:p>
        </w:tc>
        <w:tc>
          <w:tcPr>
            <w:tcW w:w="944" w:type="dxa"/>
            <w:noWrap/>
            <w:vAlign w:val="center"/>
            <w:hideMark/>
          </w:tcPr>
          <w:p w14:paraId="15FC0D78" w14:textId="77777777" w:rsidR="00B927C8" w:rsidRPr="00EA7E63" w:rsidRDefault="00B927C8" w:rsidP="00C77590">
            <w:pPr>
              <w:spacing w:line="240" w:lineRule="auto"/>
              <w:ind w:firstLine="0"/>
              <w:rPr>
                <w:rFonts w:eastAsia="Calibri" w:cs="Times New Roman"/>
                <w:b/>
                <w:bCs/>
              </w:rPr>
            </w:pPr>
            <w:r>
              <w:rPr>
                <w:rFonts w:eastAsia="Calibri" w:cs="Times New Roman"/>
                <w:b/>
                <w:bCs/>
              </w:rPr>
              <w:t>kg</w:t>
            </w:r>
            <w:r w:rsidRPr="00EA7E63">
              <w:rPr>
                <w:rFonts w:eastAsia="Calibri" w:cs="Times New Roman"/>
                <w:b/>
                <w:bCs/>
              </w:rPr>
              <w:t>/kwh</w:t>
            </w:r>
          </w:p>
        </w:tc>
        <w:tc>
          <w:tcPr>
            <w:tcW w:w="1620" w:type="dxa"/>
            <w:noWrap/>
            <w:vAlign w:val="center"/>
            <w:hideMark/>
          </w:tcPr>
          <w:p w14:paraId="019D71E4" w14:textId="77777777" w:rsidR="00B927C8" w:rsidRPr="00EA7E63" w:rsidRDefault="00B927C8" w:rsidP="00C77590">
            <w:pPr>
              <w:spacing w:line="240" w:lineRule="auto"/>
              <w:ind w:firstLine="0"/>
              <w:rPr>
                <w:rFonts w:eastAsia="Calibri" w:cs="Times New Roman"/>
                <w:b/>
                <w:bCs/>
              </w:rPr>
            </w:pPr>
            <w:r w:rsidRPr="00EA7E63">
              <w:rPr>
                <w:rFonts w:eastAsia="Calibri" w:cs="Times New Roman"/>
                <w:b/>
                <w:bCs/>
              </w:rPr>
              <w:t>Cap $/kW</w:t>
            </w:r>
          </w:p>
        </w:tc>
        <w:tc>
          <w:tcPr>
            <w:tcW w:w="1102" w:type="dxa"/>
            <w:noWrap/>
            <w:vAlign w:val="center"/>
            <w:hideMark/>
          </w:tcPr>
          <w:p w14:paraId="1026DB46" w14:textId="77777777" w:rsidR="00B927C8" w:rsidRPr="00EA7E63" w:rsidRDefault="00B927C8" w:rsidP="00C77590">
            <w:pPr>
              <w:spacing w:line="240" w:lineRule="auto"/>
              <w:ind w:firstLine="0"/>
              <w:rPr>
                <w:rFonts w:eastAsia="Calibri" w:cs="Times New Roman"/>
                <w:b/>
                <w:bCs/>
              </w:rPr>
            </w:pPr>
            <w:r w:rsidRPr="00EA7E63">
              <w:rPr>
                <w:rFonts w:eastAsia="Calibri" w:cs="Times New Roman"/>
                <w:b/>
                <w:bCs/>
              </w:rPr>
              <w:t>Cap per Output [$/</w:t>
            </w:r>
            <w:proofErr w:type="spellStart"/>
            <w:r w:rsidRPr="00EA7E63">
              <w:rPr>
                <w:rFonts w:eastAsia="Calibri" w:cs="Times New Roman"/>
                <w:b/>
                <w:bCs/>
              </w:rPr>
              <w:t>bbl</w:t>
            </w:r>
            <w:proofErr w:type="spellEnd"/>
            <w:r w:rsidRPr="00EA7E63">
              <w:rPr>
                <w:rFonts w:eastAsia="Calibri" w:cs="Times New Roman"/>
                <w:b/>
                <w:bCs/>
              </w:rPr>
              <w:t>/d]</w:t>
            </w:r>
          </w:p>
        </w:tc>
      </w:tr>
      <w:tr w:rsidR="00B927C8" w:rsidRPr="00EA7E63" w14:paraId="1E140D0E" w14:textId="77777777" w:rsidTr="00C77590">
        <w:trPr>
          <w:trHeight w:val="288"/>
          <w:jc w:val="center"/>
        </w:trPr>
        <w:tc>
          <w:tcPr>
            <w:tcW w:w="1482" w:type="dxa"/>
            <w:noWrap/>
          </w:tcPr>
          <w:p w14:paraId="26716A04" w14:textId="77777777" w:rsidR="00B927C8" w:rsidRPr="00EA7E63" w:rsidRDefault="00B927C8" w:rsidP="00C77590">
            <w:pPr>
              <w:spacing w:line="240" w:lineRule="auto"/>
              <w:ind w:firstLine="0"/>
              <w:jc w:val="center"/>
              <w:rPr>
                <w:rFonts w:eastAsia="Calibri" w:cs="Times New Roman"/>
              </w:rPr>
            </w:pPr>
            <w:r w:rsidRPr="00663CB6">
              <w:rPr>
                <w:rFonts w:eastAsia="Calibri" w:cs="Times New Roman"/>
                <w:b/>
                <w:bCs/>
              </w:rPr>
              <w:t>1</w:t>
            </w:r>
            <w:r>
              <w:rPr>
                <w:rFonts w:eastAsia="Calibri" w:cs="Times New Roman"/>
                <w:b/>
                <w:bCs/>
              </w:rPr>
              <w:t xml:space="preserve"> Lg</w:t>
            </w:r>
            <w:r>
              <w:rPr>
                <w:rFonts w:eastAsia="Calibri" w:cs="Times New Roman"/>
                <w:b/>
                <w:bCs/>
                <w:vertAlign w:val="subscript"/>
              </w:rPr>
              <w:t>cat</w:t>
            </w:r>
            <w:r>
              <w:rPr>
                <w:rFonts w:eastAsia="Calibri" w:cs="Times New Roman"/>
                <w:b/>
                <w:bCs/>
                <w:vertAlign w:val="superscript"/>
              </w:rPr>
              <w:t>-1</w:t>
            </w:r>
            <w:r>
              <w:rPr>
                <w:rFonts w:eastAsia="Calibri" w:cs="Times New Roman"/>
                <w:b/>
                <w:bCs/>
              </w:rPr>
              <w:t>h</w:t>
            </w:r>
            <w:r>
              <w:rPr>
                <w:rFonts w:eastAsia="Calibri" w:cs="Times New Roman"/>
                <w:b/>
                <w:bCs/>
                <w:vertAlign w:val="superscript"/>
              </w:rPr>
              <w:t>-1</w:t>
            </w:r>
          </w:p>
        </w:tc>
        <w:tc>
          <w:tcPr>
            <w:tcW w:w="944" w:type="dxa"/>
            <w:shd w:val="clear" w:color="auto" w:fill="FFF2CC"/>
            <w:noWrap/>
            <w:vAlign w:val="center"/>
          </w:tcPr>
          <w:p w14:paraId="67FCF4EA" w14:textId="77777777" w:rsidR="00B927C8" w:rsidRDefault="00B927C8" w:rsidP="00C77590">
            <w:pPr>
              <w:spacing w:line="240" w:lineRule="auto"/>
              <w:ind w:firstLine="0"/>
              <w:jc w:val="center"/>
              <w:rPr>
                <w:rFonts w:eastAsia="Calibri" w:cs="Times New Roman"/>
              </w:rPr>
            </w:pPr>
            <w:r>
              <w:rPr>
                <w:rFonts w:eastAsia="Calibri" w:cs="Times New Roman"/>
              </w:rPr>
              <w:t>0.2</w:t>
            </w:r>
          </w:p>
        </w:tc>
        <w:tc>
          <w:tcPr>
            <w:tcW w:w="1620" w:type="dxa"/>
            <w:shd w:val="clear" w:color="auto" w:fill="FBE4D5"/>
            <w:noWrap/>
            <w:vAlign w:val="center"/>
          </w:tcPr>
          <w:p w14:paraId="6E4CB090" w14:textId="77777777" w:rsidR="00B927C8" w:rsidRPr="00EA7E63" w:rsidRDefault="00B927C8" w:rsidP="00C77590">
            <w:pPr>
              <w:spacing w:line="240" w:lineRule="auto"/>
              <w:ind w:firstLine="0"/>
              <w:jc w:val="center"/>
              <w:rPr>
                <w:rFonts w:eastAsia="Calibri" w:cs="Calibri"/>
                <w:color w:val="000000"/>
              </w:rPr>
            </w:pPr>
            <w:r>
              <w:rPr>
                <w:rFonts w:eastAsia="Calibri" w:cs="Calibri"/>
                <w:color w:val="000000"/>
              </w:rPr>
              <w:t>$8756</w:t>
            </w:r>
          </w:p>
        </w:tc>
        <w:tc>
          <w:tcPr>
            <w:tcW w:w="1102" w:type="dxa"/>
            <w:shd w:val="clear" w:color="auto" w:fill="FBE4D5"/>
            <w:noWrap/>
            <w:vAlign w:val="center"/>
          </w:tcPr>
          <w:p w14:paraId="0F1E724F" w14:textId="77777777" w:rsidR="00B927C8" w:rsidRPr="00EA7E63" w:rsidRDefault="00B927C8" w:rsidP="00C77590">
            <w:pPr>
              <w:spacing w:line="240" w:lineRule="auto"/>
              <w:ind w:firstLine="0"/>
              <w:jc w:val="center"/>
              <w:rPr>
                <w:rFonts w:eastAsia="Calibri" w:cs="Calibri"/>
                <w:color w:val="000000"/>
              </w:rPr>
            </w:pPr>
            <w:r>
              <w:rPr>
                <w:rFonts w:eastAsia="Calibri" w:cs="Calibri"/>
                <w:color w:val="000000"/>
              </w:rPr>
              <w:t>$387,392</w:t>
            </w:r>
          </w:p>
        </w:tc>
      </w:tr>
      <w:tr w:rsidR="00B927C8" w:rsidRPr="00EA7E63" w14:paraId="28CD4BE7" w14:textId="77777777" w:rsidTr="00C77590">
        <w:trPr>
          <w:trHeight w:val="288"/>
          <w:jc w:val="center"/>
        </w:trPr>
        <w:tc>
          <w:tcPr>
            <w:tcW w:w="1482" w:type="dxa"/>
            <w:noWrap/>
          </w:tcPr>
          <w:p w14:paraId="02458916" w14:textId="77777777" w:rsidR="00B927C8" w:rsidRPr="00EA7E63" w:rsidRDefault="00B927C8" w:rsidP="00C77590">
            <w:pPr>
              <w:spacing w:line="240" w:lineRule="auto"/>
              <w:ind w:firstLine="0"/>
              <w:jc w:val="center"/>
              <w:rPr>
                <w:rFonts w:eastAsia="Calibri" w:cs="Times New Roman"/>
              </w:rPr>
            </w:pPr>
            <w:r w:rsidRPr="00663CB6">
              <w:rPr>
                <w:rFonts w:eastAsia="Calibri" w:cs="Times New Roman"/>
                <w:b/>
                <w:bCs/>
              </w:rPr>
              <w:t>1</w:t>
            </w:r>
            <w:r>
              <w:rPr>
                <w:rFonts w:eastAsia="Calibri" w:cs="Times New Roman"/>
                <w:b/>
                <w:bCs/>
              </w:rPr>
              <w:t>.5 Lg</w:t>
            </w:r>
            <w:r>
              <w:rPr>
                <w:rFonts w:eastAsia="Calibri" w:cs="Times New Roman"/>
                <w:b/>
                <w:bCs/>
                <w:vertAlign w:val="subscript"/>
              </w:rPr>
              <w:t>cat</w:t>
            </w:r>
            <w:r>
              <w:rPr>
                <w:rFonts w:eastAsia="Calibri" w:cs="Times New Roman"/>
                <w:b/>
                <w:bCs/>
                <w:vertAlign w:val="superscript"/>
              </w:rPr>
              <w:t>-1</w:t>
            </w:r>
            <w:r>
              <w:rPr>
                <w:rFonts w:eastAsia="Calibri" w:cs="Times New Roman"/>
                <w:b/>
                <w:bCs/>
              </w:rPr>
              <w:t>h</w:t>
            </w:r>
            <w:r>
              <w:rPr>
                <w:rFonts w:eastAsia="Calibri" w:cs="Times New Roman"/>
                <w:b/>
                <w:bCs/>
                <w:vertAlign w:val="superscript"/>
              </w:rPr>
              <w:t>-1</w:t>
            </w:r>
          </w:p>
        </w:tc>
        <w:tc>
          <w:tcPr>
            <w:tcW w:w="944" w:type="dxa"/>
            <w:shd w:val="clear" w:color="auto" w:fill="FFF2CC"/>
            <w:noWrap/>
            <w:vAlign w:val="center"/>
          </w:tcPr>
          <w:p w14:paraId="40A8D0E8" w14:textId="77777777" w:rsidR="00B927C8" w:rsidRDefault="00B927C8" w:rsidP="00C77590">
            <w:pPr>
              <w:spacing w:line="240" w:lineRule="auto"/>
              <w:ind w:firstLine="0"/>
              <w:jc w:val="center"/>
              <w:rPr>
                <w:rFonts w:eastAsia="Calibri" w:cs="Times New Roman"/>
              </w:rPr>
            </w:pPr>
            <w:r>
              <w:rPr>
                <w:rFonts w:eastAsia="Calibri" w:cs="Times New Roman"/>
              </w:rPr>
              <w:t>0.19</w:t>
            </w:r>
          </w:p>
        </w:tc>
        <w:tc>
          <w:tcPr>
            <w:tcW w:w="1620" w:type="dxa"/>
            <w:shd w:val="clear" w:color="auto" w:fill="FBE4D5"/>
            <w:noWrap/>
            <w:vAlign w:val="center"/>
          </w:tcPr>
          <w:p w14:paraId="27632BCD" w14:textId="77777777" w:rsidR="00B927C8" w:rsidRPr="00EA7E63" w:rsidRDefault="00B927C8" w:rsidP="00C77590">
            <w:pPr>
              <w:spacing w:line="240" w:lineRule="auto"/>
              <w:ind w:firstLine="0"/>
              <w:jc w:val="center"/>
              <w:rPr>
                <w:rFonts w:eastAsia="Calibri" w:cs="Calibri"/>
                <w:color w:val="000000"/>
              </w:rPr>
            </w:pPr>
            <w:r>
              <w:rPr>
                <w:rFonts w:eastAsia="Calibri" w:cs="Calibri"/>
                <w:color w:val="000000"/>
              </w:rPr>
              <w:t>$7840</w:t>
            </w:r>
          </w:p>
        </w:tc>
        <w:tc>
          <w:tcPr>
            <w:tcW w:w="1102" w:type="dxa"/>
            <w:shd w:val="clear" w:color="auto" w:fill="FBE4D5"/>
            <w:noWrap/>
            <w:vAlign w:val="center"/>
          </w:tcPr>
          <w:p w14:paraId="229427F3" w14:textId="77777777" w:rsidR="00B927C8" w:rsidRPr="00EA7E63" w:rsidRDefault="00B927C8" w:rsidP="00C77590">
            <w:pPr>
              <w:spacing w:line="240" w:lineRule="auto"/>
              <w:ind w:firstLine="0"/>
              <w:jc w:val="center"/>
              <w:rPr>
                <w:rFonts w:eastAsia="Calibri" w:cs="Calibri"/>
                <w:color w:val="000000"/>
              </w:rPr>
            </w:pPr>
            <w:r>
              <w:rPr>
                <w:rFonts w:eastAsia="Calibri" w:cs="Calibri"/>
                <w:color w:val="000000"/>
              </w:rPr>
              <w:t>$400,379</w:t>
            </w:r>
          </w:p>
        </w:tc>
      </w:tr>
      <w:tr w:rsidR="00B927C8" w:rsidRPr="00EA7E63" w14:paraId="39CB05C0" w14:textId="77777777" w:rsidTr="00C77590">
        <w:trPr>
          <w:trHeight w:val="288"/>
          <w:jc w:val="center"/>
        </w:trPr>
        <w:tc>
          <w:tcPr>
            <w:tcW w:w="1482" w:type="dxa"/>
            <w:noWrap/>
            <w:hideMark/>
          </w:tcPr>
          <w:p w14:paraId="66E5A05A" w14:textId="77777777" w:rsidR="00B927C8" w:rsidRPr="00EA7E63" w:rsidRDefault="00B927C8" w:rsidP="00C77590">
            <w:pPr>
              <w:spacing w:line="240" w:lineRule="auto"/>
              <w:ind w:firstLine="0"/>
              <w:jc w:val="center"/>
              <w:rPr>
                <w:rFonts w:eastAsia="Calibri" w:cs="Times New Roman"/>
              </w:rPr>
            </w:pPr>
            <w:r>
              <w:rPr>
                <w:rFonts w:eastAsia="Calibri" w:cs="Times New Roman"/>
                <w:b/>
                <w:bCs/>
              </w:rPr>
              <w:t>2 Lg</w:t>
            </w:r>
            <w:r>
              <w:rPr>
                <w:rFonts w:eastAsia="Calibri" w:cs="Times New Roman"/>
                <w:b/>
                <w:bCs/>
                <w:vertAlign w:val="subscript"/>
              </w:rPr>
              <w:t>cat</w:t>
            </w:r>
            <w:r>
              <w:rPr>
                <w:rFonts w:eastAsia="Calibri" w:cs="Times New Roman"/>
                <w:b/>
                <w:bCs/>
                <w:vertAlign w:val="superscript"/>
              </w:rPr>
              <w:t>-1</w:t>
            </w:r>
            <w:r>
              <w:rPr>
                <w:rFonts w:eastAsia="Calibri" w:cs="Times New Roman"/>
                <w:b/>
                <w:bCs/>
              </w:rPr>
              <w:t>h</w:t>
            </w:r>
            <w:r>
              <w:rPr>
                <w:rFonts w:eastAsia="Calibri" w:cs="Times New Roman"/>
                <w:b/>
                <w:bCs/>
                <w:vertAlign w:val="superscript"/>
              </w:rPr>
              <w:t>-1</w:t>
            </w:r>
          </w:p>
        </w:tc>
        <w:tc>
          <w:tcPr>
            <w:tcW w:w="944" w:type="dxa"/>
            <w:shd w:val="clear" w:color="auto" w:fill="FFF2CC"/>
            <w:noWrap/>
            <w:vAlign w:val="center"/>
            <w:hideMark/>
          </w:tcPr>
          <w:p w14:paraId="124588D2" w14:textId="77777777" w:rsidR="00B927C8" w:rsidRPr="00EA7E63" w:rsidRDefault="00B927C8" w:rsidP="00C77590">
            <w:pPr>
              <w:spacing w:line="240" w:lineRule="auto"/>
              <w:ind w:firstLine="0"/>
              <w:jc w:val="center"/>
              <w:rPr>
                <w:rFonts w:eastAsia="Calibri" w:cs="Times New Roman"/>
              </w:rPr>
            </w:pPr>
            <w:r>
              <w:rPr>
                <w:rFonts w:eastAsia="Calibri" w:cs="Times New Roman"/>
              </w:rPr>
              <w:t>0.19</w:t>
            </w:r>
          </w:p>
        </w:tc>
        <w:tc>
          <w:tcPr>
            <w:tcW w:w="1620" w:type="dxa"/>
            <w:shd w:val="clear" w:color="auto" w:fill="FBE4D5"/>
            <w:noWrap/>
            <w:vAlign w:val="center"/>
            <w:hideMark/>
          </w:tcPr>
          <w:p w14:paraId="109E97E4" w14:textId="77777777" w:rsidR="00B927C8" w:rsidRPr="00EA7E63" w:rsidRDefault="00B927C8" w:rsidP="00C77590">
            <w:pPr>
              <w:spacing w:line="240" w:lineRule="auto"/>
              <w:ind w:firstLine="0"/>
              <w:jc w:val="center"/>
              <w:rPr>
                <w:rFonts w:eastAsia="Calibri" w:cs="Times New Roman"/>
              </w:rPr>
            </w:pPr>
            <w:r w:rsidRPr="00EA7E63">
              <w:rPr>
                <w:rFonts w:eastAsia="Calibri" w:cs="Calibri"/>
                <w:color w:val="000000"/>
              </w:rPr>
              <w:t>$</w:t>
            </w:r>
            <w:r>
              <w:rPr>
                <w:rFonts w:eastAsia="Calibri" w:cs="Calibri"/>
                <w:color w:val="000000"/>
              </w:rPr>
              <w:t>7269</w:t>
            </w:r>
          </w:p>
        </w:tc>
        <w:tc>
          <w:tcPr>
            <w:tcW w:w="1102" w:type="dxa"/>
            <w:shd w:val="clear" w:color="auto" w:fill="FBE4D5"/>
            <w:noWrap/>
            <w:vAlign w:val="center"/>
            <w:hideMark/>
          </w:tcPr>
          <w:p w14:paraId="2F35B0C3" w14:textId="77777777" w:rsidR="00B927C8" w:rsidRPr="00EA7E63" w:rsidRDefault="00B927C8" w:rsidP="00C77590">
            <w:pPr>
              <w:spacing w:line="240" w:lineRule="auto"/>
              <w:ind w:firstLine="0"/>
              <w:jc w:val="center"/>
              <w:rPr>
                <w:rFonts w:eastAsia="Calibri" w:cs="Times New Roman"/>
              </w:rPr>
            </w:pPr>
            <w:r w:rsidRPr="00EA7E63">
              <w:rPr>
                <w:rFonts w:eastAsia="Calibri" w:cs="Calibri"/>
                <w:color w:val="000000"/>
              </w:rPr>
              <w:t>$4</w:t>
            </w:r>
            <w:r>
              <w:rPr>
                <w:rFonts w:eastAsia="Calibri" w:cs="Calibri"/>
                <w:color w:val="000000"/>
              </w:rPr>
              <w:t>1</w:t>
            </w:r>
            <w:r w:rsidRPr="00EA7E63">
              <w:rPr>
                <w:rFonts w:eastAsia="Calibri" w:cs="Calibri"/>
                <w:color w:val="000000"/>
              </w:rPr>
              <w:t>0,</w:t>
            </w:r>
            <w:r>
              <w:rPr>
                <w:rFonts w:eastAsia="Calibri" w:cs="Calibri"/>
                <w:color w:val="000000"/>
              </w:rPr>
              <w:t>089</w:t>
            </w:r>
          </w:p>
        </w:tc>
      </w:tr>
      <w:tr w:rsidR="00B927C8" w:rsidRPr="00EA7E63" w14:paraId="0CE9EF42" w14:textId="77777777" w:rsidTr="00C77590">
        <w:trPr>
          <w:trHeight w:val="288"/>
          <w:jc w:val="center"/>
        </w:trPr>
        <w:tc>
          <w:tcPr>
            <w:tcW w:w="1482" w:type="dxa"/>
            <w:noWrap/>
            <w:hideMark/>
          </w:tcPr>
          <w:p w14:paraId="3CA87995" w14:textId="77777777" w:rsidR="00B927C8" w:rsidRPr="00EA7E63" w:rsidRDefault="00B927C8" w:rsidP="00C77590">
            <w:pPr>
              <w:spacing w:line="240" w:lineRule="auto"/>
              <w:ind w:firstLine="0"/>
              <w:jc w:val="center"/>
              <w:rPr>
                <w:rFonts w:eastAsia="Calibri" w:cs="Times New Roman"/>
              </w:rPr>
            </w:pPr>
            <w:r>
              <w:rPr>
                <w:rFonts w:eastAsia="Calibri" w:cs="Times New Roman"/>
                <w:b/>
                <w:bCs/>
              </w:rPr>
              <w:t>3 Lg</w:t>
            </w:r>
            <w:r>
              <w:rPr>
                <w:rFonts w:eastAsia="Calibri" w:cs="Times New Roman"/>
                <w:b/>
                <w:bCs/>
                <w:vertAlign w:val="subscript"/>
              </w:rPr>
              <w:t>cat</w:t>
            </w:r>
            <w:r>
              <w:rPr>
                <w:rFonts w:eastAsia="Calibri" w:cs="Times New Roman"/>
                <w:b/>
                <w:bCs/>
                <w:vertAlign w:val="superscript"/>
              </w:rPr>
              <w:t>-1</w:t>
            </w:r>
            <w:r>
              <w:rPr>
                <w:rFonts w:eastAsia="Calibri" w:cs="Times New Roman"/>
                <w:b/>
                <w:bCs/>
              </w:rPr>
              <w:t>h</w:t>
            </w:r>
            <w:r>
              <w:rPr>
                <w:rFonts w:eastAsia="Calibri" w:cs="Times New Roman"/>
                <w:b/>
                <w:bCs/>
                <w:vertAlign w:val="superscript"/>
              </w:rPr>
              <w:t>-1</w:t>
            </w:r>
          </w:p>
        </w:tc>
        <w:tc>
          <w:tcPr>
            <w:tcW w:w="944" w:type="dxa"/>
            <w:shd w:val="clear" w:color="auto" w:fill="FFF2CC"/>
            <w:vAlign w:val="center"/>
            <w:hideMark/>
          </w:tcPr>
          <w:p w14:paraId="264D1303" w14:textId="77777777" w:rsidR="00B927C8" w:rsidRPr="00EA7E63" w:rsidRDefault="00B927C8" w:rsidP="00C77590">
            <w:pPr>
              <w:spacing w:line="240" w:lineRule="auto"/>
              <w:ind w:firstLine="0"/>
              <w:jc w:val="center"/>
              <w:rPr>
                <w:rFonts w:eastAsia="Calibri" w:cs="Times New Roman"/>
              </w:rPr>
            </w:pPr>
            <w:r>
              <w:rPr>
                <w:rFonts w:eastAsia="Calibri" w:cs="Times New Roman"/>
              </w:rPr>
              <w:t>0.18</w:t>
            </w:r>
          </w:p>
        </w:tc>
        <w:tc>
          <w:tcPr>
            <w:tcW w:w="1620" w:type="dxa"/>
            <w:shd w:val="clear" w:color="auto" w:fill="FFF2CC"/>
            <w:noWrap/>
            <w:vAlign w:val="center"/>
            <w:hideMark/>
          </w:tcPr>
          <w:p w14:paraId="75DF114F" w14:textId="77777777" w:rsidR="00B927C8" w:rsidRPr="00EA7E63" w:rsidRDefault="00B927C8" w:rsidP="00C77590">
            <w:pPr>
              <w:spacing w:line="240" w:lineRule="auto"/>
              <w:ind w:firstLine="0"/>
              <w:jc w:val="center"/>
              <w:rPr>
                <w:rFonts w:eastAsia="Calibri" w:cs="Times New Roman"/>
              </w:rPr>
            </w:pPr>
            <w:r w:rsidRPr="00EA7E63">
              <w:rPr>
                <w:rFonts w:eastAsia="Calibri" w:cs="Calibri"/>
                <w:color w:val="000000"/>
              </w:rPr>
              <w:t>$</w:t>
            </w:r>
            <w:r>
              <w:rPr>
                <w:rFonts w:eastAsia="Calibri" w:cs="Calibri"/>
                <w:color w:val="000000"/>
              </w:rPr>
              <w:t>5817</w:t>
            </w:r>
          </w:p>
        </w:tc>
        <w:tc>
          <w:tcPr>
            <w:tcW w:w="1102" w:type="dxa"/>
            <w:shd w:val="clear" w:color="auto" w:fill="FAE2D5" w:themeFill="accent2" w:themeFillTint="33"/>
            <w:noWrap/>
            <w:vAlign w:val="center"/>
            <w:hideMark/>
          </w:tcPr>
          <w:p w14:paraId="09A7FEE3" w14:textId="77777777" w:rsidR="00B927C8" w:rsidRPr="00EA7E63" w:rsidRDefault="00B927C8" w:rsidP="00C77590">
            <w:pPr>
              <w:spacing w:line="240" w:lineRule="auto"/>
              <w:ind w:firstLine="0"/>
              <w:jc w:val="center"/>
              <w:rPr>
                <w:rFonts w:eastAsia="Calibri" w:cs="Times New Roman"/>
              </w:rPr>
            </w:pPr>
            <w:r w:rsidRPr="00EA7E63">
              <w:rPr>
                <w:rFonts w:eastAsia="Calibri" w:cs="Calibri"/>
                <w:color w:val="000000"/>
              </w:rPr>
              <w:t>$</w:t>
            </w:r>
            <w:r>
              <w:rPr>
                <w:rFonts w:eastAsia="Calibri" w:cs="Calibri"/>
                <w:color w:val="000000"/>
              </w:rPr>
              <w:t>406</w:t>
            </w:r>
            <w:r w:rsidRPr="00EA7E63">
              <w:rPr>
                <w:rFonts w:eastAsia="Calibri" w:cs="Calibri"/>
                <w:color w:val="000000"/>
              </w:rPr>
              <w:t>,8</w:t>
            </w:r>
            <w:r>
              <w:rPr>
                <w:rFonts w:eastAsia="Calibri" w:cs="Calibri"/>
                <w:color w:val="000000"/>
              </w:rPr>
              <w:t>36</w:t>
            </w:r>
          </w:p>
        </w:tc>
      </w:tr>
      <w:tr w:rsidR="00B927C8" w:rsidRPr="00EA7E63" w14:paraId="04FBCF89" w14:textId="77777777" w:rsidTr="00C77590">
        <w:trPr>
          <w:trHeight w:val="288"/>
          <w:jc w:val="center"/>
        </w:trPr>
        <w:tc>
          <w:tcPr>
            <w:tcW w:w="1482" w:type="dxa"/>
            <w:noWrap/>
            <w:vAlign w:val="center"/>
          </w:tcPr>
          <w:p w14:paraId="058C7193" w14:textId="77777777" w:rsidR="00B927C8" w:rsidRPr="00EA7E63" w:rsidRDefault="00B927C8" w:rsidP="00C77590">
            <w:pPr>
              <w:spacing w:line="240" w:lineRule="auto"/>
              <w:ind w:firstLine="0"/>
              <w:jc w:val="center"/>
              <w:rPr>
                <w:rFonts w:eastAsia="Calibri" w:cs="Calibri"/>
                <w:color w:val="000000"/>
              </w:rPr>
            </w:pPr>
            <w:r w:rsidRPr="00EA7E63">
              <w:rPr>
                <w:rFonts w:eastAsia="Calibri" w:cs="Calibri"/>
                <w:color w:val="000000"/>
              </w:rPr>
              <w:t>Target</w:t>
            </w:r>
          </w:p>
        </w:tc>
        <w:tc>
          <w:tcPr>
            <w:tcW w:w="944" w:type="dxa"/>
            <w:shd w:val="clear" w:color="auto" w:fill="E2EFD9"/>
            <w:vAlign w:val="center"/>
          </w:tcPr>
          <w:p w14:paraId="77EDC986" w14:textId="77777777" w:rsidR="00B927C8" w:rsidRPr="00EA7E63" w:rsidRDefault="00B927C8" w:rsidP="00C77590">
            <w:pPr>
              <w:spacing w:line="240" w:lineRule="auto"/>
              <w:ind w:firstLine="0"/>
              <w:jc w:val="center"/>
              <w:rPr>
                <w:rFonts w:eastAsia="Calibri" w:cs="Times New Roman"/>
              </w:rPr>
            </w:pPr>
            <w:r>
              <w:rPr>
                <w:rFonts w:eastAsia="Calibri" w:cs="Times New Roman"/>
              </w:rPr>
              <w:t>0.15</w:t>
            </w:r>
          </w:p>
        </w:tc>
        <w:tc>
          <w:tcPr>
            <w:tcW w:w="1620" w:type="dxa"/>
            <w:shd w:val="clear" w:color="auto" w:fill="E2EFD9"/>
            <w:noWrap/>
            <w:vAlign w:val="center"/>
          </w:tcPr>
          <w:p w14:paraId="78591190" w14:textId="77777777" w:rsidR="00B927C8" w:rsidRPr="00EA7E63" w:rsidRDefault="00B927C8" w:rsidP="00C77590">
            <w:pPr>
              <w:spacing w:line="240" w:lineRule="auto"/>
              <w:ind w:firstLine="0"/>
              <w:jc w:val="center"/>
              <w:rPr>
                <w:rFonts w:eastAsia="Calibri" w:cs="Calibri"/>
                <w:color w:val="000000"/>
              </w:rPr>
            </w:pPr>
            <w:r w:rsidRPr="00EA7E63">
              <w:rPr>
                <w:rFonts w:eastAsia="Calibri" w:cs="Calibri"/>
                <w:color w:val="000000"/>
              </w:rPr>
              <w:t>$1155 – $4370</w:t>
            </w:r>
          </w:p>
        </w:tc>
        <w:tc>
          <w:tcPr>
            <w:tcW w:w="1102" w:type="dxa"/>
            <w:shd w:val="clear" w:color="auto" w:fill="E2EFD9"/>
            <w:noWrap/>
            <w:vAlign w:val="center"/>
          </w:tcPr>
          <w:p w14:paraId="0C03B322" w14:textId="77777777" w:rsidR="00B927C8" w:rsidRPr="00EA7E63" w:rsidRDefault="00B927C8" w:rsidP="00C77590">
            <w:pPr>
              <w:spacing w:line="240" w:lineRule="auto"/>
              <w:ind w:firstLine="0"/>
              <w:jc w:val="center"/>
              <w:rPr>
                <w:rFonts w:eastAsia="Calibri" w:cs="Calibri"/>
                <w:color w:val="000000"/>
              </w:rPr>
            </w:pPr>
            <w:r w:rsidRPr="00EA7E63">
              <w:rPr>
                <w:rFonts w:eastAsia="Calibri" w:cs="Calibri"/>
                <w:color w:val="000000"/>
              </w:rPr>
              <w:t>$</w:t>
            </w:r>
            <w:r>
              <w:rPr>
                <w:rFonts w:eastAsia="Calibri" w:cs="Calibri"/>
                <w:color w:val="000000"/>
              </w:rPr>
              <w:t>120</w:t>
            </w:r>
            <w:r w:rsidRPr="00EA7E63">
              <w:rPr>
                <w:rFonts w:eastAsia="Calibri" w:cs="Calibri"/>
                <w:color w:val="000000"/>
              </w:rPr>
              <w:t>,000</w:t>
            </w:r>
          </w:p>
        </w:tc>
      </w:tr>
    </w:tbl>
    <w:p w14:paraId="4B556661" w14:textId="77777777" w:rsidR="00B927C8" w:rsidRPr="001746A8" w:rsidRDefault="00B927C8" w:rsidP="00B927C8"/>
    <w:p w14:paraId="26456624" w14:textId="7DA71BCA" w:rsidR="00B927C8" w:rsidRDefault="00B927C8" w:rsidP="00B927C8">
      <w:r w:rsidRPr="001746A8">
        <w:t xml:space="preserve">The values in </w:t>
      </w:r>
      <w:r w:rsidRPr="001746A8">
        <w:fldChar w:fldCharType="begin"/>
      </w:r>
      <w:r w:rsidRPr="001746A8">
        <w:instrText xml:space="preserve"> REF _Ref148571584 \h </w:instrText>
      </w:r>
      <w:r w:rsidRPr="001746A8">
        <w:fldChar w:fldCharType="separate"/>
      </w:r>
      <w:r w:rsidR="00CF0AAF" w:rsidRPr="001746A8">
        <w:rPr>
          <w:iCs/>
        </w:rPr>
        <w:t xml:space="preserve">Table </w:t>
      </w:r>
      <w:r w:rsidR="00CF0AAF">
        <w:rPr>
          <w:iCs/>
        </w:rPr>
        <w:t>5.</w:t>
      </w:r>
      <w:r w:rsidR="00CF0AAF">
        <w:rPr>
          <w:iCs/>
          <w:noProof/>
        </w:rPr>
        <w:t>8</w:t>
      </w:r>
      <w:r w:rsidRPr="001746A8">
        <w:fldChar w:fldCharType="end"/>
      </w:r>
      <w:r w:rsidRPr="001746A8">
        <w:t xml:space="preserve"> are representative of the </w:t>
      </w:r>
      <w:r>
        <w:t>PCFC’s performance compared to the target values outlined by discussing competing technologies.</w:t>
      </w:r>
      <w:r w:rsidRPr="001746A8">
        <w:t xml:space="preserve"> The results of this table indicate that the current implementation of the PCER system is generally behind that </w:t>
      </w:r>
      <w:r>
        <w:t>of its GTL and power production competitors. However, its competitors generally do not perform both chemical and power production simultaneously</w:t>
      </w:r>
      <w:r w:rsidRPr="001746A8">
        <w:t xml:space="preserve">. </w:t>
      </w:r>
      <w:r>
        <w:t xml:space="preserve">The closest target is the efficiency of converting methane/natural gas into power. </w:t>
      </w:r>
      <w:proofErr w:type="gramStart"/>
      <w:r>
        <w:t>All of</w:t>
      </w:r>
      <w:proofErr w:type="gramEnd"/>
      <w:r>
        <w:t xml:space="preserve"> the scenarios operate with a CE between 73-77% for hydrogen, and as a significant amount of energy is also spent producing aromatics, the system is much more efficient than the individual numbers might portray. </w:t>
      </w:r>
    </w:p>
    <w:p w14:paraId="4F6C30D2" w14:textId="79E14C99" w:rsidR="00B927C8" w:rsidRDefault="00B927C8" w:rsidP="00B927C8">
      <w:r>
        <w:t xml:space="preserve">For the modeled system, excluding the CCS, the PCFC makes up an average of a massive 85% of the total equipment cost across the four scenarios. This is in large part due to the significant active area required to keep pace with the necessary flowrate. The price associated with manufacturing the cell could be decreased as improvements in the kinetics or manufacturing methods are made. However, while improvements in the catalyst or locating additives to speed up the kinetics of the MDA reactions would take a significant cut out of these expenses, it is unlikely that the improvements necessary can be made quickly given the history of conversion limitations for MDA (see </w:t>
      </w:r>
      <w:r>
        <w:fldChar w:fldCharType="begin"/>
      </w:r>
      <w:r>
        <w:instrText xml:space="preserve"> REF _Ref147787267 \h </w:instrText>
      </w:r>
      <w:r>
        <w:fldChar w:fldCharType="separate"/>
      </w:r>
      <w:r w:rsidR="00CF0AAF" w:rsidRPr="001746A8">
        <w:rPr>
          <w:iCs/>
        </w:rPr>
        <w:t xml:space="preserve">Table </w:t>
      </w:r>
      <w:r w:rsidR="00CF0AAF">
        <w:rPr>
          <w:iCs/>
        </w:rPr>
        <w:t>5.</w:t>
      </w:r>
      <w:r w:rsidR="00CF0AAF">
        <w:rPr>
          <w:iCs/>
          <w:noProof/>
        </w:rPr>
        <w:t>3</w:t>
      </w:r>
      <w:r>
        <w:fldChar w:fldCharType="end"/>
      </w:r>
      <w:r>
        <w:t xml:space="preserve">). Further advancements in PCFC manufacturing are much more likely with a current trajectory of significant improvement. The effect of improving the manufacturing cost is shown in </w:t>
      </w:r>
      <w:r>
        <w:fldChar w:fldCharType="begin"/>
      </w:r>
      <w:r>
        <w:instrText xml:space="preserve"> REF _Ref164776479 \h </w:instrText>
      </w:r>
      <w:r>
        <w:fldChar w:fldCharType="separate"/>
      </w:r>
      <w:r>
        <w:t>Figure 5.</w:t>
      </w:r>
      <w:r>
        <w:rPr>
          <w:noProof/>
        </w:rPr>
        <w:t>10</w:t>
      </w:r>
      <w:r>
        <w:fldChar w:fldCharType="end"/>
      </w:r>
      <w:r>
        <w:t>:</w:t>
      </w:r>
    </w:p>
    <w:p w14:paraId="0499B58B" w14:textId="2D86BBF4" w:rsidR="00B927C8" w:rsidRDefault="006A6ABD" w:rsidP="00B927C8">
      <w:pPr>
        <w:keepNext/>
        <w:jc w:val="center"/>
      </w:pPr>
      <w:r>
        <w:rPr>
          <w:noProof/>
        </w:rPr>
        <mc:AlternateContent>
          <mc:Choice Requires="wps">
            <w:drawing>
              <wp:anchor distT="45720" distB="45720" distL="114300" distR="114300" simplePos="0" relativeHeight="251670528" behindDoc="0" locked="0" layoutInCell="1" allowOverlap="1" wp14:anchorId="391755AE" wp14:editId="326F64EF">
                <wp:simplePos x="0" y="0"/>
                <wp:positionH relativeFrom="column">
                  <wp:posOffset>2040140</wp:posOffset>
                </wp:positionH>
                <wp:positionV relativeFrom="paragraph">
                  <wp:posOffset>-52238</wp:posOffset>
                </wp:positionV>
                <wp:extent cx="640150" cy="363634"/>
                <wp:effectExtent l="0" t="95250" r="0" b="93980"/>
                <wp:wrapNone/>
                <wp:docPr id="10510720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562370">
                          <a:off x="0" y="0"/>
                          <a:ext cx="640150" cy="363634"/>
                        </a:xfrm>
                        <a:prstGeom prst="rect">
                          <a:avLst/>
                        </a:prstGeom>
                        <a:noFill/>
                        <a:ln w="9525">
                          <a:noFill/>
                          <a:miter lim="800000"/>
                          <a:headEnd/>
                          <a:tailEnd/>
                        </a:ln>
                      </wps:spPr>
                      <wps:txbx>
                        <w:txbxContent>
                          <w:p w14:paraId="75534D07" w14:textId="77777777" w:rsidR="00B927C8" w:rsidRDefault="00B927C8" w:rsidP="00B927C8">
                            <w:pPr>
                              <w:ind w:firstLine="0"/>
                            </w:pPr>
                            <w:r>
                              <w:t>2017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1755AE" id="_x0000_s1038" type="#_x0000_t202" style="position:absolute;left:0;text-align:left;margin-left:160.65pt;margin-top:-4.1pt;width:50.4pt;height:28.65pt;rotation:-2225635fd;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sLzBgIAAOMDAAAOAAAAZHJzL2Uyb0RvYy54bWysU9tu2zAMfR+wfxD0vvjSJG2MOEXXrsOA&#10;7gJ0+wBFlmNhkqhJSuzs60vJRhJ0b8VsQBBF8ZDnkFrfDlqRg3BegqlpMcspEYZDI82upr9+Pn64&#10;ocQHZhqmwIiaHoWnt5v379a9rUQJHahGOIIgxle9rWkXgq2yzPNOaOZnYIVBZwtOs4Cm22WNYz2i&#10;a5WVeb7MenCNdcCF93j6MDrpJuG3reDhe9t6EYiqKdYW0urSuo1rtlmzaueY7SSfymBvqEIzaTDp&#10;CeqBBUb2Tv4DpSV34KENMw46g7aVXCQOyKbIX7F57pgViQuK4+1JJv//YPm3w7P94UgYPsKADUwk&#10;vH0C/tsTA/cdMztx5xz0nWANJi6iZFlvfTWFRql95SPItv8KDTaZ7QMkoKF1mjhA1YvVYlleXefp&#10;GGkTTIb9OJ56IIZAOB4u53mxQA9H19US/3lKyKqIFRW2zofPAjSJm5o6bHECZYcnH2Jt5yvxuoFH&#10;qVRqszKkr+lqUS5SwIVHy4BTqKSu6U0ev3EuIuVPpknBgUk17jGBMpMGkfYoQBi2A5ENMi1jcNRk&#10;C80RVUn8kRG+Eqy3A/eXkh4nrqb+z545QYn6YlDZVTGfxxFNxnxxXaLhLj3bSw8zHKFqGigZt/ch&#10;jfXI+Q470Mokx7mSqWacpKTSNPVxVC/tdOv8NjcvAAAA//8DAFBLAwQUAAYACAAAACEAGd7br+AA&#10;AAAJAQAADwAAAGRycy9kb3ducmV2LnhtbEyPwU7DMAyG70i8Q2QkblvajKJRmk4IhASHCbFy4ZY1&#10;XlvWOFWTbuXtMSe42fKn399fbGbXixOOofOkIV0mIJBqbztqNHxUz4s1iBANWdN7Qg3fGGBTXl4U&#10;Jrf+TO942sVGcAiF3GhoYxxyKUPdojNh6Qckvh386EzkdWykHc2Zw10vVZLcSmc64g+tGfCxxfq4&#10;m5yGT5dV2XEkt63eXl+esq9pOxxQ6+ur+eEeRMQ5/sHwq8/qULLT3k9kg+g1rFS6YlTDYq1AMHCj&#10;VApiz8NdCrIs5P8G5Q8AAAD//wMAUEsBAi0AFAAGAAgAAAAhALaDOJL+AAAA4QEAABMAAAAAAAAA&#10;AAAAAAAAAAAAAFtDb250ZW50X1R5cGVzXS54bWxQSwECLQAUAAYACAAAACEAOP0h/9YAAACUAQAA&#10;CwAAAAAAAAAAAAAAAAAvAQAAX3JlbHMvLnJlbHNQSwECLQAUAAYACAAAACEAMAbC8wYCAADjAwAA&#10;DgAAAAAAAAAAAAAAAAAuAgAAZHJzL2Uyb0RvYy54bWxQSwECLQAUAAYACAAAACEAGd7br+AAAAAJ&#10;AQAADwAAAAAAAAAAAAAAAABgBAAAZHJzL2Rvd25yZXYueG1sUEsFBgAAAAAEAAQA8wAAAG0FAAAA&#10;AA==&#10;" filled="f" stroked="f">
                <v:textbox>
                  <w:txbxContent>
                    <w:p w14:paraId="75534D07" w14:textId="77777777" w:rsidR="00B927C8" w:rsidRDefault="00B927C8" w:rsidP="00B927C8">
                      <w:pPr>
                        <w:ind w:firstLine="0"/>
                      </w:pPr>
                      <w:r>
                        <w:t>2017</w:t>
                      </w:r>
                    </w:p>
                  </w:txbxContent>
                </v:textbox>
              </v:shape>
            </w:pict>
          </mc:Fallback>
        </mc:AlternateContent>
      </w:r>
      <w:r w:rsidR="00B927C8">
        <w:rPr>
          <w:noProof/>
        </w:rPr>
        <mc:AlternateContent>
          <mc:Choice Requires="wps">
            <w:drawing>
              <wp:anchor distT="45720" distB="45720" distL="114300" distR="114300" simplePos="0" relativeHeight="251671552" behindDoc="0" locked="0" layoutInCell="1" allowOverlap="1" wp14:anchorId="2E28B519" wp14:editId="615E022B">
                <wp:simplePos x="0" y="0"/>
                <wp:positionH relativeFrom="column">
                  <wp:posOffset>2461178</wp:posOffset>
                </wp:positionH>
                <wp:positionV relativeFrom="paragraph">
                  <wp:posOffset>46123</wp:posOffset>
                </wp:positionV>
                <wp:extent cx="558878" cy="338907"/>
                <wp:effectExtent l="0" t="76200" r="0" b="80645"/>
                <wp:wrapNone/>
                <wp:docPr id="4244529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562370">
                          <a:off x="0" y="0"/>
                          <a:ext cx="558878" cy="338907"/>
                        </a:xfrm>
                        <a:prstGeom prst="rect">
                          <a:avLst/>
                        </a:prstGeom>
                        <a:noFill/>
                        <a:ln w="9525">
                          <a:noFill/>
                          <a:miter lim="800000"/>
                          <a:headEnd/>
                          <a:tailEnd/>
                        </a:ln>
                      </wps:spPr>
                      <wps:txbx>
                        <w:txbxContent>
                          <w:p w14:paraId="5A478DFE" w14:textId="77777777" w:rsidR="00B927C8" w:rsidRDefault="00B927C8" w:rsidP="00B927C8">
                            <w:pPr>
                              <w:ind w:firstLine="0"/>
                            </w:pPr>
                            <w:r>
                              <w:t>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28B519" id="_x0000_s1039" type="#_x0000_t202" style="position:absolute;left:0;text-align:left;margin-left:193.8pt;margin-top:3.65pt;width:44pt;height:26.7pt;rotation:-2225635fd;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k4fCAIAAOMDAAAOAAAAZHJzL2Uyb0RvYy54bWysU9uO2yAQfa/Uf0C8N3Yu3jhWnNV2t1tV&#10;2l6kbT+AYByjAkOBxE6/fgccJdH2bVU/IIaBM3POHK9vB63IQTgvwdR0OskpEYZDI82upr9+Pn4o&#10;KfGBmYYpMKKmR+Hp7eb9u3VvKzGDDlQjHEEQ46ve1rQLwVZZ5nknNPMTsMJgsgWnWcDQ7bLGsR7R&#10;tcpmeX6T9eAa64AL7/H0YUzSTcJvW8HD97b1IhBVU+wtpNWldRvXbLNm1c4x20l+aoO9oQvNpMGi&#10;Z6gHFhjZO/kPlJbcgYc2TDjoDNpWcpE4IJtp/orNc8esSFxQHG/PMvn/B8u/HZ7tD0fC8BEGHGAi&#10;4e0T8N+eGLjvmNmJO+eg7wRrsPA0Spb11lenp1FqX/kIsu2/QoNDZvsACWhonSYOUPXpqriZzZd5&#10;OkbaBIvhPI7nGYghEI6HRVGWSzQNx9R8Xq7yZSrIqogVFbbOh88CNImbmjoccQJlhycfYm+XK/G6&#10;gUepVBqzMqSv6aqYFenBVUbLgC5UUte0zOM3+iJS/mSa9DgwqcY9FlDmpEGkPQoQhu1AZINM5/Fx&#10;1GQLzRFVSfyRK/4l2G8H7i8lPTqupv7PnjlBifpiUNnVdLGIFk3BoljOMHDXme11hhmOUDUNlIzb&#10;+5BsPXK+wwm0Mslx6eTUMzopqXRyfbTqdZxuXf7NzQsAAAD//wMAUEsDBBQABgAIAAAAIQAmbDEs&#10;3gAAAAgBAAAPAAAAZHJzL2Rvd25yZXYueG1sTI/BTsMwEETvSPyDtUjcqAMlSRWyqRAICQ5VRcOF&#10;mxtvk9B4HdlOG/4ec4LjaEYzb8r1bAZxIud7ywi3iwQEcWN1zy3CR/1yswLhg2KtBsuE8E0e1tXl&#10;RakKbc/8TqddaEUsYV8ohC6EsZDSNx0Z5Rd2JI7ewTqjQpSuldqpcyw3g7xLkkwa1XNc6NRITx01&#10;x91kED5NWqdHx2ZTb99en9OvaTMeCPH6an58ABFoDn9h+MWP6FBFpr2dWHsxICxXeRajCPkSRPTv&#10;8zTqPUKW5CCrUv4/UP0AAAD//wMAUEsBAi0AFAAGAAgAAAAhALaDOJL+AAAA4QEAABMAAAAAAAAA&#10;AAAAAAAAAAAAAFtDb250ZW50X1R5cGVzXS54bWxQSwECLQAUAAYACAAAACEAOP0h/9YAAACUAQAA&#10;CwAAAAAAAAAAAAAAAAAvAQAAX3JlbHMvLnJlbHNQSwECLQAUAAYACAAAACEAhFJOHwgCAADjAwAA&#10;DgAAAAAAAAAAAAAAAAAuAgAAZHJzL2Uyb0RvYy54bWxQSwECLQAUAAYACAAAACEAJmwxLN4AAAAI&#10;AQAADwAAAAAAAAAAAAAAAABiBAAAZHJzL2Rvd25yZXYueG1sUEsFBgAAAAAEAAQA8wAAAG0FAAAA&#10;AA==&#10;" filled="f" stroked="f">
                <v:textbox>
                  <w:txbxContent>
                    <w:p w14:paraId="5A478DFE" w14:textId="77777777" w:rsidR="00B927C8" w:rsidRDefault="00B927C8" w:rsidP="00B927C8">
                      <w:pPr>
                        <w:ind w:firstLine="0"/>
                      </w:pPr>
                      <w:r>
                        <w:t>2021</w:t>
                      </w:r>
                    </w:p>
                  </w:txbxContent>
                </v:textbox>
              </v:shape>
            </w:pict>
          </mc:Fallback>
        </mc:AlternateContent>
      </w:r>
      <w:r w:rsidR="00B927C8">
        <w:rPr>
          <w:noProof/>
        </w:rPr>
        <mc:AlternateContent>
          <mc:Choice Requires="wps">
            <w:drawing>
              <wp:anchor distT="0" distB="0" distL="114300" distR="114300" simplePos="0" relativeHeight="251669504" behindDoc="0" locked="0" layoutInCell="1" allowOverlap="1" wp14:anchorId="36F7FFF5" wp14:editId="632324C8">
                <wp:simplePos x="0" y="0"/>
                <wp:positionH relativeFrom="column">
                  <wp:posOffset>2491269</wp:posOffset>
                </wp:positionH>
                <wp:positionV relativeFrom="paragraph">
                  <wp:posOffset>342265</wp:posOffset>
                </wp:positionV>
                <wp:extent cx="9832" cy="1887794"/>
                <wp:effectExtent l="0" t="0" r="28575" b="36830"/>
                <wp:wrapNone/>
                <wp:docPr id="77096979" name="Straight Connector 1"/>
                <wp:cNvGraphicFramePr/>
                <a:graphic xmlns:a="http://schemas.openxmlformats.org/drawingml/2006/main">
                  <a:graphicData uri="http://schemas.microsoft.com/office/word/2010/wordprocessingShape">
                    <wps:wsp>
                      <wps:cNvCnPr/>
                      <wps:spPr>
                        <a:xfrm>
                          <a:off x="0" y="0"/>
                          <a:ext cx="9832" cy="1887794"/>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9444CB" id="Straight Connector 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15pt,26.95pt" to="196.9pt,17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ZAJrQEAALwDAAAOAAAAZHJzL2Uyb0RvYy54bWysU01v2zAMvQ/ofxB0X2Rnw5oacXposF6K&#10;rti6H6DIVCxAX5DU2Pn3o+TEKbYBw4peaInkeySf6PXtaDQ5QIjK2ZbWi4oSsMJ1yu5b+vP568cV&#10;JTFx23HtLLT0CJHebq4+rAffwNL1TncQCJLY2Ay+pX1KvmEsih4MjwvnwWJQumB4wmvYsy7wAdmN&#10;Zsuq+sIGFzofnIAY0budgnRT+KUEkb5JGSER3VLsLRUbit1lyzZr3uwD970Spzb4G7owXFksOlNt&#10;eeLkJag/qIwSwUUn00I4w5yUSkCZAaepq9+m+dFzD2UWFCf6Wab4frTi8XBnnwLKMPjYRP8U8hSj&#10;DCZ/sT8yFrGOs1gwJiLQebP6tKREYKBera6vbz5nLdkF60NM9+AMyYeWamXzKLzhh4eYptRzSnZr&#10;m232bHnsyYHjg3V4OrHmMLu0WE7pqGGCfgdJVIdN1aVE2R6402Gi4UKATfXMhNkZJpXWM7D6N/CU&#10;n6FQNut/wDOiVHY2zWCjrAt/q57Gc8tyyj8rMM2dJdi57lger0iDK1Je4LTOeQdf3wv88tNtfgEA&#10;AP//AwBQSwMEFAAGAAgAAAAhALlh7pDgAAAACgEAAA8AAABkcnMvZG93bnJldi54bWxMj8FOwzAM&#10;hu9IvENkJC5oS9cwREvTCRBcOI0xEMe0MU21JqmSbC1vjznBzZY//f7+ajPbgZ0wxN47CatlBgxd&#10;63XvOgn7t+fFLbCYlNNq8A4lfGOETX1+VqlS+8m94mmXOkYhLpZKgklpLDmPrUGr4tKP6Oj25YNV&#10;idbQcR3UROF24HmW3XCrekcfjBrx0WB72B2thNE8vTx0efHeq7a5/jh8bsMVTlJeXsz3d8ASzukP&#10;hl99UoeanBp/dDqyQYIockGohLUogBEgCkFdGhrWqxx4XfH/FeofAAAA//8DAFBLAQItABQABgAI&#10;AAAAIQC2gziS/gAAAOEBAAATAAAAAAAAAAAAAAAAAAAAAABbQ29udGVudF9UeXBlc10ueG1sUEsB&#10;Ai0AFAAGAAgAAAAhADj9If/WAAAAlAEAAAsAAAAAAAAAAAAAAAAALwEAAF9yZWxzLy5yZWxzUEsB&#10;Ai0AFAAGAAgAAAAhABvxkAmtAQAAvAMAAA4AAAAAAAAAAAAAAAAALgIAAGRycy9lMm9Eb2MueG1s&#10;UEsBAi0AFAAGAAgAAAAhALlh7pDgAAAACgEAAA8AAAAAAAAAAAAAAAAABwQAAGRycy9kb3ducmV2&#10;LnhtbFBLBQYAAAAABAAEAPMAAAAUBQAAAAA=&#10;" strokecolor="#156082 [3204]" strokeweight=".5pt">
                <v:stroke dashstyle="dash" joinstyle="miter"/>
              </v:line>
            </w:pict>
          </mc:Fallback>
        </mc:AlternateContent>
      </w:r>
      <w:r w:rsidR="00B927C8">
        <w:rPr>
          <w:noProof/>
        </w:rPr>
        <mc:AlternateContent>
          <mc:Choice Requires="wps">
            <w:drawing>
              <wp:anchor distT="0" distB="0" distL="114300" distR="114300" simplePos="0" relativeHeight="251668480" behindDoc="0" locked="0" layoutInCell="1" allowOverlap="1" wp14:anchorId="5646F122" wp14:editId="7A9D9571">
                <wp:simplePos x="0" y="0"/>
                <wp:positionH relativeFrom="column">
                  <wp:posOffset>2186469</wp:posOffset>
                </wp:positionH>
                <wp:positionV relativeFrom="paragraph">
                  <wp:posOffset>343535</wp:posOffset>
                </wp:positionV>
                <wp:extent cx="9832" cy="1887794"/>
                <wp:effectExtent l="0" t="0" r="28575" b="36830"/>
                <wp:wrapNone/>
                <wp:docPr id="346613129" name="Straight Connector 1"/>
                <wp:cNvGraphicFramePr/>
                <a:graphic xmlns:a="http://schemas.openxmlformats.org/drawingml/2006/main">
                  <a:graphicData uri="http://schemas.microsoft.com/office/word/2010/wordprocessingShape">
                    <wps:wsp>
                      <wps:cNvCnPr/>
                      <wps:spPr>
                        <a:xfrm>
                          <a:off x="0" y="0"/>
                          <a:ext cx="9832" cy="1887794"/>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DB8541" id="Straight Connector 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15pt,27.05pt" to="172.9pt,17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ZAJrQEAALwDAAAOAAAAZHJzL2Uyb0RvYy54bWysU01v2zAMvQ/ofxB0X2Rnw5oacXposF6K&#10;rti6H6DIVCxAX5DU2Pn3o+TEKbYBw4peaInkeySf6PXtaDQ5QIjK2ZbWi4oSsMJ1yu5b+vP568cV&#10;JTFx23HtLLT0CJHebq4+rAffwNL1TncQCJLY2Ay+pX1KvmEsih4MjwvnwWJQumB4wmvYsy7wAdmN&#10;Zsuq+sIGFzofnIAY0budgnRT+KUEkb5JGSER3VLsLRUbit1lyzZr3uwD970Spzb4G7owXFksOlNt&#10;eeLkJag/qIwSwUUn00I4w5yUSkCZAaepq9+m+dFzD2UWFCf6Wab4frTi8XBnnwLKMPjYRP8U8hSj&#10;DCZ/sT8yFrGOs1gwJiLQebP6tKREYKBera6vbz5nLdkF60NM9+AMyYeWamXzKLzhh4eYptRzSnZr&#10;m232bHnsyYHjg3V4OrHmMLu0WE7pqGGCfgdJVIdN1aVE2R6402Gi4UKATfXMhNkZJpXWM7D6N/CU&#10;n6FQNut/wDOiVHY2zWCjrAt/q57Gc8tyyj8rMM2dJdi57lger0iDK1Je4LTOeQdf3wv88tNtfgEA&#10;AP//AwBQSwMEFAAGAAgAAAAhAHmzOpLgAAAACgEAAA8AAABkcnMvZG93bnJldi54bWxMj8tOwzAQ&#10;RfdI/IM1SGwQddI4CEKcChBsWJXyEEsnHuKosR3ZbhP+nmEFuxnN0Z1z681iR3bEEAfvJOSrDBi6&#10;zuvB9RLeXp8ur4HFpJxWo3co4RsjbJrTk1pV2s/uBY+71DMKcbFSEkxKU8V57AxaFVd+Qke3Lx+s&#10;SrSGnuugZgq3I19n2RW3anD0wagJHwx2+93BSpjM4/N9v755H1TXio/95zZc4Czl+dlydwss4ZL+&#10;YPjVJ3VoyKn1B6cjGyUUQhSESihFDoyAQpTUpaWhzAXwpub/KzQ/AAAA//8DAFBLAQItABQABgAI&#10;AAAAIQC2gziS/gAAAOEBAAATAAAAAAAAAAAAAAAAAAAAAABbQ29udGVudF9UeXBlc10ueG1sUEsB&#10;Ai0AFAAGAAgAAAAhADj9If/WAAAAlAEAAAsAAAAAAAAAAAAAAAAALwEAAF9yZWxzLy5yZWxzUEsB&#10;Ai0AFAAGAAgAAAAhABvxkAmtAQAAvAMAAA4AAAAAAAAAAAAAAAAALgIAAGRycy9lMm9Eb2MueG1s&#10;UEsBAi0AFAAGAAgAAAAhAHmzOpLgAAAACgEAAA8AAAAAAAAAAAAAAAAABwQAAGRycy9kb3ducmV2&#10;LnhtbFBLBQYAAAAABAAEAPMAAAAUBQAAAAA=&#10;" strokecolor="#156082 [3204]" strokeweight=".5pt">
                <v:stroke dashstyle="dash" joinstyle="miter"/>
              </v:line>
            </w:pict>
          </mc:Fallback>
        </mc:AlternateContent>
      </w:r>
      <w:r w:rsidR="00B927C8">
        <w:rPr>
          <w:noProof/>
        </w:rPr>
        <w:drawing>
          <wp:inline distT="0" distB="0" distL="0" distR="0" wp14:anchorId="0A7B0611" wp14:editId="2CA470F3">
            <wp:extent cx="4580620" cy="2797937"/>
            <wp:effectExtent l="0" t="0" r="0" b="2540"/>
            <wp:docPr id="439559303" name="Chart 1">
              <a:extLst xmlns:a="http://schemas.openxmlformats.org/drawingml/2006/main">
                <a:ext uri="{FF2B5EF4-FFF2-40B4-BE49-F238E27FC236}">
                  <a16:creationId xmlns:a16="http://schemas.microsoft.com/office/drawing/2014/main" id="{6B7FFDD1-19B1-B093-8F47-9AFFAE601D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17D65364" w14:textId="05D2320E" w:rsidR="00B927C8" w:rsidRDefault="00B927C8" w:rsidP="00B927C8">
      <w:pPr>
        <w:pStyle w:val="Caption"/>
      </w:pPr>
      <w:bookmarkStart w:id="191" w:name="_Ref164776479"/>
      <w:bookmarkStart w:id="192" w:name="_Ref164776469"/>
      <w:bookmarkStart w:id="193" w:name="_Toc165641162"/>
      <w:r>
        <w:t>Figure 5.</w:t>
      </w:r>
      <w:r>
        <w:fldChar w:fldCharType="begin"/>
      </w:r>
      <w:r>
        <w:instrText xml:space="preserve"> SEQ Figure \* ARABIC </w:instrText>
      </w:r>
      <w:r>
        <w:fldChar w:fldCharType="separate"/>
      </w:r>
      <w:r>
        <w:rPr>
          <w:noProof/>
        </w:rPr>
        <w:t>10</w:t>
      </w:r>
      <w:r>
        <w:fldChar w:fldCharType="end"/>
      </w:r>
      <w:bookmarkEnd w:id="191"/>
      <w:r>
        <w:t xml:space="preserve">: Impact of manufacturing cost on the breakeven year of the PCFC system. The dashed lines reference the manufacturing cost estimations from Dubois et al. </w:t>
      </w:r>
      <w:r>
        <w:fldChar w:fldCharType="begin"/>
      </w:r>
      <w:r w:rsidR="00CA7A9D">
        <w:instrText xml:space="preserve"> ADDIN ZOTERO_ITEM CSL_CITATION {"citationID":"a2glikir6o7","properties":{"formattedCitation":"[20]","plainCitation":"[20]","noteIndex":0},"citationItems":[{"id":83,"uris":["http://zotero.org/users/12063231/items/NHNHNLC2"],"itemData":{"id":83,"type":"article-journal","abstract":"Recent progress in the performance of intermediate temperature (500–600 °C) protonic ceramic fuel cells (PCFCs) has demonstrated both fuel flexibility and increasing power density that approach commercial application requirements. These developments may eventually position the technology as a viable alternative to solid oxide fuel cells (SOFCs) and molten carbonate fuel cells (MCFCs). The PCFCs investigated in this work are based on a BaZr0.8Y0.2O3-δ (BZY20) thin electrolyte supported by BZY20/Ni porous anodes, and a triple conducting cathode material comprised of BaCo0.4Fe0.4Zr0.1Y0.1O3-δ (BCFZY0.1). These cells are prepared using a low-cost solid-state reactive sintering (SSRS) process, and are capable of power densities of 0.156 W cm−2 at 500 °C operating directly from methane fuel. We develop a manufacturing cost model to estimate the Nth generation production costs of PCFC stack technology using high volume manufacturing processes and compare them to the state-of-the-art in SOFC technology. The low-cost cell manufacturing enabled by the SSRS technique compensates for the lower PCFC power density and the trade-off between operating temperature and efficiency enables the use of lower-cost stainless steel materials. PCFC stack production cost estimates are found to be as much as 27–37% lower at 550 °C than SOFCs operating at 800 °C.","container-title":"Journal of Power Sources","DOI":"10.1016/j.jpowsour.2017.09.024","ISSN":"0378-7753","journalAbbreviation":"Journal of Power Sources","page":"65-77","source":"ScienceDirect","title":"Benchmarking the expected stack manufacturing cost of next generation, intermediate-temperature protonic ceramic fuel cells with solid oxide fuel cell technology","volume":"369","author":[{"family":"Dubois","given":"Alexis"},{"family":"Ricote","given":"Sandrine"},{"family":"Braun","given":"Robert J."}],"issued":{"date-parts":[["2017",11,30]]}}}],"schema":"https://github.com/citation-style-language/schema/raw/master/csl-citation.json"} </w:instrText>
      </w:r>
      <w:r>
        <w:fldChar w:fldCharType="separate"/>
      </w:r>
      <w:r w:rsidR="00CA7A9D" w:rsidRPr="00CA7A9D">
        <w:rPr>
          <w:rFonts w:ascii="Aptos" w:hAnsi="Aptos"/>
          <w:sz w:val="22"/>
        </w:rPr>
        <w:t>[20]</w:t>
      </w:r>
      <w:r>
        <w:fldChar w:fldCharType="end"/>
      </w:r>
      <w:r>
        <w:t xml:space="preserve"> and </w:t>
      </w:r>
      <w:proofErr w:type="spellStart"/>
      <w:r>
        <w:t>O’Hayre</w:t>
      </w:r>
      <w:proofErr w:type="spellEnd"/>
      <w:r>
        <w:t xml:space="preserve"> et al. </w:t>
      </w:r>
      <w:r>
        <w:fldChar w:fldCharType="begin"/>
      </w:r>
      <w:r w:rsidR="00CA7A9D">
        <w:instrText xml:space="preserve"> ADDIN ZOTERO_ITEM CSL_CITATION {"citationID":"ab4quqt9tm","properties":{"formattedCitation":"[132]","plainCitation":"[132]","noteIndex":0},"citationItems":[{"id":75,"uris":["http://zotero.org/users/12063231/items/CUGTEEIY"],"itemData":{"id":75,"type":"report","abstract":"This project, led by the Colorado School of Mines (CSM) with commercial partner FuelCell Energy (FCE), sought to demonstrate a novel intermediate temperature fuel cell technology operating on natural gas fuel based on proton conducting ceramic materials that combines many of the advantages of both lower temperature polymer-based fuel cells and higher-temperature solid oxide-based fuel cells while mitigating many of the disadvantages of these older fuel cell technologies. The team successfully advanced their protonic ceramic fuel cell (PCFC) technology from the small (&lt;1 cm2) laboratory button-cell scale to the commercial scale (81 cm2) utilizing low-cost, volume-qualified industrial manufacturing processes. The team validated the intrinsic high performance and high durability of the PCFC materials set at scale with large-area 81 cm2 cells operating for more than 11,000 hours at 600-650 oC, achieving cell-level degradation rates &lt;0.6%/khr and power densities &gt;500 mW/cm2. To our knowledge, these results represent the world’s largest-area and longest-duration cell tests of PCFC technology. The team also successfully demonstrated the world’s first large-area, &gt;100W natural gas-fueled PCFC stack prototype by leveraging these large-area cells with FCE’s low-cost Compact Stack Architecture (CSA). The project team also made significant advancements in modeling, simulation, design, and understanding of the overall techno-economic potential of protonic ceramic fuel cells and systems. In particular, the team developed first-of-a-kind steady-state and dynamic cell-level models for protonic ceramic cell-stack performance prediction and transient simulation (at both 1- and 3-D resolution), system level modeling, design, and optimization, and for transdisciplinary analysis of coupled, multi-physics around thermo-chemo-mechanical behaviors of protonic ceramic material systems. The first protonic ceramic stack production cost models were developed and used in system bottom-up costing and subsequently for optimal sizing and dispatch in hybrid renewable energy system configurations in building applications for value proposition analyses. The sum of these efforts enabled an understanding of application-specific design strategies on capital and life cycle system costs, as well the development of quantitative competitive advantage summaries of the technology. The findings concluded that PCFC-based systems always resulted in higher relative savings than conventional generation and RES-only systems for the given scenario (with PCFC systems exemplified as the most cost-effective solution of all the CHP options). These savings are upwards of 20 to 40 percent across all sites, and are typically higher when some fraction of thermal loads are served with PCFC CHP systems. Competitively, the life cycle savings advantage of PCFCs over conventional generation (MTs and ICEs) ranges between 5-20%, and is the advantage is about 2 to 8% over other SOFC technologies.","language":"English","note":"DOI: 10.2172/1861417","number":"Final Report: DOE-CSM-0493-1","publisher":"Colorado School of Mines, Golden, CO (United States)","source":"www.osti.gov","title":"Low-Cost Intermediate-Temperature Fuel-Flexible Protonic-Ceramic Fuel Cell and Stack","URL":"https://www.osti.gov/biblio/1861417","author":[{"family":"O'Hayre","given":"Ryan"},{"family":"Sullivan","given":"Neal"},{"family":"Kee","given":"Robert"},{"family":"Braun","given":"Robert"},{"family":"Ghezel-Ayagh","given":"Hossein"},{"family":"Tang","given":"Eric"},{"family":"Pastula","given":"Michael"}],"accessed":{"date-parts":[["2023",9,11]]},"issued":{"date-parts":[["2021",9,15]]}}}],"schema":"https://github.com/citation-style-language/schema/raw/master/csl-citation.json"} </w:instrText>
      </w:r>
      <w:r>
        <w:fldChar w:fldCharType="separate"/>
      </w:r>
      <w:r w:rsidR="00CA7A9D" w:rsidRPr="00CA7A9D">
        <w:rPr>
          <w:rFonts w:ascii="Aptos" w:hAnsi="Aptos"/>
          <w:sz w:val="22"/>
        </w:rPr>
        <w:t>[132]</w:t>
      </w:r>
      <w:r>
        <w:fldChar w:fldCharType="end"/>
      </w:r>
      <w:r>
        <w:t xml:space="preserve"> for 2017 and 2021, respectively</w:t>
      </w:r>
      <w:bookmarkEnd w:id="192"/>
      <w:bookmarkEnd w:id="193"/>
    </w:p>
    <w:p w14:paraId="1449D828" w14:textId="76B43D16" w:rsidR="00B927C8" w:rsidRPr="003A0894" w:rsidRDefault="00B927C8" w:rsidP="00B927C8">
      <w:r>
        <w:fldChar w:fldCharType="begin"/>
      </w:r>
      <w:r>
        <w:instrText xml:space="preserve"> REF _Ref164776479 \h </w:instrText>
      </w:r>
      <w:r>
        <w:fldChar w:fldCharType="separate"/>
      </w:r>
      <w:r>
        <w:t>Figure 5.</w:t>
      </w:r>
      <w:r>
        <w:rPr>
          <w:noProof/>
        </w:rPr>
        <w:t>10</w:t>
      </w:r>
      <w:r>
        <w:fldChar w:fldCharType="end"/>
      </w:r>
      <w:r>
        <w:t xml:space="preserve"> shows that the manufacturing cost alone has the power to make the system economically feasible. Had there been no progress since 2017, the breakeven point would have been approximately 17.6 years. As further improvements are made, the breakeven point for the system can reach 10 years if PCFCs can be manufactured for 65% of the current estimations in this study. This would correspond to a price of approximately $165/kW for a pure hydrogen-fed cell, as was considered in the estimated manufacturing costs from 2021 </w:t>
      </w:r>
      <w:r>
        <w:fldChar w:fldCharType="begin"/>
      </w:r>
      <w:r w:rsidR="00CA7A9D">
        <w:instrText xml:space="preserve"> ADDIN ZOTERO_ITEM CSL_CITATION {"citationID":"a1l1etbkilh","properties":{"formattedCitation":"[132]","plainCitation":"[132]","noteIndex":0},"citationItems":[{"id":75,"uris":["http://zotero.org/users/12063231/items/CUGTEEIY"],"itemData":{"id":75,"type":"report","abstract":"This project, led by the Colorado School of Mines (CSM) with commercial partner FuelCell Energy (FCE), sought to demonstrate a novel intermediate temperature fuel cell technology operating on natural gas fuel based on proton conducting ceramic materials that combines many of the advantages of both lower temperature polymer-based fuel cells and higher-temperature solid oxide-based fuel cells while mitigating many of the disadvantages of these older fuel cell technologies. The team successfully advanced their protonic ceramic fuel cell (PCFC) technology from the small (&lt;1 cm2) laboratory button-cell scale to the commercial scale (81 cm2) utilizing low-cost, volume-qualified industrial manufacturing processes. The team validated the intrinsic high performance and high durability of the PCFC materials set at scale with large-area 81 cm2 cells operating for more than 11,000 hours at 600-650 oC, achieving cell-level degradation rates &lt;0.6%/khr and power densities &gt;500 mW/cm2. To our knowledge, these results represent the world’s largest-area and longest-duration cell tests of PCFC technology. The team also successfully demonstrated the world’s first large-area, &gt;100W natural gas-fueled PCFC stack prototype by leveraging these large-area cells with FCE’s low-cost Compact Stack Architecture (CSA). The project team also made significant advancements in modeling, simulation, design, and understanding of the overall techno-economic potential of protonic ceramic fuel cells and systems. In particular, the team developed first-of-a-kind steady-state and dynamic cell-level models for protonic ceramic cell-stack performance prediction and transient simulation (at both 1- and 3-D resolution), system level modeling, design, and optimization, and for transdisciplinary analysis of coupled, multi-physics around thermo-chemo-mechanical behaviors of protonic ceramic material systems. The first protonic ceramic stack production cost models were developed and used in system bottom-up costing and subsequently for optimal sizing and dispatch in hybrid renewable energy system configurations in building applications for value proposition analyses. The sum of these efforts enabled an understanding of application-specific design strategies on capital and life cycle system costs, as well the development of quantitative competitive advantage summaries of the technology. The findings concluded that PCFC-based systems always resulted in higher relative savings than conventional generation and RES-only systems for the given scenario (with PCFC systems exemplified as the most cost-effective solution of all the CHP options). These savings are upwards of 20 to 40 percent across all sites, and are typically higher when some fraction of thermal loads are served with PCFC CHP systems. Competitively, the life cycle savings advantage of PCFCs over conventional generation (MTs and ICEs) ranges between 5-20%, and is the advantage is about 2 to 8% over other SOFC technologies.","language":"English","note":"DOI: 10.2172/1861417","number":"Final Report: DOE-CSM-0493-1","publisher":"Colorado School of Mines, Golden, CO (United States)","source":"www.osti.gov","title":"Low-Cost Intermediate-Temperature Fuel-Flexible Protonic-Ceramic Fuel Cell and Stack","URL":"https://www.osti.gov/biblio/1861417","author":[{"family":"O'Hayre","given":"Ryan"},{"family":"Sullivan","given":"Neal"},{"family":"Kee","given":"Robert"},{"family":"Braun","given":"Robert"},{"family":"Ghezel-Ayagh","given":"Hossein"},{"family":"Tang","given":"Eric"},{"family":"Pastula","given":"Michael"}],"accessed":{"date-parts":[["2023",9,11]]},"issued":{"date-parts":[["2021",9,15]]}}}],"schema":"https://github.com/citation-style-language/schema/raw/master/csl-citation.json"} </w:instrText>
      </w:r>
      <w:r>
        <w:fldChar w:fldCharType="separate"/>
      </w:r>
      <w:r w:rsidR="00CA7A9D" w:rsidRPr="00CA7A9D">
        <w:rPr>
          <w:rFonts w:ascii="Aptos" w:hAnsi="Aptos"/>
        </w:rPr>
        <w:t>[132]</w:t>
      </w:r>
      <w:r>
        <w:fldChar w:fldCharType="end"/>
      </w:r>
      <w:r>
        <w:t xml:space="preserve">. </w:t>
      </w:r>
    </w:p>
    <w:p w14:paraId="6FF62C2D" w14:textId="7177657F" w:rsidR="00B927C8" w:rsidRPr="001746A8" w:rsidRDefault="00B927C8" w:rsidP="00B927C8">
      <w:r w:rsidRPr="001746A8">
        <w:t xml:space="preserve">A final important note is the effect that the distance to market has on the system. </w:t>
      </w:r>
      <w:r w:rsidRPr="001746A8">
        <w:fldChar w:fldCharType="begin"/>
      </w:r>
      <w:r w:rsidRPr="001746A8">
        <w:instrText xml:space="preserve"> REF _Ref147794486 \h </w:instrText>
      </w:r>
      <w:r w:rsidRPr="001746A8">
        <w:fldChar w:fldCharType="separate"/>
      </w:r>
      <w:r w:rsidR="00CF0AAF" w:rsidRPr="001746A8">
        <w:rPr>
          <w:iCs/>
        </w:rPr>
        <w:t xml:space="preserve">Figure </w:t>
      </w:r>
      <w:r w:rsidR="00CF0AAF">
        <w:rPr>
          <w:iCs/>
        </w:rPr>
        <w:t>5.</w:t>
      </w:r>
      <w:r w:rsidR="00CF0AAF">
        <w:rPr>
          <w:iCs/>
          <w:noProof/>
        </w:rPr>
        <w:t>11</w:t>
      </w:r>
      <w:r w:rsidRPr="001746A8">
        <w:fldChar w:fldCharType="end"/>
      </w:r>
      <w:r w:rsidRPr="001746A8">
        <w:t xml:space="preserve"> shows the relationship between the annual transportation costs and the distance to market assuming that all trips throughout the year are to the same distance or customer. It is highly likely that the distance will never have a need to exceed ~2000 km, especially </w:t>
      </w:r>
      <w:r>
        <w:t>considering the use case example of</w:t>
      </w:r>
      <w:r w:rsidRPr="001746A8">
        <w:t xml:space="preserve"> North Dakota</w:t>
      </w:r>
      <w:r>
        <w:t>,</w:t>
      </w:r>
      <w:r w:rsidRPr="001746A8">
        <w:t xml:space="preserve"> which </w:t>
      </w:r>
      <w:r>
        <w:t>is</w:t>
      </w:r>
      <w:r w:rsidRPr="001746A8">
        <w:t xml:space="preserve"> centrally located in the U.S. The transportation costs shown in the tables and figures above assume </w:t>
      </w:r>
      <w:proofErr w:type="gramStart"/>
      <w:r w:rsidRPr="001746A8">
        <w:t>a distance of 800</w:t>
      </w:r>
      <w:proofErr w:type="gramEnd"/>
      <w:r w:rsidRPr="001746A8">
        <w:t xml:space="preserve"> km. The </w:t>
      </w:r>
      <w:r>
        <w:t>value</w:t>
      </w:r>
      <w:r w:rsidRPr="001746A8">
        <w:t xml:space="preserve"> shown at ~</w:t>
      </w:r>
      <w:r>
        <w:t>20</w:t>
      </w:r>
      <w:r w:rsidRPr="001746A8">
        <w:t xml:space="preserve">00 km in </w:t>
      </w:r>
      <w:r w:rsidRPr="001746A8">
        <w:fldChar w:fldCharType="begin"/>
      </w:r>
      <w:r w:rsidRPr="001746A8">
        <w:instrText xml:space="preserve"> REF _Ref147794486 \h </w:instrText>
      </w:r>
      <w:r w:rsidRPr="001746A8">
        <w:fldChar w:fldCharType="separate"/>
      </w:r>
      <w:r w:rsidR="00CF0AAF" w:rsidRPr="001746A8">
        <w:rPr>
          <w:iCs/>
        </w:rPr>
        <w:t xml:space="preserve">Figure </w:t>
      </w:r>
      <w:r w:rsidR="00CF0AAF">
        <w:rPr>
          <w:iCs/>
        </w:rPr>
        <w:t>5.</w:t>
      </w:r>
      <w:r w:rsidR="00CF0AAF">
        <w:rPr>
          <w:iCs/>
          <w:noProof/>
        </w:rPr>
        <w:t>11</w:t>
      </w:r>
      <w:r w:rsidRPr="001746A8">
        <w:fldChar w:fldCharType="end"/>
      </w:r>
      <w:r w:rsidRPr="001746A8">
        <w:t xml:space="preserve"> is </w:t>
      </w:r>
      <w:r>
        <w:t>only ~$25,000 more than the ~160 km value</w:t>
      </w:r>
      <w:r w:rsidRPr="001746A8">
        <w:t xml:space="preserve">. </w:t>
      </w:r>
      <w:r>
        <w:t>This</w:t>
      </w:r>
      <w:r w:rsidRPr="001746A8">
        <w:t xml:space="preserve"> is a very affordable adjustment </w:t>
      </w:r>
      <w:r>
        <w:t xml:space="preserve">and proves that the distance to market </w:t>
      </w:r>
      <w:r w:rsidR="00BA0055">
        <w:t>should</w:t>
      </w:r>
      <w:r>
        <w:t xml:space="preserve"> not play a significant role in hindering the profitability of the MDA PCFC system.</w:t>
      </w:r>
    </w:p>
    <w:p w14:paraId="5209BCA6" w14:textId="77777777" w:rsidR="00B927C8" w:rsidRPr="001746A8" w:rsidRDefault="00B927C8" w:rsidP="00B927C8">
      <w:pPr>
        <w:jc w:val="center"/>
      </w:pPr>
      <w:r>
        <w:rPr>
          <w:noProof/>
        </w:rPr>
        <w:drawing>
          <wp:inline distT="0" distB="0" distL="0" distR="0" wp14:anchorId="3B8DEBA6" wp14:editId="4E96232F">
            <wp:extent cx="4592472" cy="2504365"/>
            <wp:effectExtent l="0" t="0" r="0" b="0"/>
            <wp:docPr id="1202351714" name="Chart 1">
              <a:extLst xmlns:a="http://schemas.openxmlformats.org/drawingml/2006/main">
                <a:ext uri="{FF2B5EF4-FFF2-40B4-BE49-F238E27FC236}">
                  <a16:creationId xmlns:a16="http://schemas.microsoft.com/office/drawing/2014/main" id="{B3495986-6CE8-469B-B5F7-5442BC1B59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5A970159" w14:textId="77777777" w:rsidR="00B927C8" w:rsidRPr="001746A8" w:rsidRDefault="00B927C8" w:rsidP="00CF0AAF">
      <w:pPr>
        <w:pStyle w:val="Caption"/>
      </w:pPr>
      <w:bookmarkStart w:id="194" w:name="_Ref147794486"/>
      <w:bookmarkStart w:id="195" w:name="_Toc165641163"/>
      <w:r w:rsidRPr="001746A8">
        <w:t xml:space="preserve">Figure </w:t>
      </w:r>
      <w:r>
        <w:t>5.</w:t>
      </w:r>
      <w:r w:rsidRPr="001746A8">
        <w:fldChar w:fldCharType="begin"/>
      </w:r>
      <w:r w:rsidRPr="001746A8">
        <w:instrText xml:space="preserve"> SEQ Figure \* ARABIC </w:instrText>
      </w:r>
      <w:r w:rsidRPr="001746A8">
        <w:fldChar w:fldCharType="separate"/>
      </w:r>
      <w:r>
        <w:rPr>
          <w:noProof/>
        </w:rPr>
        <w:t>11</w:t>
      </w:r>
      <w:r w:rsidRPr="001746A8">
        <w:fldChar w:fldCharType="end"/>
      </w:r>
      <w:bookmarkEnd w:id="194"/>
      <w:r w:rsidRPr="001746A8">
        <w:t>: Effect of distance to market on transportation costs</w:t>
      </w:r>
      <w:bookmarkEnd w:id="195"/>
    </w:p>
    <w:p w14:paraId="6E1B9363" w14:textId="1518A95C" w:rsidR="00B927C8" w:rsidRDefault="00B927C8" w:rsidP="00B927C8">
      <w:r>
        <w:t xml:space="preserve">Overall, the MDA PCFC falls a little short of the economic expectations needed for deployment. However, it also appears to be very close to achieving economic viability. With an effective CE of ~75%, and a fuel conversion </w:t>
      </w:r>
      <w:r w:rsidR="00C03089">
        <w:t>rate of</w:t>
      </w:r>
      <w:r>
        <w:t xml:space="preserve"> up to 30%, a lot of progress has already been made to make this a viable flaring solution. The largest obstacle is the manufacturing of the cell, which dwarfs the other components needed to make it successful. </w:t>
      </w:r>
    </w:p>
    <w:p w14:paraId="32F237EC" w14:textId="4F80816E" w:rsidR="00B927C8" w:rsidRDefault="00B927C8" w:rsidP="00B927C8">
      <w:r w:rsidRPr="001746A8">
        <w:t xml:space="preserve">It should also be noted that this analysis </w:t>
      </w:r>
      <w:r w:rsidR="00EB6FFF">
        <w:t>is</w:t>
      </w:r>
      <w:r w:rsidRPr="001746A8">
        <w:t xml:space="preserve"> performed without the assumption of any grants or tax credits. There are several significant tax credits and grants that exist to help with fuel cell applications. For example, the U.S. currently has a tax credit for 30% of the total fuel cell cost up to $100,000 </w:t>
      </w:r>
      <w:r w:rsidRPr="001746A8">
        <w:fldChar w:fldCharType="begin"/>
      </w:r>
      <w:r w:rsidR="00CA7A9D">
        <w:instrText xml:space="preserve"> ADDIN ZOTERO_ITEM CSL_CITATION {"citationID":"a145khdf917","properties":{"formattedCitation":"[134], [135]","plainCitation":"[134], [135]","noteIndex":0},"citationItems":[{"id":42,"uris":["http://zotero.org/users/12063231/items/H4D25GKE"],"itemData":{"id":42,"type":"webpage","abstract":"Information about federal and state financial incentives for hydrogen fuel cell projects.","container-title":"Energy.gov","language":"en","title":"Financial Incentives for Hydrogen and Fuel Cell Projects","URL":"https://www.energy.gov/eere/fuelcells/financial-incentives-hydrogen-and-fuel-cell-projects","accessed":{"date-parts":[["2023",10,6]]}}},{"id":43,"uris":["http://zotero.org/users/12063231/items/YYPNCLJX"],"itemData":{"id":43,"type":"webpage","abstract":"In the U.S., fuel cell incentives include a federal tax credit for 30 percent of the cost of a fuel cell.  California kicks in another $2.50 per watt.","note":"section: Grid Edge","title":"Sources: Bloom Box Costs $12.50 Per Watt","title-short":"Sources","URL":"https://www.greentechmedia.com/articles/read/bloom-update","accessed":{"date-parts":[["2023",10,6]]}}}],"schema":"https://github.com/citation-style-language/schema/raw/master/csl-citation.json"} </w:instrText>
      </w:r>
      <w:r w:rsidRPr="001746A8">
        <w:fldChar w:fldCharType="separate"/>
      </w:r>
      <w:r w:rsidR="00CA7A9D" w:rsidRPr="00CA7A9D">
        <w:rPr>
          <w:rFonts w:ascii="Aptos" w:hAnsi="Aptos"/>
        </w:rPr>
        <w:t>[134], [135]</w:t>
      </w:r>
      <w:r w:rsidRPr="001746A8">
        <w:fldChar w:fldCharType="end"/>
      </w:r>
      <w:r w:rsidRPr="001746A8">
        <w:t>. These can be taken into consideration to make the technology more profitable in the short term.</w:t>
      </w:r>
    </w:p>
    <w:p w14:paraId="1158356D" w14:textId="77777777" w:rsidR="00B927C8" w:rsidRPr="001746A8" w:rsidRDefault="00B927C8" w:rsidP="00B927C8">
      <w:pPr>
        <w:pStyle w:val="Heading3"/>
      </w:pPr>
      <w:bookmarkStart w:id="196" w:name="_Toc149143184"/>
      <w:bookmarkStart w:id="197" w:name="_Toc165641107"/>
      <w:r>
        <w:t xml:space="preserve">5.3.4 </w:t>
      </w:r>
      <w:r w:rsidRPr="001746A8">
        <w:t>Environmental Considerations</w:t>
      </w:r>
      <w:bookmarkEnd w:id="196"/>
      <w:bookmarkEnd w:id="197"/>
    </w:p>
    <w:p w14:paraId="00063E2A" w14:textId="7ECC24B7" w:rsidR="00B927C8" w:rsidRPr="001746A8" w:rsidRDefault="00B927C8" w:rsidP="00B927C8">
      <w:r w:rsidRPr="001746A8">
        <w:t xml:space="preserve">Emissions rate is the primary environmental concern for most industrial processes, especially for power generation. The average CO2 emissions from converting natural gas to energy in the U.S. is 971.36 </w:t>
      </w:r>
      <w:proofErr w:type="spellStart"/>
      <w:r w:rsidRPr="001746A8">
        <w:t>lbs</w:t>
      </w:r>
      <w:proofErr w:type="spellEnd"/>
      <w:r w:rsidRPr="001746A8">
        <w:t xml:space="preserve">/MWh produced </w:t>
      </w:r>
      <w:r w:rsidRPr="001746A8">
        <w:fldChar w:fldCharType="begin"/>
      </w:r>
      <w:r w:rsidR="00CA7A9D">
        <w:instrText xml:space="preserve"> ADDIN ZOTERO_ITEM CSL_CITATION {"citationID":"EhipbHEB","properties":{"formattedCitation":"[136]","plainCitation":"[136]","noteIndex":0},"citationItems":[{"id":199,"uris":["http://zotero.org/users/12063231/items/9JAC46ZW"],"itemData":{"id":199,"type":"webpage","abstract":"eGRID tool","genre":"Data and Tools","language":"en","title":"Data Explorer","URL":"https://www.epa.gov/egrid/data-explorer","author":[{"family":"US EPA","given":"OAR"}],"accessed":{"date-parts":[["2023",7,19]]},"issued":{"date-parts":[["2020",3,2]]}}}],"schema":"https://github.com/citation-style-language/schema/raw/master/csl-citation.json"} </w:instrText>
      </w:r>
      <w:r w:rsidRPr="001746A8">
        <w:fldChar w:fldCharType="separate"/>
      </w:r>
      <w:r w:rsidR="00CA7A9D" w:rsidRPr="00CA7A9D">
        <w:rPr>
          <w:rFonts w:ascii="Aptos" w:hAnsi="Aptos"/>
        </w:rPr>
        <w:t>[136]</w:t>
      </w:r>
      <w:r w:rsidRPr="001746A8">
        <w:fldChar w:fldCharType="end"/>
      </w:r>
      <w:r w:rsidRPr="001746A8">
        <w:t xml:space="preserve">. Implementing technologies that can lower this average </w:t>
      </w:r>
      <w:r w:rsidR="00E9792B">
        <w:t>is critical</w:t>
      </w:r>
      <w:r w:rsidRPr="001746A8">
        <w:t xml:space="preserve"> for decreasing the country’s </w:t>
      </w:r>
      <w:proofErr w:type="gramStart"/>
      <w:r w:rsidRPr="001746A8">
        <w:t>emissions as a whole</w:t>
      </w:r>
      <w:proofErr w:type="gramEnd"/>
      <w:r w:rsidRPr="001746A8">
        <w:t xml:space="preserve">. </w:t>
      </w:r>
    </w:p>
    <w:p w14:paraId="0A8B8124" w14:textId="4797E0E4" w:rsidR="00B927C8" w:rsidRPr="001746A8" w:rsidRDefault="00B927C8" w:rsidP="00B927C8">
      <w:r w:rsidRPr="001746A8">
        <w:t xml:space="preserve">GTL technology is one of the leading practices with a lot of potential to harness leftover gas to reduce emissions. </w:t>
      </w:r>
      <w:r>
        <w:t>Ideally</w:t>
      </w:r>
      <w:r w:rsidRPr="001746A8">
        <w:t>, all stranded, flared, or vented gas would be routed through GTL facilities to mitigate environmental impacts. However, even these GTL processes produce significant GHG emissions due to the high energy inputs required for reforming.</w:t>
      </w:r>
    </w:p>
    <w:p w14:paraId="24E5F82E" w14:textId="42F2FC84" w:rsidR="00B927C8" w:rsidRDefault="00B927C8" w:rsidP="00B927C8">
      <w:r>
        <w:t xml:space="preserve">Without the balance of plant, the PCFC model by itself (and some water) </w:t>
      </w:r>
      <w:r w:rsidR="00EB6FFF">
        <w:t>is</w:t>
      </w:r>
      <w:r>
        <w:t xml:space="preserve"> predicting an emission between 17-19 mol% emissions. The Aspen-HYSYS model adds 5.5% to that number due to the fired heater directly combusting a small portion of the feed to heat the PCFC inlet stream. However, it is possible that the CCS may be able to mitigate these emissions. Additionally, while not factored into this evaluation, Carbon Clean advertises that their modular system should make it easy to prepare the captured carbon for sequestration or other environmentally friendly means of disposal </w:t>
      </w:r>
      <w:r>
        <w:fldChar w:fldCharType="begin"/>
      </w:r>
      <w:r w:rsidR="00CA7A9D">
        <w:instrText xml:space="preserve"> ADDIN ZOTERO_ITEM CSL_CITATION {"citationID":"arjq9lf1dc","properties":{"formattedCitation":"[113]","plainCitation":"[113]","noteIndex":0},"citationItems":[{"id":875,"uris":["http://zotero.org/users/12063231/items/AWLCRP8C"],"itemData":{"id":875,"type":"webpage","abstract":"Our revolutionary carbon capture systems are modularised and containerised, making CO2 capture for industry more efficient than ever.","language":"en","title":"Modular carbon capture systems for industry | Carbon Clean","URL":"https://www.carbonclean.com/modular-carbon-capture-systems","accessed":{"date-parts":[["2024",4,22]]}}}],"schema":"https://github.com/citation-style-language/schema/raw/master/csl-citation.json"} </w:instrText>
      </w:r>
      <w:r>
        <w:fldChar w:fldCharType="separate"/>
      </w:r>
      <w:r w:rsidR="00CA7A9D" w:rsidRPr="00CA7A9D">
        <w:rPr>
          <w:rFonts w:ascii="Aptos" w:hAnsi="Aptos"/>
        </w:rPr>
        <w:t>[113]</w:t>
      </w:r>
      <w:r>
        <w:fldChar w:fldCharType="end"/>
      </w:r>
      <w:r>
        <w:t>. This is an avenue worth further exploration as it could potentially reduce direct emissions to net zero.</w:t>
      </w:r>
    </w:p>
    <w:p w14:paraId="256EC364" w14:textId="77777777" w:rsidR="00B927C8" w:rsidRPr="001746A8" w:rsidRDefault="00B927C8" w:rsidP="00B927C8">
      <w:pPr>
        <w:pStyle w:val="Heading3"/>
      </w:pPr>
      <w:bookmarkStart w:id="198" w:name="_Toc149143185"/>
      <w:bookmarkStart w:id="199" w:name="_Toc165641108"/>
      <w:r>
        <w:t>5.3.3 Safety a</w:t>
      </w:r>
      <w:r w:rsidRPr="001746A8">
        <w:t>nd risk assessment</w:t>
      </w:r>
      <w:bookmarkEnd w:id="198"/>
      <w:bookmarkEnd w:id="199"/>
      <w:r w:rsidRPr="001746A8">
        <w:t xml:space="preserve"> </w:t>
      </w:r>
    </w:p>
    <w:p w14:paraId="254A89F4" w14:textId="6BB59344" w:rsidR="00B927C8" w:rsidRPr="001746A8" w:rsidRDefault="00B927C8" w:rsidP="00B927C8">
      <w:r w:rsidRPr="001746A8">
        <w:t xml:space="preserve">As with any plant process, there are inherent risks and safety measures to be followed in the management of processing equipment. The two largest safety concerns in the PCER considered here are the high-temperature environment and the sulfur content in natural gas. Both of these factors have proven to significantly increase the rate of degradation of solid oxide fuel cells </w:t>
      </w:r>
      <w:r w:rsidRPr="001746A8">
        <w:fldChar w:fldCharType="begin"/>
      </w:r>
      <w:r w:rsidR="00CA7A9D">
        <w:instrText xml:space="preserve"> ADDIN ZOTERO_ITEM CSL_CITATION {"citationID":"D8MBK2EL","properties":{"formattedCitation":"[137]","plainCitation":"[137]","noteIndex":0},"citationItems":[{"id":60,"uris":["http://zotero.org/users/12063231/items/B93LMJDY"],"itemData":{"id":60,"type":"article-journal","abstract":"Hydrogen is the main fuel for all types of fuel cells except direct methanol fuel cells. Hydrogen can be generated from all manner of fossil fuels, including coal, natural gas, diesel, gasoline, other hydrocarbons, and oxygenates (e.g., methanol, ethanol, butanol, etc.). Impurities in the fuel can cause significant performance problems and sulfur, in particular, can decrease the cell performance of fuel cells, including solid oxide fuel cells (SOFC). In the SOFC, the high (800-1000°C) operating temperature yields advantages (e.g., internal fuel reforming) and disadvantages (e.g., material selection and degradation problems). Significant progress in reducing the operating temperature of the SOFC from ~1000 ºC to ~750 ºC may allow less expensive metallic materials to be used for interconnects and as balance of plant (BOP) materials. This paper provides insight on the material performance of nickel, ferritic steels, and nickel-based alloys in fuels containing sulfur, primarily in the form of H2S, and seeks to quantify the extent of possible degradation due to sulfur in the gas stream.","language":"en","source":"Zotero","title":"DEGRADATION OF SOLID OXIDE FUEL CELL METALLIC INTERCONNECTS IN FUELS CONTAINING SULFUR","author":[{"family":"Ziomek-Moroz","given":"M"},{"family":"Hawk","given":"J A"}]}}],"schema":"https://github.com/citation-style-language/schema/raw/master/csl-citation.json"} </w:instrText>
      </w:r>
      <w:r w:rsidRPr="001746A8">
        <w:fldChar w:fldCharType="separate"/>
      </w:r>
      <w:r w:rsidR="00CA7A9D" w:rsidRPr="00CA7A9D">
        <w:rPr>
          <w:rFonts w:ascii="Aptos" w:hAnsi="Aptos"/>
        </w:rPr>
        <w:t>[137]</w:t>
      </w:r>
      <w:r w:rsidRPr="001746A8">
        <w:fldChar w:fldCharType="end"/>
      </w:r>
      <w:r w:rsidRPr="001746A8">
        <w:t>. PCERs operate at lower temperatures compared to SOFCs, but &gt;500</w:t>
      </w:r>
      <m:oMath>
        <m:r>
          <w:rPr>
            <w:rFonts w:ascii="Cambria Math" w:hAnsi="Cambria Math"/>
          </w:rPr>
          <m:t xml:space="preserve"> °</m:t>
        </m:r>
      </m:oMath>
      <w:r w:rsidRPr="001746A8">
        <w:t xml:space="preserve">C can still have a harmful effect on many materials. The durability of the materials in high-temperature environments is often one of the first topics of study when new catalysts and electrodes are implemented. </w:t>
      </w:r>
    </w:p>
    <w:p w14:paraId="379B1914" w14:textId="401E0DF6" w:rsidR="00B927C8" w:rsidRPr="001746A8" w:rsidRDefault="00B927C8" w:rsidP="00B927C8">
      <w:r w:rsidRPr="001746A8">
        <w:t xml:space="preserve">Sulfur content is highly moderated in natural gas pipelines due to its corrosive effects and is currently limited to 17 ppm in U.S. pipelines </w:t>
      </w:r>
      <w:r w:rsidRPr="001746A8">
        <w:fldChar w:fldCharType="begin"/>
      </w:r>
      <w:r w:rsidR="00FD20A8">
        <w:instrText xml:space="preserve"> ADDIN ZOTERO_ITEM CSL_CITATION {"citationID":"rSQuy0Tx","properties":{"formattedCitation":"[12]","plainCitation":"[12]","noteIndex":0},"citationItems":[{"id":178,"uris":["http://zotero.org/users/12063231/items/67EFNYYN"],"itemData":{"id":178,"type":"article-journal","abstract":"Protonic ceramic fuel cells, like their higher-temperature solid-oxide fuel cell counterparts, can directly use both hydrogen and hydrocarbon fuels to produce electricity at potentially more than 50 per cent efficiency1,2. Most previous direct-hydrocarbon fuel cell research has focused on solid-oxide fuel cells based on oxygen-ion-conducting electrolytes, but carbon deposition (coking) and sulfur poisoning typically occur when such fuel cells are directly operated on hydrocarbon- and/or sulfur-containing fuels, resulting in severe performance degradation over time3–6. Despite studies suggesting good performance and anti-coking resistance in hydrocarbon-fuelled protonic ceramic fuel cells2,7,8, there have been no systematic studies of long-term durability. Here we present results from long-term testing of protonic ceramic fuel cells using a total of 11 different fuels (hydrogen, methane, domestic natural gas (with and without hydrogen sulfide), propane, n-butane, i-butane, iso-octane, methanol, ethanol and ammonia) at temperatures between 500 and 600 degrees Celsius. Several cells have been tested for over 6,000</w:instrText>
      </w:r>
      <w:r w:rsidR="00FD20A8">
        <w:rPr>
          <w:rFonts w:ascii="Arial" w:hAnsi="Arial" w:cs="Arial"/>
        </w:rPr>
        <w:instrText> </w:instrText>
      </w:r>
      <w:r w:rsidR="00FD20A8">
        <w:instrText>hours, and we demonstrate excellent performance and exceptional durability (less than 1.5 per cent degradation per 1,000</w:instrText>
      </w:r>
      <w:r w:rsidR="00FD20A8">
        <w:rPr>
          <w:rFonts w:ascii="Arial" w:hAnsi="Arial" w:cs="Arial"/>
        </w:rPr>
        <w:instrText> </w:instrText>
      </w:r>
      <w:r w:rsidR="00FD20A8">
        <w:instrText xml:space="preserve">hours in most cases) across all fuels without any modifications in the cell composition or architecture. Large fluctuations in temperature are tolerated, and coking is not observed even after thousands of hours of continuous operation. Finally, sulfur, a notorious poison for both low-temperature and high-temperature fuel cells, does not seem to affect the performance of protonic ceramic fuel cells when supplied at levels consistent with commercial fuels. The fuel flexibility and long-term durability demonstrated by the protonic ceramic fuel cell devices highlight the promise of this technology and its potential for commercial application.","container-title":"Nature","DOI":"10.1038/s41586-018-0082-6","ISSN":"1476-4687","issue":"7704","language":"en","license":"2018 Macmillan Publishers Ltd., part of Springer Nature","note":"number: 7704\npublisher: Nature Publishing Group","page":"217-222","source":"www.nature.com","title":"Highly durable, coking and sulfur tolerant, fuel-flexible protonic ceramic fuel cells","volume":"557","author":[{"family":"Duan","given":"Chuancheng"},{"family":"Kee","given":"Robert J."},{"family":"Zhu","given":"Huayang"},{"family":"Karakaya","given":"Canan"},{"family":"Chen","given":"Yachao"},{"family":"Ricote","given":"Sandrine"},{"family":"Jarry","given":"Angelique"},{"family":"Crumlin","given":"Ethan J."},{"family":"Hook","given":"David"},{"family":"Braun","given":"Robert"},{"family":"Sullivan","given":"Neal P."},{"family":"O’Hayre","given":"Ryan"}],"issued":{"date-parts":[["2018",5]]}}}],"schema":"https://github.com/citation-style-language/schema/raw/master/csl-citation.json"} </w:instrText>
      </w:r>
      <w:r w:rsidRPr="001746A8">
        <w:fldChar w:fldCharType="separate"/>
      </w:r>
      <w:r w:rsidR="00FD20A8" w:rsidRPr="00FD20A8">
        <w:rPr>
          <w:rFonts w:ascii="Aptos" w:hAnsi="Aptos"/>
        </w:rPr>
        <w:t>[12]</w:t>
      </w:r>
      <w:r w:rsidRPr="001746A8">
        <w:fldChar w:fldCharType="end"/>
      </w:r>
      <w:r w:rsidRPr="001746A8">
        <w:t xml:space="preserve">. Duan, et al. tested PCFC’s durability in sulfuric environments and found that 19 ppm did not noticeably degrade fuel cell performance even after 1000 hours </w:t>
      </w:r>
      <w:r w:rsidRPr="001746A8">
        <w:fldChar w:fldCharType="begin"/>
      </w:r>
      <w:r w:rsidR="00FD20A8">
        <w:instrText xml:space="preserve"> ADDIN ZOTERO_ITEM CSL_CITATION {"citationID":"pTszVyWA","properties":{"formattedCitation":"[12]","plainCitation":"[12]","noteIndex":0},"citationItems":[{"id":178,"uris":["http://zotero.org/users/12063231/items/67EFNYYN"],"itemData":{"id":178,"type":"article-journal","abstract":"Protonic ceramic fuel cells, like their higher-temperature solid-oxide fuel cell counterparts, can directly use both hydrogen and hydrocarbon fuels to produce electricity at potentially more than 50 per cent efficiency1,2. Most previous direct-hydrocarbon fuel cell research has focused on solid-oxide fuel cells based on oxygen-ion-conducting electrolytes, but carbon deposition (coking) and sulfur poisoning typically occur when such fuel cells are directly operated on hydrocarbon- and/or sulfur-containing fuels, resulting in severe performance degradation over time3–6. Despite studies suggesting good performance and anti-coking resistance in hydrocarbon-fuelled protonic ceramic fuel cells2,7,8, there have been no systematic studies of long-term durability. Here we present results from long-term testing of protonic ceramic fuel cells using a total of 11 different fuels (hydrogen, methane, domestic natural gas (with and without hydrogen sulfide), propane, n-butane, i-butane, iso-octane, methanol, ethanol and ammonia) at temperatures between 500 and 600 degrees Celsius. Several cells have been tested for over 6,000</w:instrText>
      </w:r>
      <w:r w:rsidR="00FD20A8">
        <w:rPr>
          <w:rFonts w:ascii="Arial" w:hAnsi="Arial" w:cs="Arial"/>
        </w:rPr>
        <w:instrText> </w:instrText>
      </w:r>
      <w:r w:rsidR="00FD20A8">
        <w:instrText>hours, and we demonstrate excellent performance and exceptional durability (less than 1.5 per cent degradation per 1,000</w:instrText>
      </w:r>
      <w:r w:rsidR="00FD20A8">
        <w:rPr>
          <w:rFonts w:ascii="Arial" w:hAnsi="Arial" w:cs="Arial"/>
        </w:rPr>
        <w:instrText> </w:instrText>
      </w:r>
      <w:r w:rsidR="00FD20A8">
        <w:instrText xml:space="preserve">hours in most cases) across all fuels without any modifications in the cell composition or architecture. Large fluctuations in temperature are tolerated, and coking is not observed even after thousands of hours of continuous operation. Finally, sulfur, a notorious poison for both low-temperature and high-temperature fuel cells, does not seem to affect the performance of protonic ceramic fuel cells when supplied at levels consistent with commercial fuels. The fuel flexibility and long-term durability demonstrated by the protonic ceramic fuel cell devices highlight the promise of this technology and its potential for commercial application.","container-title":"Nature","DOI":"10.1038/s41586-018-0082-6","ISSN":"1476-4687","issue":"7704","language":"en","license":"2018 Macmillan Publishers Ltd., part of Springer Nature","note":"number: 7704\npublisher: Nature Publishing Group","page":"217-222","source":"www.nature.com","title":"Highly durable, coking and sulfur tolerant, fuel-flexible protonic ceramic fuel cells","volume":"557","author":[{"family":"Duan","given":"Chuancheng"},{"family":"Kee","given":"Robert J."},{"family":"Zhu","given":"Huayang"},{"family":"Karakaya","given":"Canan"},{"family":"Chen","given":"Yachao"},{"family":"Ricote","given":"Sandrine"},{"family":"Jarry","given":"Angelique"},{"family":"Crumlin","given":"Ethan J."},{"family":"Hook","given":"David"},{"family":"Braun","given":"Robert"},{"family":"Sullivan","given":"Neal P."},{"family":"O’Hayre","given":"Ryan"}],"issued":{"date-parts":[["2018",5]]}}}],"schema":"https://github.com/citation-style-language/schema/raw/master/csl-citation.json"} </w:instrText>
      </w:r>
      <w:r w:rsidRPr="001746A8">
        <w:fldChar w:fldCharType="separate"/>
      </w:r>
      <w:r w:rsidR="00FD20A8" w:rsidRPr="00FD20A8">
        <w:rPr>
          <w:rFonts w:ascii="Aptos" w:hAnsi="Aptos"/>
        </w:rPr>
        <w:t>[12]</w:t>
      </w:r>
      <w:r w:rsidRPr="001746A8">
        <w:fldChar w:fldCharType="end"/>
      </w:r>
      <w:r w:rsidRPr="001746A8">
        <w:t>. This discovery greatly enhances</w:t>
      </w:r>
      <w:r>
        <w:t xml:space="preserve"> the</w:t>
      </w:r>
      <w:r w:rsidRPr="001746A8">
        <w:t xml:space="preserve"> prospect of </w:t>
      </w:r>
      <w:r>
        <w:t>PCFC</w:t>
      </w:r>
      <w:r w:rsidRPr="001746A8">
        <w:t xml:space="preserve"> use at oil production sites. Raw natural gas </w:t>
      </w:r>
      <w:r w:rsidR="00AA3219">
        <w:t>is</w:t>
      </w:r>
      <w:r w:rsidRPr="001746A8">
        <w:t xml:space="preserve"> likely</w:t>
      </w:r>
      <w:r w:rsidR="00AA3219">
        <w:t xml:space="preserve"> to</w:t>
      </w:r>
      <w:r w:rsidRPr="001746A8">
        <w:t xml:space="preserve"> still need to be processed prior to exposure to the modular reactor, but Duan’s work still represents a substantial improvement over other fuel cell types, which </w:t>
      </w:r>
      <w:r>
        <w:t>have been known to be</w:t>
      </w:r>
      <w:r w:rsidRPr="001746A8">
        <w:t xml:space="preserve"> limited to &lt;1 ppm sulfur content </w:t>
      </w:r>
      <w:r w:rsidRPr="001746A8">
        <w:fldChar w:fldCharType="begin"/>
      </w:r>
      <w:r w:rsidR="00CA7A9D">
        <w:instrText xml:space="preserve"> ADDIN ZOTERO_ITEM CSL_CITATION {"citationID":"Do6mQ5Dy","properties":{"formattedCitation":"[129]","plainCitation":"[129]","noteIndex":0},"citationItems":[{"id":64,"uris":["http://zotero.org/users/12063231/items/XQNHULJX"],"itemData":{"id":64,"type":"webpage","abstract":"The Colorado School of Mines is developing a mixed proton and oxygen ion conducting electrolyte that will allow a fuel cell to operate at temperatures less than 500°C. By using a proton and oxygen ion electrolyte, the fuel cell stack is able to reduce coking – which clogs anodes with carbon deposits – and enhance the process of turning hydrocarbon fuels into hydrogen. Today’s ceramic fuel cells are based on oxygen-ion conducting electrolytes and operate at high temperatures. Mines’ advanced mixed proton and oxygen-ion conducting fuel cells will operate on lower temperatures, and have the capacity to run on hydrogen, ethanol, methanol, or methane, representing a drastic improvement over using only oxygen-ion conducting electrolytes. Additionally, the fuel cell will leverage a recently developed ceramic processing technique that decreases fuel cell manufacturing cost and complexity. Additionally, their technology will reduce the number of manufacturing steps from 15 to 3, drastically reducing the cost of distributed generation applications.","container-title":"arpa-e.energy.gov","language":"en","title":"ARPA-E Project | Fuel-Flexible Protonic Ceramic Fuel Cell Stack","URL":"http://arpa-e.energy.gov/technologies/projects/fuel-flexible-protonic-ceramic-fuel-cell-stack","author":[{"family":"O'Hayre","given":"Ryan"}],"accessed":{"date-parts":[["2023",9,13]]}}}],"schema":"https://github.com/citation-style-language/schema/raw/master/csl-citation.json"} </w:instrText>
      </w:r>
      <w:r w:rsidRPr="001746A8">
        <w:fldChar w:fldCharType="separate"/>
      </w:r>
      <w:r w:rsidR="00CA7A9D" w:rsidRPr="00CA7A9D">
        <w:rPr>
          <w:rFonts w:ascii="Aptos" w:hAnsi="Aptos"/>
        </w:rPr>
        <w:t>[129]</w:t>
      </w:r>
      <w:r w:rsidRPr="001746A8">
        <w:fldChar w:fldCharType="end"/>
      </w:r>
      <w:r w:rsidRPr="001746A8">
        <w:t xml:space="preserve">. Proper safety precautions are always necessary in the presence of sulfur, but there is no indication that the </w:t>
      </w:r>
      <w:r>
        <w:t>PCFC technology</w:t>
      </w:r>
      <w:r w:rsidRPr="001746A8">
        <w:t xml:space="preserve"> introduces any </w:t>
      </w:r>
      <w:r>
        <w:t>increased</w:t>
      </w:r>
      <w:r w:rsidRPr="001746A8">
        <w:t xml:space="preserve"> risk for sulfur exposure due to degradation, leaks, or other causes</w:t>
      </w:r>
      <w:r>
        <w:t xml:space="preserve"> over existing practices.</w:t>
      </w:r>
    </w:p>
    <w:p w14:paraId="541DDA06" w14:textId="77777777" w:rsidR="00B927C8" w:rsidRPr="001746A8" w:rsidRDefault="00B927C8" w:rsidP="00B927C8">
      <w:pPr>
        <w:pStyle w:val="Heading3"/>
      </w:pPr>
      <w:bookmarkStart w:id="200" w:name="_Toc165641109"/>
      <w:r>
        <w:t>5.3.4 Evaluation Conclusion</w:t>
      </w:r>
      <w:bookmarkEnd w:id="200"/>
    </w:p>
    <w:p w14:paraId="1841F624" w14:textId="77777777" w:rsidR="00B927C8" w:rsidRPr="001746A8" w:rsidRDefault="00B927C8" w:rsidP="00B927C8">
      <w:r>
        <w:t>This cost analysis is meant to provide an estimate for the readiness of a theoretical MDA PCFC for deployment within the parameters of the use case scenario. While boasting excellent conversion efficiencies, massively improved conversion, and net positive operational profits, there is still work to be done before this becomes a viable solution. The following summarize key points from this chapter:</w:t>
      </w:r>
    </w:p>
    <w:p w14:paraId="358C9460" w14:textId="08FB2265" w:rsidR="00B927C8" w:rsidRDefault="00B927C8" w:rsidP="00B927C8">
      <w:pPr>
        <w:pStyle w:val="ListParagraph"/>
        <w:numPr>
          <w:ilvl w:val="0"/>
          <w:numId w:val="17"/>
        </w:numPr>
        <w:jc w:val="left"/>
      </w:pPr>
      <w:r>
        <w:t xml:space="preserve">The choice of what space velocity to use may be decided less on emissions and money and more about the relatively unknown heat requirements of the CCS. For example, if the CCS requires more heat, then a higher space velocity </w:t>
      </w:r>
      <w:r w:rsidR="00E9792B">
        <w:t>may</w:t>
      </w:r>
      <w:r>
        <w:t xml:space="preserve"> be useful to supply that heat through the recycling streams or in place of a cooler.</w:t>
      </w:r>
    </w:p>
    <w:p w14:paraId="6D2503C9" w14:textId="77777777" w:rsidR="00B927C8" w:rsidRPr="001746A8" w:rsidRDefault="00B927C8" w:rsidP="00B927C8">
      <w:pPr>
        <w:pStyle w:val="ListParagraph"/>
        <w:numPr>
          <w:ilvl w:val="0"/>
          <w:numId w:val="17"/>
        </w:numPr>
        <w:jc w:val="left"/>
      </w:pPr>
      <w:r>
        <w:t>Slower flow rates (i.e. 1 Lg</w:t>
      </w:r>
      <w:r>
        <w:rPr>
          <w:vertAlign w:val="subscript"/>
        </w:rPr>
        <w:t>cat</w:t>
      </w:r>
      <w:r>
        <w:rPr>
          <w:vertAlign w:val="superscript"/>
        </w:rPr>
        <w:t>-1</w:t>
      </w:r>
      <w:r>
        <w:t>h</w:t>
      </w:r>
      <w:r>
        <w:rPr>
          <w:vertAlign w:val="superscript"/>
        </w:rPr>
        <w:t>-1</w:t>
      </w:r>
      <w:r>
        <w:t>) yield the best combination of power and chemical profits, providing bigger post payback period payouts.</w:t>
      </w:r>
    </w:p>
    <w:p w14:paraId="400F18DA" w14:textId="77777777" w:rsidR="00B927C8" w:rsidRDefault="00B927C8" w:rsidP="00B927C8">
      <w:pPr>
        <w:pStyle w:val="ListParagraph"/>
        <w:numPr>
          <w:ilvl w:val="0"/>
          <w:numId w:val="17"/>
        </w:numPr>
        <w:jc w:val="left"/>
      </w:pPr>
      <w:r>
        <w:t>The technology “as is” requires a 13 year payback period, with most of the capital cost coming from the manufacturing and installation of the PCFC</w:t>
      </w:r>
    </w:p>
    <w:p w14:paraId="1E392D27" w14:textId="6987EB5D" w:rsidR="00B927C8" w:rsidRDefault="00B927C8" w:rsidP="00B927C8">
      <w:pPr>
        <w:pStyle w:val="ListParagraph"/>
        <w:numPr>
          <w:ilvl w:val="1"/>
          <w:numId w:val="17"/>
        </w:numPr>
        <w:jc w:val="left"/>
      </w:pPr>
      <w:r>
        <w:t xml:space="preserve">Decreasing the price per square meter </w:t>
      </w:r>
      <w:r w:rsidR="00E9792B">
        <w:t>is</w:t>
      </w:r>
      <w:r>
        <w:t xml:space="preserve"> more important than decreasing the price per square kW, as has been the focus of other studies. This is due to the low power densities of the MDA PCFC making the area larger and therefore a bigger focus of future development needs.</w:t>
      </w:r>
    </w:p>
    <w:p w14:paraId="1285EF5D" w14:textId="77777777" w:rsidR="00B927C8" w:rsidRDefault="00B927C8" w:rsidP="00B927C8">
      <w:pPr>
        <w:pStyle w:val="ListParagraph"/>
        <w:numPr>
          <w:ilvl w:val="1"/>
          <w:numId w:val="17"/>
        </w:numPr>
        <w:jc w:val="left"/>
      </w:pPr>
      <w:r>
        <w:t>A target of $165/kW manufacturing price for a hydrogen-fed cell would provide the system with a breakeven year competitive with the industry.</w:t>
      </w:r>
    </w:p>
    <w:p w14:paraId="373C6D1F" w14:textId="77777777" w:rsidR="00B927C8" w:rsidRDefault="00B927C8" w:rsidP="00B927C8">
      <w:pPr>
        <w:pStyle w:val="ListParagraph"/>
        <w:numPr>
          <w:ilvl w:val="0"/>
          <w:numId w:val="17"/>
        </w:numPr>
        <w:jc w:val="left"/>
      </w:pPr>
      <w:r>
        <w:t>The MDA PCFC is not yet capable of competing directly with mature GTL and power technologies individually. However, the potential to exceed them is very real if manufacturing costs can continue the current trend of innovation and improvement.</w:t>
      </w:r>
    </w:p>
    <w:p w14:paraId="243309CB" w14:textId="77777777" w:rsidR="00B927C8" w:rsidRDefault="00B927C8" w:rsidP="00B927C8">
      <w:pPr>
        <w:pStyle w:val="ListParagraph"/>
        <w:numPr>
          <w:ilvl w:val="1"/>
          <w:numId w:val="17"/>
        </w:numPr>
        <w:jc w:val="left"/>
      </w:pPr>
      <w:r>
        <w:t xml:space="preserve">While it cannot compete with the cost of other power generation technologies, the system level efficiency of 57.2% is on par with most mature power production system efficiencies </w:t>
      </w:r>
    </w:p>
    <w:p w14:paraId="550B67D1" w14:textId="77777777" w:rsidR="00B927C8" w:rsidRDefault="00B927C8" w:rsidP="00B927C8">
      <w:pPr>
        <w:pStyle w:val="ListParagraph"/>
        <w:numPr>
          <w:ilvl w:val="0"/>
          <w:numId w:val="17"/>
        </w:numPr>
        <w:jc w:val="left"/>
      </w:pPr>
      <w:r>
        <w:t xml:space="preserve">The distance to market for the aromatic products is not a significant factor in the economic viability of the PCFC system. </w:t>
      </w:r>
    </w:p>
    <w:p w14:paraId="319AAA2C" w14:textId="7CCE9007" w:rsidR="00B927C8" w:rsidRDefault="00B927C8" w:rsidP="00B927C8">
      <w:pPr>
        <w:pStyle w:val="ListParagraph"/>
        <w:numPr>
          <w:ilvl w:val="0"/>
          <w:numId w:val="17"/>
        </w:numPr>
        <w:jc w:val="left"/>
      </w:pPr>
      <w:r>
        <w:t xml:space="preserve">The catalyst is very effective in comparison to other GTL technologies when hydrogen is actively removed. As such, further catalyst development </w:t>
      </w:r>
      <w:r w:rsidR="00E9792B">
        <w:t>is</w:t>
      </w:r>
      <w:r>
        <w:t xml:space="preserve"> less important than cheaper manufacturing techniques. </w:t>
      </w:r>
    </w:p>
    <w:p w14:paraId="157F2D62" w14:textId="77777777" w:rsidR="00B927C8" w:rsidRDefault="00B927C8" w:rsidP="00B927C8">
      <w:pPr>
        <w:spacing w:after="160" w:line="259" w:lineRule="auto"/>
        <w:ind w:firstLine="0"/>
      </w:pPr>
    </w:p>
    <w:p w14:paraId="294EB657" w14:textId="77777777" w:rsidR="002A37E3" w:rsidRDefault="002A37E3">
      <w:pPr>
        <w:spacing w:after="160" w:line="259" w:lineRule="auto"/>
        <w:ind w:firstLine="0"/>
        <w:jc w:val="left"/>
      </w:pPr>
      <w:r>
        <w:br w:type="page"/>
      </w:r>
    </w:p>
    <w:p w14:paraId="4BB5F096" w14:textId="77777777" w:rsidR="002A37E3" w:rsidRDefault="002A37E3" w:rsidP="002A37E3"/>
    <w:p w14:paraId="1DDB8130" w14:textId="77777777" w:rsidR="002A37E3" w:rsidRDefault="002A37E3" w:rsidP="002A37E3">
      <w:pPr>
        <w:pStyle w:val="Heading1"/>
      </w:pPr>
      <w:bookmarkStart w:id="201" w:name="_Toc165641110"/>
      <w:r>
        <w:t>Chapter 6: Conclusion</w:t>
      </w:r>
      <w:bookmarkEnd w:id="201"/>
    </w:p>
    <w:p w14:paraId="08F7C7FC" w14:textId="77777777" w:rsidR="002A37E3" w:rsidRPr="00601085" w:rsidRDefault="002A37E3" w:rsidP="002A37E3"/>
    <w:p w14:paraId="24BFD535" w14:textId="77777777" w:rsidR="002A37E3" w:rsidRDefault="002A37E3" w:rsidP="002A37E3">
      <w:pPr>
        <w:pStyle w:val="Heading2"/>
      </w:pPr>
      <w:bookmarkStart w:id="202" w:name="_Toc165641111"/>
      <w:r>
        <w:t>6.1 Conclusions</w:t>
      </w:r>
      <w:bookmarkEnd w:id="202"/>
    </w:p>
    <w:p w14:paraId="6E6310BE" w14:textId="0C318049" w:rsidR="002A37E3" w:rsidRDefault="002A37E3" w:rsidP="002A37E3">
      <w:r>
        <w:t xml:space="preserve">In this thesis, a model </w:t>
      </w:r>
      <w:r w:rsidR="00EB6FFF">
        <w:t>is</w:t>
      </w:r>
      <w:r>
        <w:t xml:space="preserve"> created for a PCFC intended to operate using MDA reactions at a remote flare site, and a performance and economic evaluation of that system </w:t>
      </w:r>
      <w:r w:rsidR="00EB6FFF">
        <w:t>i</w:t>
      </w:r>
      <w:r>
        <w:t>s conducted. The primary takeaways from the work are summarized as follows:</w:t>
      </w:r>
    </w:p>
    <w:p w14:paraId="69863598" w14:textId="77777777" w:rsidR="002A37E3" w:rsidRDefault="002A37E3" w:rsidP="002A37E3">
      <w:pPr>
        <w:pStyle w:val="ListParagraph"/>
        <w:numPr>
          <w:ilvl w:val="0"/>
          <w:numId w:val="18"/>
        </w:numPr>
        <w:jc w:val="left"/>
      </w:pPr>
      <w:r>
        <w:t xml:space="preserve">The developed PCFC model uses proven validation data, </w:t>
      </w:r>
      <w:proofErr w:type="gramStart"/>
      <w:r>
        <w:t>energy</w:t>
      </w:r>
      <w:proofErr w:type="gramEnd"/>
      <w:r>
        <w:t xml:space="preserve"> and mass balances, tested electrochemical formulations, and effective kinetic data to represent an accurate prediction of how the system would perform using existing catalysts and PCFC manufacturing methods. </w:t>
      </w:r>
    </w:p>
    <w:p w14:paraId="5CC2E9B3" w14:textId="584FF689" w:rsidR="002A37E3" w:rsidRDefault="002A37E3" w:rsidP="002A37E3">
      <w:pPr>
        <w:pStyle w:val="ListParagraph"/>
        <w:numPr>
          <w:ilvl w:val="0"/>
          <w:numId w:val="18"/>
        </w:numPr>
        <w:jc w:val="left"/>
      </w:pPr>
      <w:r>
        <w:t xml:space="preserve">Utilizing current technology, a PCFC designed for MDA at a flare site is not competitively profitable. With a breakeven point between 13 and 14 years for the system, this would not meet most petrochemical companies goals of a 10 year maximum payback period </w:t>
      </w:r>
      <w:r>
        <w:fldChar w:fldCharType="begin"/>
      </w:r>
      <w:r w:rsidR="00CA7A9D">
        <w:instrText xml:space="preserve"> ADDIN ZOTERO_ITEM CSL_CITATION {"citationID":"a3md01oi7v","properties":{"formattedCitation":"[133]","plainCitation":"[133]","noteIndex":0},"citationItems":[{"id":883,"uris":["http://zotero.org/users/12063231/items/GC3ZX8A5"],"itemData":{"id":883,"type":"webpage","abstract":"ExxonMobil today announced its corporate plan for the next five years, with a sizeable increase in investments aimed at emission reductions and accretive lower-emission initiatives, including its Low Carbon Solutions business.","container-title":"ExxonMobil","language":"en","title":"ExxonMobil Corporate Plan","URL":"https://corporate.exxonmobil.com/news/news-releases/2023/1206_exxonmobil-corporate-plan","accessed":{"date-parts":[["2024",4,22]]}}}],"schema":"https://github.com/citation-style-language/schema/raw/master/csl-citation.json"} </w:instrText>
      </w:r>
      <w:r>
        <w:fldChar w:fldCharType="separate"/>
      </w:r>
      <w:r w:rsidR="00CA7A9D" w:rsidRPr="00CA7A9D">
        <w:rPr>
          <w:rFonts w:ascii="Aptos" w:hAnsi="Aptos"/>
        </w:rPr>
        <w:t>[133]</w:t>
      </w:r>
      <w:r>
        <w:fldChar w:fldCharType="end"/>
      </w:r>
      <w:r>
        <w:t>.</w:t>
      </w:r>
    </w:p>
    <w:p w14:paraId="3C8C5DEE" w14:textId="4206DBCF" w:rsidR="002A37E3" w:rsidRDefault="002A37E3" w:rsidP="002A37E3">
      <w:pPr>
        <w:pStyle w:val="ListParagraph"/>
        <w:numPr>
          <w:ilvl w:val="0"/>
          <w:numId w:val="18"/>
        </w:numPr>
        <w:jc w:val="left"/>
      </w:pPr>
      <w:r>
        <w:t xml:space="preserve">Further developments in PCFC manufacturing are likely to be the biggest </w:t>
      </w:r>
      <w:r w:rsidR="00C03089">
        <w:t>hinge point</w:t>
      </w:r>
      <w:r>
        <w:t xml:space="preserve"> in proving the economic viability of the PCFC system. A target value of $165/kW </w:t>
      </w:r>
      <w:r w:rsidR="00EB6FFF">
        <w:t>is</w:t>
      </w:r>
      <w:r>
        <w:t xml:space="preserve"> identified </w:t>
      </w:r>
      <w:proofErr w:type="gramStart"/>
      <w:r>
        <w:t>in order to</w:t>
      </w:r>
      <w:proofErr w:type="gramEnd"/>
      <w:r>
        <w:t xml:space="preserve"> achieve acceptable profitability levels. This value relates to hydrogen-fed PCFCs. </w:t>
      </w:r>
    </w:p>
    <w:p w14:paraId="6FFC4E7F" w14:textId="15769DF8" w:rsidR="002A37E3" w:rsidRDefault="002A37E3" w:rsidP="002A37E3">
      <w:pPr>
        <w:pStyle w:val="ListParagraph"/>
        <w:numPr>
          <w:ilvl w:val="0"/>
          <w:numId w:val="18"/>
        </w:numPr>
        <w:jc w:val="left"/>
      </w:pPr>
      <w:r>
        <w:t xml:space="preserve">Regarding DOE goals of 30% fuel conversion, 50% aromatic selectivity, and 90% emissions reduction, the conversion and selectivity goals are proven to be achievable. However, due to water being needed to help jumpstart the electrochemical reactions, the 90% emissions reduction remains out of reach for this technology, especially when considering balance of plant components. Emissions for the system </w:t>
      </w:r>
      <w:r w:rsidR="00E9792B">
        <w:t>are</w:t>
      </w:r>
      <w:r>
        <w:t xml:space="preserve"> consistently between 17-23% depending on flowrates and water levels in the fuel. </w:t>
      </w:r>
    </w:p>
    <w:p w14:paraId="3D5C5293" w14:textId="2FB27572" w:rsidR="002A37E3" w:rsidRDefault="002A37E3" w:rsidP="002A37E3">
      <w:pPr>
        <w:pStyle w:val="ListParagraph"/>
        <w:numPr>
          <w:ilvl w:val="0"/>
          <w:numId w:val="18"/>
        </w:numPr>
        <w:jc w:val="left"/>
      </w:pPr>
      <w:r>
        <w:t>The kinetics of MDA are extremely slow, particularly in comparison to methane reforming reactions. Water in the system need</w:t>
      </w:r>
      <w:r w:rsidR="00AA3219">
        <w:t>s</w:t>
      </w:r>
      <w:r>
        <w:t xml:space="preserve"> to be limited to maintain a decrease in emissions, but also needed to help start the reactions.</w:t>
      </w:r>
    </w:p>
    <w:p w14:paraId="19D8B5BC" w14:textId="1E4978A5" w:rsidR="002A37E3" w:rsidRDefault="002A37E3" w:rsidP="002A37E3">
      <w:pPr>
        <w:pStyle w:val="ListParagraph"/>
        <w:numPr>
          <w:ilvl w:val="1"/>
          <w:numId w:val="18"/>
        </w:numPr>
        <w:jc w:val="left"/>
      </w:pPr>
      <w:r>
        <w:t xml:space="preserve">Slower flowrates help prioritize the MDA reactions. </w:t>
      </w:r>
      <w:r w:rsidR="00EB6FFF">
        <w:t>O</w:t>
      </w:r>
      <w:r>
        <w:t>f the tested space velocities, 1 Lg</w:t>
      </w:r>
      <w:r>
        <w:rPr>
          <w:vertAlign w:val="subscript"/>
        </w:rPr>
        <w:t>cat</w:t>
      </w:r>
      <w:r>
        <w:rPr>
          <w:vertAlign w:val="superscript"/>
        </w:rPr>
        <w:t>-1</w:t>
      </w:r>
      <w:r>
        <w:t>h</w:t>
      </w:r>
      <w:r>
        <w:rPr>
          <w:vertAlign w:val="superscript"/>
        </w:rPr>
        <w:t>-1</w:t>
      </w:r>
      <w:r>
        <w:t xml:space="preserve">, </w:t>
      </w:r>
      <w:r w:rsidR="00EB6FFF">
        <w:t>is</w:t>
      </w:r>
      <w:r>
        <w:t xml:space="preserve"> the best flowrate </w:t>
      </w:r>
      <w:proofErr w:type="gramStart"/>
      <w:r>
        <w:t>and also</w:t>
      </w:r>
      <w:proofErr w:type="gramEnd"/>
      <w:r>
        <w:t xml:space="preserve"> the only one able to achieve the 30% fuel conversion target. </w:t>
      </w:r>
    </w:p>
    <w:p w14:paraId="29C0A917" w14:textId="77777777" w:rsidR="002A37E3" w:rsidRDefault="002A37E3" w:rsidP="002A37E3">
      <w:pPr>
        <w:pStyle w:val="ListParagraph"/>
        <w:numPr>
          <w:ilvl w:val="0"/>
          <w:numId w:val="18"/>
        </w:numPr>
        <w:jc w:val="left"/>
      </w:pPr>
      <w:r>
        <w:t xml:space="preserve">While the exact MDA reaction mechanism may not be known, the reaction can be effectively predicted using ethylene as the intermediate product. </w:t>
      </w:r>
    </w:p>
    <w:p w14:paraId="5F23AF3F" w14:textId="77777777" w:rsidR="002A37E3" w:rsidRDefault="002A37E3" w:rsidP="002A37E3">
      <w:pPr>
        <w:pStyle w:val="Heading2"/>
      </w:pPr>
      <w:bookmarkStart w:id="203" w:name="_Toc165641112"/>
      <w:r>
        <w:t>6.2 Future Work</w:t>
      </w:r>
      <w:bookmarkEnd w:id="203"/>
    </w:p>
    <w:p w14:paraId="7706E032" w14:textId="77777777" w:rsidR="002A37E3" w:rsidRDefault="002A37E3" w:rsidP="002A37E3">
      <w:r>
        <w:t>This study proves the potential of PCFC and MDA integration is promising, but a variety of further work is required to both validate the results shown here, and continue the development of a growing fuel cell research field:</w:t>
      </w:r>
    </w:p>
    <w:p w14:paraId="5DD3D5F9" w14:textId="48454D21" w:rsidR="002A37E3" w:rsidRDefault="002A37E3" w:rsidP="002A37E3">
      <w:pPr>
        <w:pStyle w:val="ListParagraph"/>
        <w:numPr>
          <w:ilvl w:val="0"/>
          <w:numId w:val="19"/>
        </w:numPr>
        <w:jc w:val="left"/>
      </w:pPr>
      <w:r>
        <w:t xml:space="preserve">The most important factor in making PCFCs with MDA economically viable is the manufacturing cost. This cost </w:t>
      </w:r>
      <w:r>
        <w:rPr>
          <w:i/>
          <w:iCs/>
        </w:rPr>
        <w:t>must</w:t>
      </w:r>
      <w:r>
        <w:t xml:space="preserve"> go down for this system to be deployed. As such, further developments in cost analysis to identify the largest contributors to this cost would be most crucial. Additionally, most cost estimations to this point have utilized planar cells, so no effective comparison exists for choosing a tubular over a planar configuration. Future especially considering recent 3D printing solutions that have made the tubular configuration much easier to manufacture </w:t>
      </w:r>
      <w:r>
        <w:fldChar w:fldCharType="begin"/>
      </w:r>
      <w:r w:rsidR="00CA7A9D">
        <w:instrText xml:space="preserve"> ADDIN ZOTERO_ITEM CSL_CITATION {"citationID":"a2he7fgbl7j","properties":{"formattedCitation":"[21]","plainCitation":"[21]","noteIndex":0},"citationItems":[{"id":82,"uris":["http://zotero.org/users/12063231/items/IKMWCGBN"],"itemData":{"id":82,"type":"article-journal","abstract":"Protonic ceramic fuel cells (PCFCs) are clean and efficient power generation devices operating at intermediate temperatures. However, manufacturing difficulties have limited their commercialization, especially for promising tubular PCFCs. Herein, we report a cost-effective 3D printing technique for manufacturing large-area tubular PCFCs (e.g., 15.7 cm2), featured with the use of commercial raw materials, a small amount of binder, and a CO2 laser for rapid in situ drying. The technical advantages enable low-cost material preparation and efficient achievement of exemplary shape/dimension-controlled uniform microstructures in porous anode support, dense electrolyte, and porous cathode. The 3D-printed tubular PCFC (</w:instrText>
      </w:r>
      <w:r w:rsidR="00CA7A9D">
        <w:rPr>
          <w:rFonts w:ascii="Cambria Math" w:hAnsi="Cambria Math" w:cs="Cambria Math"/>
        </w:rPr>
        <w:instrText>∼</w:instrText>
      </w:r>
      <w:r w:rsidR="00CA7A9D">
        <w:instrText xml:space="preserve">12.5 cm2) exhibits a power output of 2.45 W at 650 °C. Meanwhile, the long-term stability is confirmed during 200 h of operation. This novel 3D printing offers great potential to advance PCFCs from the laboratory to larger scales for realistic applications.","container-title":"ACS Energy Letters","DOI":"10.1021/acsenergylett.3c01345","issue":"8","journalAbbreviation":"ACS Energy Lett.","note":"publisher: American Chemical Society","page":"3545-3551","source":"ACS Publications","title":"3D Printing Enabled Highly Scalable Tubular Protonic Ceramic Fuel Cells","volume":"8","author":[{"family":"Zou","given":"Minda"},{"family":"Conrad","given":"Jacob"},{"family":"Sheridan","given":"Bridget"},{"family":"Zhang","given":"Jiawei"},{"family":"Huang","given":"Hua"},{"family":"Mu","given":"Shenglong"},{"family":"Zhou","given":"Tianyi"},{"family":"Zhao","given":"Zeyu"},{"family":"Brinkman","given":"Kyle S."},{"family":"Xiao","given":"Hai"},{"family":"Peng","given":"Fei"},{"family":"Tong","given":"Jianhua"}],"issued":{"date-parts":[["2023",8,11]]}}}],"schema":"https://github.com/citation-style-language/schema/raw/master/csl-citation.json"} </w:instrText>
      </w:r>
      <w:r>
        <w:fldChar w:fldCharType="separate"/>
      </w:r>
      <w:r w:rsidR="00CA7A9D" w:rsidRPr="00CA7A9D">
        <w:rPr>
          <w:rFonts w:ascii="Aptos" w:hAnsi="Aptos"/>
        </w:rPr>
        <w:t>[21]</w:t>
      </w:r>
      <w:r>
        <w:fldChar w:fldCharType="end"/>
      </w:r>
    </w:p>
    <w:p w14:paraId="22C49C62" w14:textId="0DD8C246" w:rsidR="002A37E3" w:rsidRDefault="002A37E3" w:rsidP="002A37E3">
      <w:pPr>
        <w:pStyle w:val="ListParagraph"/>
        <w:numPr>
          <w:ilvl w:val="0"/>
          <w:numId w:val="19"/>
        </w:numPr>
        <w:jc w:val="left"/>
      </w:pPr>
      <w:r>
        <w:t xml:space="preserve">There is a significant gap in research regarding the study of MDA in PCFCs or other similar membrane reactor setups, especially regarding economics. This study had to make use of the research knowledge of these processes independently to merge them effectively. </w:t>
      </w:r>
      <w:r w:rsidR="007711EB">
        <w:t>A full</w:t>
      </w:r>
      <w:r>
        <w:t>-scale techno-economic analysis including experimental data would be extremely valuable to the future research work in this field.</w:t>
      </w:r>
    </w:p>
    <w:p w14:paraId="6BB016CB" w14:textId="094977CF" w:rsidR="002A37E3" w:rsidRDefault="002A37E3" w:rsidP="002A37E3">
      <w:pPr>
        <w:pStyle w:val="ListParagraph"/>
        <w:numPr>
          <w:ilvl w:val="0"/>
          <w:numId w:val="19"/>
        </w:numPr>
        <w:jc w:val="left"/>
      </w:pPr>
      <w:r>
        <w:t>MDA is a much more complex process than FTS and GTL processes, and even more so when combined with electrochemistry. The reaction mechanism of MDA alone is still relatively unknown. More studies have attempted to decipher these processes, but some new theories have only increased the complexity of MDA, such as hydrocarbon pooling. This reaction need</w:t>
      </w:r>
      <w:r w:rsidR="00AA7956">
        <w:t>s</w:t>
      </w:r>
      <w:r>
        <w:t xml:space="preserve"> to be better understood before the kinetics can be significantly improved. As it stands, the mystery behind the MDA process is likely one of the biggest contributors to the consistently limited speed of MDA reactions.</w:t>
      </w:r>
    </w:p>
    <w:p w14:paraId="5D67569E" w14:textId="76317181" w:rsidR="002A37E3" w:rsidRPr="001C7CE1" w:rsidRDefault="002A37E3" w:rsidP="002A37E3">
      <w:pPr>
        <w:pStyle w:val="ListParagraph"/>
        <w:numPr>
          <w:ilvl w:val="0"/>
          <w:numId w:val="19"/>
        </w:numPr>
        <w:jc w:val="left"/>
      </w:pPr>
      <w:r>
        <w:t xml:space="preserve">Finally, the balance of plant is not yet fully defined for the system in literature. This makes the balance of plant used in this study relatively questionable. For example, heat exchangers could have been used to improve the system efficiency, but none </w:t>
      </w:r>
      <w:r w:rsidR="00E9792B">
        <w:t>are</w:t>
      </w:r>
      <w:r>
        <w:t xml:space="preserve"> utilized here for simplicity. A standard setup of balance of plant components would help clarify site needs and possibly open the door to new markets.</w:t>
      </w:r>
    </w:p>
    <w:p w14:paraId="51A9ABC2" w14:textId="5DE15A36" w:rsidR="00B927C8" w:rsidRDefault="00B927C8">
      <w:pPr>
        <w:spacing w:after="160" w:line="259" w:lineRule="auto"/>
        <w:ind w:firstLine="0"/>
        <w:jc w:val="left"/>
      </w:pPr>
      <w:r>
        <w:br w:type="page"/>
      </w:r>
    </w:p>
    <w:p w14:paraId="27298E0D" w14:textId="77777777" w:rsidR="00DF7C45" w:rsidRDefault="00DF7C45" w:rsidP="00DF7C45"/>
    <w:p w14:paraId="5B3D9750" w14:textId="7EB1A887" w:rsidR="00312D25" w:rsidRDefault="00312D25" w:rsidP="00312D25">
      <w:pPr>
        <w:pStyle w:val="Heading1"/>
      </w:pPr>
      <w:bookmarkStart w:id="204" w:name="_Toc165641113"/>
      <w:r>
        <w:t>References</w:t>
      </w:r>
      <w:bookmarkEnd w:id="204"/>
    </w:p>
    <w:p w14:paraId="4ED9D4B6" w14:textId="77777777" w:rsidR="000B673D" w:rsidRPr="000B673D" w:rsidRDefault="008231CC" w:rsidP="000B673D">
      <w:pPr>
        <w:pStyle w:val="Bibliography"/>
        <w:rPr>
          <w:rFonts w:ascii="Aptos" w:hAnsi="Aptos"/>
        </w:rPr>
      </w:pPr>
      <w:r>
        <w:fldChar w:fldCharType="begin"/>
      </w:r>
      <w:r w:rsidR="000B673D">
        <w:instrText xml:space="preserve"> ADDIN ZOTERO_BIBL {"uncited":[],"omitted":[],"custom":[]} CSL_BIBLIOGRAPHY </w:instrText>
      </w:r>
      <w:r>
        <w:fldChar w:fldCharType="separate"/>
      </w:r>
      <w:r w:rsidR="000B673D" w:rsidRPr="000B673D">
        <w:rPr>
          <w:rFonts w:ascii="Aptos" w:hAnsi="Aptos"/>
        </w:rPr>
        <w:t>[1]</w:t>
      </w:r>
      <w:r w:rsidR="000B673D" w:rsidRPr="000B673D">
        <w:rPr>
          <w:rFonts w:ascii="Aptos" w:hAnsi="Aptos"/>
        </w:rPr>
        <w:tab/>
        <w:t>Royal Society, “Climate Change: Evidence and Causes 2020.” Accessed: Oct. 15, 2023. [Online]. Available: https://royalsociety.org/-/media/Royal_Society_Content/policy/projects/climate-evidence-causes/climate-change-evidence-causes.pdf</w:t>
      </w:r>
    </w:p>
    <w:p w14:paraId="15C2241C" w14:textId="77777777" w:rsidR="000B673D" w:rsidRPr="000B673D" w:rsidRDefault="000B673D" w:rsidP="000B673D">
      <w:pPr>
        <w:pStyle w:val="Bibliography"/>
        <w:rPr>
          <w:rFonts w:ascii="Aptos" w:hAnsi="Aptos"/>
        </w:rPr>
      </w:pPr>
      <w:r w:rsidRPr="000B673D">
        <w:rPr>
          <w:rFonts w:ascii="Aptos" w:hAnsi="Aptos"/>
        </w:rPr>
        <w:t>[2]</w:t>
      </w:r>
      <w:r w:rsidRPr="000B673D">
        <w:rPr>
          <w:rFonts w:ascii="Aptos" w:hAnsi="Aptos"/>
        </w:rPr>
        <w:tab/>
        <w:t>“CO₂ and Greenhouse Gas Emissions Data Explorer,” Our World in Data. Accessed: Aug. 09, 2023. [Online]. Available: https://ourworldindata.org/explorers/co2</w:t>
      </w:r>
    </w:p>
    <w:p w14:paraId="53EFFF6B" w14:textId="77777777" w:rsidR="000B673D" w:rsidRPr="000B673D" w:rsidRDefault="000B673D" w:rsidP="000B673D">
      <w:pPr>
        <w:pStyle w:val="Bibliography"/>
        <w:rPr>
          <w:rFonts w:ascii="Aptos" w:hAnsi="Aptos"/>
        </w:rPr>
      </w:pPr>
      <w:r w:rsidRPr="000B673D">
        <w:rPr>
          <w:rFonts w:ascii="Aptos" w:hAnsi="Aptos"/>
        </w:rPr>
        <w:t>[3]</w:t>
      </w:r>
      <w:r w:rsidRPr="000B673D">
        <w:rPr>
          <w:rFonts w:ascii="Aptos" w:hAnsi="Aptos"/>
        </w:rPr>
        <w:tab/>
        <w:t xml:space="preserve">H. Ritchie, P. Rosado, and M. Roser, “Greenhouse gas emissions,” </w:t>
      </w:r>
      <w:r w:rsidRPr="000B673D">
        <w:rPr>
          <w:rFonts w:ascii="Aptos" w:hAnsi="Aptos"/>
          <w:i/>
          <w:iCs/>
        </w:rPr>
        <w:t>Our World Data</w:t>
      </w:r>
      <w:r w:rsidRPr="000B673D">
        <w:rPr>
          <w:rFonts w:ascii="Aptos" w:hAnsi="Aptos"/>
        </w:rPr>
        <w:t>, Sep. 2023, Accessed: Oct. 16, 2023. [Online]. Available: https://ourworldindata.org/greenhouse-gas-emissions</w:t>
      </w:r>
    </w:p>
    <w:p w14:paraId="39267D05" w14:textId="77777777" w:rsidR="000B673D" w:rsidRPr="000B673D" w:rsidRDefault="000B673D" w:rsidP="000B673D">
      <w:pPr>
        <w:pStyle w:val="Bibliography"/>
        <w:rPr>
          <w:rFonts w:ascii="Aptos" w:hAnsi="Aptos"/>
        </w:rPr>
      </w:pPr>
      <w:r w:rsidRPr="000B673D">
        <w:rPr>
          <w:rFonts w:ascii="Aptos" w:hAnsi="Aptos"/>
        </w:rPr>
        <w:t>[4]</w:t>
      </w:r>
      <w:r w:rsidRPr="000B673D">
        <w:rPr>
          <w:rFonts w:ascii="Aptos" w:hAnsi="Aptos"/>
        </w:rPr>
        <w:tab/>
        <w:t>“Methane and climate change – Methane Tracker 2021 – Analysis,” IEA. Accessed: Oct. 16, 2023. [Online]. Available: https://www.iea.org/reports/methane-tracker-2021/methane-and-climate-change</w:t>
      </w:r>
    </w:p>
    <w:p w14:paraId="1496F7CB" w14:textId="77777777" w:rsidR="000B673D" w:rsidRPr="000B673D" w:rsidRDefault="000B673D" w:rsidP="000B673D">
      <w:pPr>
        <w:pStyle w:val="Bibliography"/>
        <w:rPr>
          <w:rFonts w:ascii="Aptos" w:hAnsi="Aptos"/>
        </w:rPr>
      </w:pPr>
      <w:r w:rsidRPr="000B673D">
        <w:rPr>
          <w:rFonts w:ascii="Aptos" w:hAnsi="Aptos"/>
        </w:rPr>
        <w:t>[5]</w:t>
      </w:r>
      <w:r w:rsidRPr="000B673D">
        <w:rPr>
          <w:rFonts w:ascii="Aptos" w:hAnsi="Aptos"/>
        </w:rPr>
        <w:tab/>
        <w:t>E. Geary, “Natural gas venting and flaring in North Dakota and Texas increased in 2019,” U.S. Energy Information Administration. Accessed: Jul. 19, 2023. [Online]. Available: https://www.eia.gov/todayinenergy/detail.php?id=46176</w:t>
      </w:r>
    </w:p>
    <w:p w14:paraId="7EACEB74" w14:textId="77777777" w:rsidR="000B673D" w:rsidRPr="000B673D" w:rsidRDefault="000B673D" w:rsidP="000B673D">
      <w:pPr>
        <w:pStyle w:val="Bibliography"/>
        <w:rPr>
          <w:rFonts w:ascii="Aptos" w:hAnsi="Aptos"/>
        </w:rPr>
      </w:pPr>
      <w:r w:rsidRPr="000B673D">
        <w:rPr>
          <w:rFonts w:ascii="Aptos" w:hAnsi="Aptos"/>
        </w:rPr>
        <w:t>[6]</w:t>
      </w:r>
      <w:r w:rsidRPr="000B673D">
        <w:rPr>
          <w:rFonts w:ascii="Aptos" w:hAnsi="Aptos"/>
        </w:rPr>
        <w:tab/>
        <w:t>P. Springer, “North Dakota’s gas flaring intensity is highest (by far) in nation,” Twin Cities. Accessed: Jul. 19, 2023. [Online]. Available: https://www.twincities.com/2022/12/05/north-dakotas-gas-flaring-intensity-is-highest-by-far-in-nation/</w:t>
      </w:r>
    </w:p>
    <w:p w14:paraId="4AD1B0A2" w14:textId="77777777" w:rsidR="000B673D" w:rsidRPr="000B673D" w:rsidRDefault="000B673D" w:rsidP="000B673D">
      <w:pPr>
        <w:pStyle w:val="Bibliography"/>
        <w:rPr>
          <w:rFonts w:ascii="Aptos" w:hAnsi="Aptos"/>
        </w:rPr>
      </w:pPr>
      <w:r w:rsidRPr="000B673D">
        <w:rPr>
          <w:rFonts w:ascii="Aptos" w:hAnsi="Aptos"/>
        </w:rPr>
        <w:t>[7]</w:t>
      </w:r>
      <w:r w:rsidRPr="000B673D">
        <w:rPr>
          <w:rFonts w:ascii="Aptos" w:hAnsi="Aptos"/>
        </w:rPr>
        <w:tab/>
        <w:t>“Natural Gas Vented and Flared.” Accessed: Sep. 07, 2023. [Online]. Available: https://www.eia.gov/dnav/ng/ng_prod_sum_a_EPG0_VGV_mmcf_a.htm</w:t>
      </w:r>
    </w:p>
    <w:p w14:paraId="69721B7A" w14:textId="77777777" w:rsidR="000B673D" w:rsidRPr="000B673D" w:rsidRDefault="000B673D" w:rsidP="000B673D">
      <w:pPr>
        <w:pStyle w:val="Bibliography"/>
        <w:rPr>
          <w:rFonts w:ascii="Aptos" w:hAnsi="Aptos"/>
        </w:rPr>
      </w:pPr>
      <w:r w:rsidRPr="000B673D">
        <w:rPr>
          <w:rFonts w:ascii="Aptos" w:hAnsi="Aptos"/>
        </w:rPr>
        <w:t>[8]</w:t>
      </w:r>
      <w:r w:rsidRPr="000B673D">
        <w:rPr>
          <w:rFonts w:ascii="Aptos" w:hAnsi="Aptos"/>
        </w:rPr>
        <w:tab/>
        <w:t xml:space="preserve">D. R. Lyon </w:t>
      </w:r>
      <w:r w:rsidRPr="000B673D">
        <w:rPr>
          <w:rFonts w:ascii="Aptos" w:hAnsi="Aptos"/>
          <w:i/>
          <w:iCs/>
        </w:rPr>
        <w:t>et al.</w:t>
      </w:r>
      <w:r w:rsidRPr="000B673D">
        <w:rPr>
          <w:rFonts w:ascii="Aptos" w:hAnsi="Aptos"/>
        </w:rPr>
        <w:t xml:space="preserve">, “Concurrent variation in oil and gas methane emissions and oil price during the COVID-19 pandemic,” </w:t>
      </w:r>
      <w:r w:rsidRPr="000B673D">
        <w:rPr>
          <w:rFonts w:ascii="Aptos" w:hAnsi="Aptos"/>
          <w:i/>
          <w:iCs/>
        </w:rPr>
        <w:t>Atmospheric Chem. Phys.</w:t>
      </w:r>
      <w:r w:rsidRPr="000B673D">
        <w:rPr>
          <w:rFonts w:ascii="Aptos" w:hAnsi="Aptos"/>
        </w:rPr>
        <w:t>, vol. 21, no. 9, pp. 6605–6626, May 2021, doi: 10.5194/acp-21-6605-2021.</w:t>
      </w:r>
    </w:p>
    <w:p w14:paraId="59951559" w14:textId="77777777" w:rsidR="000B673D" w:rsidRPr="000B673D" w:rsidRDefault="000B673D" w:rsidP="000B673D">
      <w:pPr>
        <w:pStyle w:val="Bibliography"/>
        <w:rPr>
          <w:rFonts w:ascii="Aptos" w:hAnsi="Aptos"/>
        </w:rPr>
      </w:pPr>
      <w:r w:rsidRPr="000B673D">
        <w:rPr>
          <w:rFonts w:ascii="Aptos" w:hAnsi="Aptos"/>
        </w:rPr>
        <w:t>[9]</w:t>
      </w:r>
      <w:r w:rsidRPr="000B673D">
        <w:rPr>
          <w:rFonts w:ascii="Aptos" w:hAnsi="Aptos"/>
        </w:rPr>
        <w:tab/>
        <w:t>“Gas Flaring - Energy System,” IEA. Accessed: Oct. 16, 2023. [Online]. Available: https://www.iea.org/energy-system/fossil-fuels/gas-flaring</w:t>
      </w:r>
    </w:p>
    <w:p w14:paraId="4760E51A" w14:textId="77777777" w:rsidR="000B673D" w:rsidRPr="000B673D" w:rsidRDefault="000B673D" w:rsidP="000B673D">
      <w:pPr>
        <w:pStyle w:val="Bibliography"/>
        <w:rPr>
          <w:rFonts w:ascii="Aptos" w:hAnsi="Aptos"/>
        </w:rPr>
      </w:pPr>
      <w:r w:rsidRPr="000B673D">
        <w:rPr>
          <w:rFonts w:ascii="Aptos" w:hAnsi="Aptos"/>
        </w:rPr>
        <w:t>[10]</w:t>
      </w:r>
      <w:r w:rsidRPr="000B673D">
        <w:rPr>
          <w:rFonts w:ascii="Aptos" w:hAnsi="Aptos"/>
        </w:rPr>
        <w:tab/>
        <w:t>“DOE Announces $30 Million for Technologies that Create Valuable Products from Otherwise Wasted Natural Gas While Reducing Methane Emissions from Flaring,” Energy.gov. Accessed: Sep. 06, 2023. [Online]. Available: https://www.energy.gov/fecm/articles/doe-announces-30-million-technologies-create-valuable-products-otherwise-wasted</w:t>
      </w:r>
    </w:p>
    <w:p w14:paraId="6B41F441" w14:textId="77777777" w:rsidR="000B673D" w:rsidRPr="000B673D" w:rsidRDefault="000B673D" w:rsidP="000B673D">
      <w:pPr>
        <w:pStyle w:val="Bibliography"/>
        <w:rPr>
          <w:rFonts w:ascii="Aptos" w:hAnsi="Aptos"/>
        </w:rPr>
      </w:pPr>
      <w:r w:rsidRPr="000B673D">
        <w:rPr>
          <w:rFonts w:ascii="Aptos" w:hAnsi="Aptos"/>
        </w:rPr>
        <w:t>[11]</w:t>
      </w:r>
      <w:r w:rsidRPr="000B673D">
        <w:rPr>
          <w:rFonts w:ascii="Aptos" w:hAnsi="Aptos"/>
        </w:rPr>
        <w:tab/>
        <w:t xml:space="preserve">C. Duan, J. Huang, N. Sullivan, and R. O’Hayre, “Proton-conducting oxides for energy conversion and storage,” </w:t>
      </w:r>
      <w:r w:rsidRPr="000B673D">
        <w:rPr>
          <w:rFonts w:ascii="Aptos" w:hAnsi="Aptos"/>
          <w:i/>
          <w:iCs/>
        </w:rPr>
        <w:t>Appl. Phys. Rev.</w:t>
      </w:r>
      <w:r w:rsidRPr="000B673D">
        <w:rPr>
          <w:rFonts w:ascii="Aptos" w:hAnsi="Aptos"/>
        </w:rPr>
        <w:t>, vol. 7, no. 1, p. 011314, Mar. 2020.</w:t>
      </w:r>
    </w:p>
    <w:p w14:paraId="5C444B56" w14:textId="77777777" w:rsidR="000B673D" w:rsidRPr="000B673D" w:rsidRDefault="000B673D" w:rsidP="000B673D">
      <w:pPr>
        <w:pStyle w:val="Bibliography"/>
        <w:rPr>
          <w:rFonts w:ascii="Aptos" w:hAnsi="Aptos"/>
        </w:rPr>
      </w:pPr>
      <w:r w:rsidRPr="000B673D">
        <w:rPr>
          <w:rFonts w:ascii="Aptos" w:hAnsi="Aptos"/>
        </w:rPr>
        <w:t>[12]</w:t>
      </w:r>
      <w:r w:rsidRPr="000B673D">
        <w:rPr>
          <w:rFonts w:ascii="Aptos" w:hAnsi="Aptos"/>
        </w:rPr>
        <w:tab/>
        <w:t xml:space="preserve">C. Duan </w:t>
      </w:r>
      <w:r w:rsidRPr="000B673D">
        <w:rPr>
          <w:rFonts w:ascii="Aptos" w:hAnsi="Aptos"/>
          <w:i/>
          <w:iCs/>
        </w:rPr>
        <w:t>et al.</w:t>
      </w:r>
      <w:r w:rsidRPr="000B673D">
        <w:rPr>
          <w:rFonts w:ascii="Aptos" w:hAnsi="Aptos"/>
        </w:rPr>
        <w:t xml:space="preserve">, “Highly durable, coking and sulfur tolerant, fuel-flexible protonic ceramic fuel cells,” </w:t>
      </w:r>
      <w:r w:rsidRPr="000B673D">
        <w:rPr>
          <w:rFonts w:ascii="Aptos" w:hAnsi="Aptos"/>
          <w:i/>
          <w:iCs/>
        </w:rPr>
        <w:t>Nature</w:t>
      </w:r>
      <w:r w:rsidRPr="000B673D">
        <w:rPr>
          <w:rFonts w:ascii="Aptos" w:hAnsi="Aptos"/>
        </w:rPr>
        <w:t>, vol. 557, no. 7704, Art. no. 7704, May 2018, doi: 10.1038/s41586-018-0082-6.</w:t>
      </w:r>
    </w:p>
    <w:p w14:paraId="430B0778" w14:textId="77777777" w:rsidR="000B673D" w:rsidRPr="000B673D" w:rsidRDefault="000B673D" w:rsidP="000B673D">
      <w:pPr>
        <w:pStyle w:val="Bibliography"/>
        <w:rPr>
          <w:rFonts w:ascii="Aptos" w:hAnsi="Aptos"/>
        </w:rPr>
      </w:pPr>
      <w:r w:rsidRPr="000B673D">
        <w:rPr>
          <w:rFonts w:ascii="Aptos" w:hAnsi="Aptos"/>
        </w:rPr>
        <w:t>[13]</w:t>
      </w:r>
      <w:r w:rsidRPr="000B673D">
        <w:rPr>
          <w:rFonts w:ascii="Aptos" w:hAnsi="Aptos"/>
        </w:rPr>
        <w:tab/>
        <w:t xml:space="preserve">F. Liu, D. Ding, and C. Duan, “Protonic Ceramic Electrochemical Cells for Synthesizing Sustainable Chemicals and Fuels,” </w:t>
      </w:r>
      <w:r w:rsidRPr="000B673D">
        <w:rPr>
          <w:rFonts w:ascii="Aptos" w:hAnsi="Aptos"/>
          <w:i/>
          <w:iCs/>
        </w:rPr>
        <w:t>Adv. Sci.</w:t>
      </w:r>
      <w:r w:rsidRPr="000B673D">
        <w:rPr>
          <w:rFonts w:ascii="Aptos" w:hAnsi="Aptos"/>
        </w:rPr>
        <w:t>, vol. 10, no. 8, p. 2206478, 2023, doi: 10.1002/advs.202206478.</w:t>
      </w:r>
    </w:p>
    <w:p w14:paraId="192A6FA5" w14:textId="77777777" w:rsidR="000B673D" w:rsidRPr="000B673D" w:rsidRDefault="000B673D" w:rsidP="000B673D">
      <w:pPr>
        <w:pStyle w:val="Bibliography"/>
        <w:rPr>
          <w:rFonts w:ascii="Aptos" w:hAnsi="Aptos"/>
        </w:rPr>
      </w:pPr>
      <w:r w:rsidRPr="000B673D">
        <w:rPr>
          <w:rFonts w:ascii="Aptos" w:hAnsi="Aptos"/>
        </w:rPr>
        <w:t>[14]</w:t>
      </w:r>
      <w:r w:rsidRPr="000B673D">
        <w:rPr>
          <w:rFonts w:ascii="Aptos" w:hAnsi="Aptos"/>
        </w:rPr>
        <w:tab/>
        <w:t xml:space="preserve">Z. Li </w:t>
      </w:r>
      <w:r w:rsidRPr="000B673D">
        <w:rPr>
          <w:rFonts w:ascii="Aptos" w:hAnsi="Aptos"/>
          <w:i/>
          <w:iCs/>
        </w:rPr>
        <w:t>et al.</w:t>
      </w:r>
      <w:r w:rsidRPr="000B673D">
        <w:rPr>
          <w:rFonts w:ascii="Aptos" w:hAnsi="Aptos"/>
        </w:rPr>
        <w:t xml:space="preserve">, “Protonic ceramic fuel cells for power-ethylene cogeneration: A modelling study on structural parameters,” </w:t>
      </w:r>
      <w:r w:rsidRPr="000B673D">
        <w:rPr>
          <w:rFonts w:ascii="Aptos" w:hAnsi="Aptos"/>
          <w:i/>
          <w:iCs/>
        </w:rPr>
        <w:t>Energy</w:t>
      </w:r>
      <w:r w:rsidRPr="000B673D">
        <w:rPr>
          <w:rFonts w:ascii="Aptos" w:hAnsi="Aptos"/>
        </w:rPr>
        <w:t>, vol. 264, p. 126193, Feb. 2023, doi: 10.1016/j.energy.2022.126193.</w:t>
      </w:r>
    </w:p>
    <w:p w14:paraId="0C09D9BF" w14:textId="77777777" w:rsidR="000B673D" w:rsidRPr="000B673D" w:rsidRDefault="000B673D" w:rsidP="000B673D">
      <w:pPr>
        <w:pStyle w:val="Bibliography"/>
        <w:rPr>
          <w:rFonts w:ascii="Aptos" w:hAnsi="Aptos"/>
        </w:rPr>
      </w:pPr>
      <w:r w:rsidRPr="000B673D">
        <w:rPr>
          <w:rFonts w:ascii="Aptos" w:hAnsi="Aptos"/>
        </w:rPr>
        <w:t>[15]</w:t>
      </w:r>
      <w:r w:rsidRPr="000B673D">
        <w:rPr>
          <w:rFonts w:ascii="Aptos" w:hAnsi="Aptos"/>
        </w:rPr>
        <w:tab/>
        <w:t xml:space="preserve">Z. Li </w:t>
      </w:r>
      <w:r w:rsidRPr="000B673D">
        <w:rPr>
          <w:rFonts w:ascii="Aptos" w:hAnsi="Aptos"/>
          <w:i/>
          <w:iCs/>
        </w:rPr>
        <w:t>et al.</w:t>
      </w:r>
      <w:r w:rsidRPr="000B673D">
        <w:rPr>
          <w:rFonts w:ascii="Aptos" w:hAnsi="Aptos"/>
        </w:rPr>
        <w:t xml:space="preserve">, “Ethylene and power cogeneration from proton ceramic fuel cells (PCFC): A thermo-electrochemical modelling study,” </w:t>
      </w:r>
      <w:r w:rsidRPr="000B673D">
        <w:rPr>
          <w:rFonts w:ascii="Aptos" w:hAnsi="Aptos"/>
          <w:i/>
          <w:iCs/>
        </w:rPr>
        <w:t>J. Power Sources</w:t>
      </w:r>
      <w:r w:rsidRPr="000B673D">
        <w:rPr>
          <w:rFonts w:ascii="Aptos" w:hAnsi="Aptos"/>
        </w:rPr>
        <w:t>, vol. 536, p. 231503, Jul. 2022, doi: 10.1016/j.jpowsour.2022.231503.</w:t>
      </w:r>
    </w:p>
    <w:p w14:paraId="70F32ED4" w14:textId="77777777" w:rsidR="000B673D" w:rsidRPr="000B673D" w:rsidRDefault="000B673D" w:rsidP="000B673D">
      <w:pPr>
        <w:pStyle w:val="Bibliography"/>
        <w:rPr>
          <w:rFonts w:ascii="Aptos" w:hAnsi="Aptos"/>
        </w:rPr>
      </w:pPr>
      <w:r w:rsidRPr="000B673D">
        <w:rPr>
          <w:rFonts w:ascii="Aptos" w:hAnsi="Aptos"/>
        </w:rPr>
        <w:t>[16]</w:t>
      </w:r>
      <w:r w:rsidRPr="000B673D">
        <w:rPr>
          <w:rFonts w:ascii="Aptos" w:hAnsi="Aptos"/>
        </w:rPr>
        <w:tab/>
        <w:t xml:space="preserve">F. Liu, H. Deng, H. Ding, P. Kazempoor, B. Liu, and C. Duan, “Process-intensified protonic ceramic fuel cells for power generation, chemical production, and greenhouse gas mitigation,” </w:t>
      </w:r>
      <w:r w:rsidRPr="000B673D">
        <w:rPr>
          <w:rFonts w:ascii="Aptos" w:hAnsi="Aptos"/>
          <w:i/>
          <w:iCs/>
        </w:rPr>
        <w:t>Joule</w:t>
      </w:r>
      <w:r w:rsidRPr="000B673D">
        <w:rPr>
          <w:rFonts w:ascii="Aptos" w:hAnsi="Aptos"/>
        </w:rPr>
        <w:t>, vol. 7, no. 6, pp. 1308–1332, Jun. 2023, doi: 10.1016/j.joule.2023.05.009.</w:t>
      </w:r>
    </w:p>
    <w:p w14:paraId="3C586EEE" w14:textId="77777777" w:rsidR="000B673D" w:rsidRPr="000B673D" w:rsidRDefault="000B673D" w:rsidP="000B673D">
      <w:pPr>
        <w:pStyle w:val="Bibliography"/>
        <w:rPr>
          <w:rFonts w:ascii="Aptos" w:hAnsi="Aptos"/>
        </w:rPr>
      </w:pPr>
      <w:r w:rsidRPr="000B673D">
        <w:rPr>
          <w:rFonts w:ascii="Aptos" w:hAnsi="Aptos"/>
        </w:rPr>
        <w:t>[17]</w:t>
      </w:r>
      <w:r w:rsidRPr="000B673D">
        <w:rPr>
          <w:rFonts w:ascii="Aptos" w:hAnsi="Aptos"/>
        </w:rPr>
        <w:tab/>
        <w:t xml:space="preserve">K. Hong, J. Min, G. Min, Y. Bae, and J. Hong, “Carbon-neutral conversion of methane supported by Ni-(Rh, Co) bimetallic catalysts for low-temperature proton-conducting ceramic fuel cells,” </w:t>
      </w:r>
      <w:r w:rsidRPr="000B673D">
        <w:rPr>
          <w:rFonts w:ascii="Aptos" w:hAnsi="Aptos"/>
          <w:i/>
          <w:iCs/>
        </w:rPr>
        <w:t>Chem. Eng. J.</w:t>
      </w:r>
      <w:r w:rsidRPr="000B673D">
        <w:rPr>
          <w:rFonts w:ascii="Aptos" w:hAnsi="Aptos"/>
        </w:rPr>
        <w:t>, vol. 462, p. 142334, Apr. 2023, doi: 10.1016/j.cej.2023.142334.</w:t>
      </w:r>
    </w:p>
    <w:p w14:paraId="27A47A4D" w14:textId="77777777" w:rsidR="000B673D" w:rsidRPr="000B673D" w:rsidRDefault="000B673D" w:rsidP="000B673D">
      <w:pPr>
        <w:pStyle w:val="Bibliography"/>
        <w:rPr>
          <w:rFonts w:ascii="Aptos" w:hAnsi="Aptos"/>
        </w:rPr>
      </w:pPr>
      <w:r w:rsidRPr="000B673D">
        <w:rPr>
          <w:rFonts w:ascii="Aptos" w:hAnsi="Aptos"/>
        </w:rPr>
        <w:t>[18]</w:t>
      </w:r>
      <w:r w:rsidRPr="000B673D">
        <w:rPr>
          <w:rFonts w:ascii="Aptos" w:hAnsi="Aptos"/>
        </w:rPr>
        <w:tab/>
        <w:t>“Project Landing Page,” netl.doe.gov. Accessed: Jul. 19, 2023. [Online]. Available: https://netl.doe.gov/project-information</w:t>
      </w:r>
    </w:p>
    <w:p w14:paraId="6BF4ADA4" w14:textId="77777777" w:rsidR="000B673D" w:rsidRPr="000B673D" w:rsidRDefault="000B673D" w:rsidP="000B673D">
      <w:pPr>
        <w:pStyle w:val="Bibliography"/>
        <w:rPr>
          <w:rFonts w:ascii="Aptos" w:hAnsi="Aptos"/>
        </w:rPr>
      </w:pPr>
      <w:r w:rsidRPr="000B673D">
        <w:rPr>
          <w:rFonts w:ascii="Aptos" w:hAnsi="Aptos"/>
        </w:rPr>
        <w:t>[19]</w:t>
      </w:r>
      <w:r w:rsidRPr="000B673D">
        <w:rPr>
          <w:rFonts w:ascii="Aptos" w:hAnsi="Aptos"/>
        </w:rPr>
        <w:tab/>
        <w:t xml:space="preserve">A. V. Kasyanova, I. A. Zvonareva, N. A. Tarasova, L. Bi, D. A. Medvedev, and Z. Shao, “Electrolyte materials for protonic ceramic electrochemical cells: Main limitations and potential solutions,” </w:t>
      </w:r>
      <w:r w:rsidRPr="000B673D">
        <w:rPr>
          <w:rFonts w:ascii="Aptos" w:hAnsi="Aptos"/>
          <w:i/>
          <w:iCs/>
        </w:rPr>
        <w:t>Mater. Rep. Energy</w:t>
      </w:r>
      <w:r w:rsidRPr="000B673D">
        <w:rPr>
          <w:rFonts w:ascii="Aptos" w:hAnsi="Aptos"/>
        </w:rPr>
        <w:t>, vol. 2, no. 4, p. 100158, Nov. 2022, doi: 10.1016/j.matre.2022.100158.</w:t>
      </w:r>
    </w:p>
    <w:p w14:paraId="24B66C55" w14:textId="77777777" w:rsidR="000B673D" w:rsidRPr="000B673D" w:rsidRDefault="000B673D" w:rsidP="000B673D">
      <w:pPr>
        <w:pStyle w:val="Bibliography"/>
        <w:rPr>
          <w:rFonts w:ascii="Aptos" w:hAnsi="Aptos"/>
        </w:rPr>
      </w:pPr>
      <w:r w:rsidRPr="000B673D">
        <w:rPr>
          <w:rFonts w:ascii="Aptos" w:hAnsi="Aptos"/>
        </w:rPr>
        <w:t>[20]</w:t>
      </w:r>
      <w:r w:rsidRPr="000B673D">
        <w:rPr>
          <w:rFonts w:ascii="Aptos" w:hAnsi="Aptos"/>
        </w:rPr>
        <w:tab/>
        <w:t xml:space="preserve">A. Dubois, S. Ricote, and R. J. Braun, “Benchmarking the expected stack manufacturing cost of next generation, intermediate-temperature protonic ceramic fuel cells with solid oxide fuel cell technology,” </w:t>
      </w:r>
      <w:r w:rsidRPr="000B673D">
        <w:rPr>
          <w:rFonts w:ascii="Aptos" w:hAnsi="Aptos"/>
          <w:i/>
          <w:iCs/>
        </w:rPr>
        <w:t>J. Power Sources</w:t>
      </w:r>
      <w:r w:rsidRPr="000B673D">
        <w:rPr>
          <w:rFonts w:ascii="Aptos" w:hAnsi="Aptos"/>
        </w:rPr>
        <w:t>, vol. 369, pp. 65–77, Nov. 2017, doi: 10.1016/j.jpowsour.2017.09.024.</w:t>
      </w:r>
    </w:p>
    <w:p w14:paraId="0566C72F" w14:textId="77777777" w:rsidR="000B673D" w:rsidRPr="000B673D" w:rsidRDefault="000B673D" w:rsidP="000B673D">
      <w:pPr>
        <w:pStyle w:val="Bibliography"/>
        <w:rPr>
          <w:rFonts w:ascii="Aptos" w:hAnsi="Aptos"/>
        </w:rPr>
      </w:pPr>
      <w:r w:rsidRPr="000B673D">
        <w:rPr>
          <w:rFonts w:ascii="Aptos" w:hAnsi="Aptos"/>
        </w:rPr>
        <w:t>[21]</w:t>
      </w:r>
      <w:r w:rsidRPr="000B673D">
        <w:rPr>
          <w:rFonts w:ascii="Aptos" w:hAnsi="Aptos"/>
        </w:rPr>
        <w:tab/>
        <w:t xml:space="preserve">M. Zou </w:t>
      </w:r>
      <w:r w:rsidRPr="000B673D">
        <w:rPr>
          <w:rFonts w:ascii="Aptos" w:hAnsi="Aptos"/>
          <w:i/>
          <w:iCs/>
        </w:rPr>
        <w:t>et al.</w:t>
      </w:r>
      <w:r w:rsidRPr="000B673D">
        <w:rPr>
          <w:rFonts w:ascii="Aptos" w:hAnsi="Aptos"/>
        </w:rPr>
        <w:t xml:space="preserve">, “3D Printing Enabled Highly Scalable Tubular Protonic Ceramic Fuel Cells,” </w:t>
      </w:r>
      <w:r w:rsidRPr="000B673D">
        <w:rPr>
          <w:rFonts w:ascii="Aptos" w:hAnsi="Aptos"/>
          <w:i/>
          <w:iCs/>
        </w:rPr>
        <w:t>ACS Energy Lett.</w:t>
      </w:r>
      <w:r w:rsidRPr="000B673D">
        <w:rPr>
          <w:rFonts w:ascii="Aptos" w:hAnsi="Aptos"/>
        </w:rPr>
        <w:t>, vol. 8, no. 8, pp. 3545–3551, Aug. 2023, doi: 10.1021/acsenergylett.3c01345.</w:t>
      </w:r>
    </w:p>
    <w:p w14:paraId="52F4026E" w14:textId="77777777" w:rsidR="000B673D" w:rsidRPr="000B673D" w:rsidRDefault="000B673D" w:rsidP="000B673D">
      <w:pPr>
        <w:pStyle w:val="Bibliography"/>
        <w:rPr>
          <w:rFonts w:ascii="Aptos" w:hAnsi="Aptos"/>
        </w:rPr>
      </w:pPr>
      <w:r w:rsidRPr="000B673D">
        <w:rPr>
          <w:rFonts w:ascii="Aptos" w:hAnsi="Aptos"/>
        </w:rPr>
        <w:t>[22]</w:t>
      </w:r>
      <w:r w:rsidRPr="000B673D">
        <w:rPr>
          <w:rFonts w:ascii="Aptos" w:hAnsi="Aptos"/>
        </w:rPr>
        <w:tab/>
        <w:t xml:space="preserve">F. Liu, L. Fang, D. Diercks, P. Kazempoor, and C. Duan, “Rationally designed negative electrode for selective CO2-to-CO conversion in protonic ceramic electrochemical cells,” </w:t>
      </w:r>
      <w:r w:rsidRPr="000B673D">
        <w:rPr>
          <w:rFonts w:ascii="Aptos" w:hAnsi="Aptos"/>
          <w:i/>
          <w:iCs/>
        </w:rPr>
        <w:t>Nano Energy</w:t>
      </w:r>
      <w:r w:rsidRPr="000B673D">
        <w:rPr>
          <w:rFonts w:ascii="Aptos" w:hAnsi="Aptos"/>
        </w:rPr>
        <w:t>, vol. 102, p. 107722, Nov. 2022, doi: 10.1016/j.nanoen.2022.107722.</w:t>
      </w:r>
    </w:p>
    <w:p w14:paraId="760E242D" w14:textId="77777777" w:rsidR="000B673D" w:rsidRPr="000B673D" w:rsidRDefault="000B673D" w:rsidP="000B673D">
      <w:pPr>
        <w:pStyle w:val="Bibliography"/>
        <w:rPr>
          <w:rFonts w:ascii="Aptos" w:hAnsi="Aptos"/>
        </w:rPr>
      </w:pPr>
      <w:r w:rsidRPr="000B673D">
        <w:rPr>
          <w:rFonts w:ascii="Aptos" w:hAnsi="Aptos"/>
        </w:rPr>
        <w:t>[23]</w:t>
      </w:r>
      <w:r w:rsidRPr="000B673D">
        <w:rPr>
          <w:rFonts w:ascii="Aptos" w:hAnsi="Aptos"/>
        </w:rPr>
        <w:tab/>
        <w:t xml:space="preserve">H. An </w:t>
      </w:r>
      <w:r w:rsidRPr="000B673D">
        <w:rPr>
          <w:rFonts w:ascii="Aptos" w:hAnsi="Aptos"/>
          <w:i/>
          <w:iCs/>
        </w:rPr>
        <w:t>et al.</w:t>
      </w:r>
      <w:r w:rsidRPr="000B673D">
        <w:rPr>
          <w:rFonts w:ascii="Aptos" w:hAnsi="Aptos"/>
        </w:rPr>
        <w:t xml:space="preserve">, “A 5 × 5 cm2 protonic ceramic fuel cell with a power density of 1.3 W cm–2 at 600 °C,” </w:t>
      </w:r>
      <w:r w:rsidRPr="000B673D">
        <w:rPr>
          <w:rFonts w:ascii="Aptos" w:hAnsi="Aptos"/>
          <w:i/>
          <w:iCs/>
        </w:rPr>
        <w:t>Nat. Energy</w:t>
      </w:r>
      <w:r w:rsidRPr="000B673D">
        <w:rPr>
          <w:rFonts w:ascii="Aptos" w:hAnsi="Aptos"/>
        </w:rPr>
        <w:t>, vol. 3, no. 10, Art. no. 10, Oct. 2018, doi: 10.1038/s41560-018-0230-0.</w:t>
      </w:r>
    </w:p>
    <w:p w14:paraId="178ED9F8" w14:textId="77777777" w:rsidR="000B673D" w:rsidRPr="000B673D" w:rsidRDefault="000B673D" w:rsidP="000B673D">
      <w:pPr>
        <w:pStyle w:val="Bibliography"/>
        <w:rPr>
          <w:rFonts w:ascii="Aptos" w:hAnsi="Aptos"/>
        </w:rPr>
      </w:pPr>
      <w:r w:rsidRPr="000B673D">
        <w:rPr>
          <w:rFonts w:ascii="Aptos" w:hAnsi="Aptos"/>
        </w:rPr>
        <w:t>[24]</w:t>
      </w:r>
      <w:r w:rsidRPr="000B673D">
        <w:rPr>
          <w:rFonts w:ascii="Aptos" w:hAnsi="Aptos"/>
        </w:rPr>
        <w:tab/>
        <w:t xml:space="preserve">X. Xu </w:t>
      </w:r>
      <w:r w:rsidRPr="000B673D">
        <w:rPr>
          <w:rFonts w:ascii="Aptos" w:hAnsi="Aptos"/>
          <w:i/>
          <w:iCs/>
        </w:rPr>
        <w:t>et al.</w:t>
      </w:r>
      <w:r w:rsidRPr="000B673D">
        <w:rPr>
          <w:rFonts w:ascii="Aptos" w:hAnsi="Aptos"/>
        </w:rPr>
        <w:t xml:space="preserve">, “Tailoring electronic structure of perovskite cathode for proton-conducting solid oxide fuel cells with high performance,” </w:t>
      </w:r>
      <w:r w:rsidRPr="000B673D">
        <w:rPr>
          <w:rFonts w:ascii="Aptos" w:hAnsi="Aptos"/>
          <w:i/>
          <w:iCs/>
        </w:rPr>
        <w:t>J. Power Sources</w:t>
      </w:r>
      <w:r w:rsidRPr="000B673D">
        <w:rPr>
          <w:rFonts w:ascii="Aptos" w:hAnsi="Aptos"/>
        </w:rPr>
        <w:t>, vol. 489, p. 229486, Mar. 2021, doi: 10.1016/j.jpowsour.2021.229486.</w:t>
      </w:r>
    </w:p>
    <w:p w14:paraId="5E4CD03D" w14:textId="77777777" w:rsidR="000B673D" w:rsidRPr="000B673D" w:rsidRDefault="000B673D" w:rsidP="000B673D">
      <w:pPr>
        <w:pStyle w:val="Bibliography"/>
        <w:rPr>
          <w:rFonts w:ascii="Aptos" w:hAnsi="Aptos"/>
        </w:rPr>
      </w:pPr>
      <w:r w:rsidRPr="000B673D">
        <w:rPr>
          <w:rFonts w:ascii="Aptos" w:hAnsi="Aptos"/>
        </w:rPr>
        <w:t>[25]</w:t>
      </w:r>
      <w:r w:rsidRPr="000B673D">
        <w:rPr>
          <w:rFonts w:ascii="Aptos" w:hAnsi="Aptos"/>
        </w:rPr>
        <w:tab/>
        <w:t xml:space="preserve">M. Liang </w:t>
      </w:r>
      <w:r w:rsidRPr="000B673D">
        <w:rPr>
          <w:rFonts w:ascii="Aptos" w:hAnsi="Aptos"/>
          <w:i/>
          <w:iCs/>
        </w:rPr>
        <w:t>et al.</w:t>
      </w:r>
      <w:r w:rsidRPr="000B673D">
        <w:rPr>
          <w:rFonts w:ascii="Aptos" w:hAnsi="Aptos"/>
        </w:rPr>
        <w:t xml:space="preserve">, “Nickel-doped BaCo0.4Fe0.4Zr0.1Y0.1O3-δ as a new high-performance cathode for both oxygen-ion and proton conducting fuel cells,” </w:t>
      </w:r>
      <w:r w:rsidRPr="000B673D">
        <w:rPr>
          <w:rFonts w:ascii="Aptos" w:hAnsi="Aptos"/>
          <w:i/>
          <w:iCs/>
        </w:rPr>
        <w:t>Chem. Eng. J.</w:t>
      </w:r>
      <w:r w:rsidRPr="000B673D">
        <w:rPr>
          <w:rFonts w:ascii="Aptos" w:hAnsi="Aptos"/>
        </w:rPr>
        <w:t>, vol. 420, p. 127717, Sep. 2021, doi: 10.1016/j.cej.2020.127717.</w:t>
      </w:r>
    </w:p>
    <w:p w14:paraId="43DDA97F" w14:textId="77777777" w:rsidR="000B673D" w:rsidRPr="000B673D" w:rsidRDefault="000B673D" w:rsidP="000B673D">
      <w:pPr>
        <w:pStyle w:val="Bibliography"/>
        <w:rPr>
          <w:rFonts w:ascii="Aptos" w:hAnsi="Aptos"/>
        </w:rPr>
      </w:pPr>
      <w:r w:rsidRPr="000B673D">
        <w:rPr>
          <w:rFonts w:ascii="Aptos" w:hAnsi="Aptos"/>
        </w:rPr>
        <w:t>[26]</w:t>
      </w:r>
      <w:r w:rsidRPr="000B673D">
        <w:rPr>
          <w:rFonts w:ascii="Aptos" w:hAnsi="Aptos"/>
        </w:rPr>
        <w:tab/>
        <w:t xml:space="preserve">H. Shimada, Y. Yamaguchi, H. Sumi, and Y. Mizutani, “Enhanced La0.6Sr0.4Co0.2Fe0.8O3–δ-based cathode performance by modification of BaZr0.1Ce0.7Y0.1Yb0.1O3–δ electrolyte surface in protonic ceramic fuel cells,” </w:t>
      </w:r>
      <w:r w:rsidRPr="000B673D">
        <w:rPr>
          <w:rFonts w:ascii="Aptos" w:hAnsi="Aptos"/>
          <w:i/>
          <w:iCs/>
        </w:rPr>
        <w:t>Ceram. Int.</w:t>
      </w:r>
      <w:r w:rsidRPr="000B673D">
        <w:rPr>
          <w:rFonts w:ascii="Aptos" w:hAnsi="Aptos"/>
        </w:rPr>
        <w:t>, vol. 47, no. 11, pp. 16358–16362, Jun. 2021, doi: 10.1016/j.ceramint.2021.02.123.</w:t>
      </w:r>
    </w:p>
    <w:p w14:paraId="29BC5836" w14:textId="77777777" w:rsidR="000B673D" w:rsidRPr="000B673D" w:rsidRDefault="000B673D" w:rsidP="000B673D">
      <w:pPr>
        <w:pStyle w:val="Bibliography"/>
        <w:rPr>
          <w:rFonts w:ascii="Aptos" w:hAnsi="Aptos"/>
        </w:rPr>
      </w:pPr>
      <w:r w:rsidRPr="000B673D">
        <w:rPr>
          <w:rFonts w:ascii="Aptos" w:hAnsi="Aptos"/>
        </w:rPr>
        <w:t>[27]</w:t>
      </w:r>
      <w:r w:rsidRPr="000B673D">
        <w:rPr>
          <w:rFonts w:ascii="Aptos" w:hAnsi="Aptos"/>
        </w:rPr>
        <w:tab/>
        <w:t xml:space="preserve">D. Cao, M. Zhou, X. Yan, Z. Liu, and J. Liu, “High performance low-temperature tubular protonic ceramic fuel cells based on barium cerate-zirconate electrolyte - ScienceDirect,” </w:t>
      </w:r>
      <w:r w:rsidRPr="000B673D">
        <w:rPr>
          <w:rFonts w:ascii="Aptos" w:hAnsi="Aptos"/>
          <w:i/>
          <w:iCs/>
        </w:rPr>
        <w:t>Electrochem. Commun.</w:t>
      </w:r>
      <w:r w:rsidRPr="000B673D">
        <w:rPr>
          <w:rFonts w:ascii="Aptos" w:hAnsi="Aptos"/>
        </w:rPr>
        <w:t>, vol. 125, p. 106986, Apr. 2021.</w:t>
      </w:r>
    </w:p>
    <w:p w14:paraId="3990D8BF" w14:textId="77777777" w:rsidR="000B673D" w:rsidRPr="000B673D" w:rsidRDefault="000B673D" w:rsidP="000B673D">
      <w:pPr>
        <w:pStyle w:val="Bibliography"/>
        <w:rPr>
          <w:rFonts w:ascii="Aptos" w:hAnsi="Aptos"/>
        </w:rPr>
      </w:pPr>
      <w:r w:rsidRPr="000B673D">
        <w:rPr>
          <w:rFonts w:ascii="Aptos" w:hAnsi="Aptos"/>
        </w:rPr>
        <w:t>[28]</w:t>
      </w:r>
      <w:r w:rsidRPr="000B673D">
        <w:rPr>
          <w:rFonts w:ascii="Aptos" w:hAnsi="Aptos"/>
        </w:rPr>
        <w:tab/>
        <w:t xml:space="preserve">M. Hou, Y. Pan, and Y. Chen, “Enhanced electrochemical activity and durability of a direct ammonia protonic ceramic fuel cell enabled by an internal catalyst layer,” </w:t>
      </w:r>
      <w:r w:rsidRPr="000B673D">
        <w:rPr>
          <w:rFonts w:ascii="Aptos" w:hAnsi="Aptos"/>
          <w:i/>
          <w:iCs/>
        </w:rPr>
        <w:t>Sep. Purif. Technol.</w:t>
      </w:r>
      <w:r w:rsidRPr="000B673D">
        <w:rPr>
          <w:rFonts w:ascii="Aptos" w:hAnsi="Aptos"/>
        </w:rPr>
        <w:t>, vol. 297, p. 121483, Sep. 2022, doi: 10.1016/j.seppur.2022.121483.</w:t>
      </w:r>
    </w:p>
    <w:p w14:paraId="04D7FC05" w14:textId="77777777" w:rsidR="000B673D" w:rsidRPr="000B673D" w:rsidRDefault="000B673D" w:rsidP="000B673D">
      <w:pPr>
        <w:pStyle w:val="Bibliography"/>
        <w:rPr>
          <w:rFonts w:ascii="Aptos" w:hAnsi="Aptos"/>
        </w:rPr>
      </w:pPr>
      <w:r w:rsidRPr="000B673D">
        <w:rPr>
          <w:rFonts w:ascii="Aptos" w:hAnsi="Aptos"/>
        </w:rPr>
        <w:t>[29]</w:t>
      </w:r>
      <w:r w:rsidRPr="000B673D">
        <w:rPr>
          <w:rFonts w:ascii="Aptos" w:hAnsi="Aptos"/>
        </w:rPr>
        <w:tab/>
        <w:t xml:space="preserve">M. Fu, K. Li, Y. Yang, Q. Zeng, L. Zeng, and Z. Tao, “Fabrication and study of LaNi0.6Fe0.4O3-δ and Sm0.5Sr0.5CoO3-δ composite cathode for proton-conducting solid oxide fuel cells,” </w:t>
      </w:r>
      <w:r w:rsidRPr="000B673D">
        <w:rPr>
          <w:rFonts w:ascii="Aptos" w:hAnsi="Aptos"/>
          <w:i/>
          <w:iCs/>
        </w:rPr>
        <w:t>Sep. Purif. Technol.</w:t>
      </w:r>
      <w:r w:rsidRPr="000B673D">
        <w:rPr>
          <w:rFonts w:ascii="Aptos" w:hAnsi="Aptos"/>
        </w:rPr>
        <w:t>, vol. 287, p. 120581, Apr. 2022, doi: 10.1016/j.seppur.2022.120581.</w:t>
      </w:r>
    </w:p>
    <w:p w14:paraId="6CEBFD1E" w14:textId="77777777" w:rsidR="000B673D" w:rsidRPr="000B673D" w:rsidRDefault="000B673D" w:rsidP="000B673D">
      <w:pPr>
        <w:pStyle w:val="Bibliography"/>
        <w:rPr>
          <w:rFonts w:ascii="Aptos" w:hAnsi="Aptos"/>
        </w:rPr>
      </w:pPr>
      <w:r w:rsidRPr="000B673D">
        <w:rPr>
          <w:rFonts w:ascii="Aptos" w:hAnsi="Aptos"/>
        </w:rPr>
        <w:t>[30]</w:t>
      </w:r>
      <w:r w:rsidRPr="000B673D">
        <w:rPr>
          <w:rFonts w:ascii="Aptos" w:hAnsi="Aptos"/>
        </w:rPr>
        <w:tab/>
        <w:t xml:space="preserve">R. Guo and T. He, “High-Entropy Perovskite Electrolyte for Protonic Ceramic Fuel Cells Operating below 600 °C,” </w:t>
      </w:r>
      <w:r w:rsidRPr="000B673D">
        <w:rPr>
          <w:rFonts w:ascii="Aptos" w:hAnsi="Aptos"/>
          <w:i/>
          <w:iCs/>
        </w:rPr>
        <w:t>ACS Mater. Lett.</w:t>
      </w:r>
      <w:r w:rsidRPr="000B673D">
        <w:rPr>
          <w:rFonts w:ascii="Aptos" w:hAnsi="Aptos"/>
        </w:rPr>
        <w:t>, vol. 4, no. 9, pp. 1646–1652, Sep. 2022, doi: 10.1021/acsmaterialslett.2c00542.</w:t>
      </w:r>
    </w:p>
    <w:p w14:paraId="345A55AB" w14:textId="77777777" w:rsidR="000B673D" w:rsidRPr="000B673D" w:rsidRDefault="000B673D" w:rsidP="000B673D">
      <w:pPr>
        <w:pStyle w:val="Bibliography"/>
        <w:rPr>
          <w:rFonts w:ascii="Aptos" w:hAnsi="Aptos"/>
        </w:rPr>
      </w:pPr>
      <w:r w:rsidRPr="000B673D">
        <w:rPr>
          <w:rFonts w:ascii="Aptos" w:hAnsi="Aptos"/>
        </w:rPr>
        <w:t>[31]</w:t>
      </w:r>
      <w:r w:rsidRPr="000B673D">
        <w:rPr>
          <w:rFonts w:ascii="Aptos" w:hAnsi="Aptos"/>
        </w:rPr>
        <w:tab/>
        <w:t xml:space="preserve">J. Jing </w:t>
      </w:r>
      <w:r w:rsidRPr="000B673D">
        <w:rPr>
          <w:rFonts w:ascii="Aptos" w:hAnsi="Aptos"/>
          <w:i/>
          <w:iCs/>
        </w:rPr>
        <w:t>et al.</w:t>
      </w:r>
      <w:r w:rsidRPr="000B673D">
        <w:rPr>
          <w:rFonts w:ascii="Aptos" w:hAnsi="Aptos"/>
        </w:rPr>
        <w:t xml:space="preserve">, “Boosting Performance of a Protonic Ceramic Fuel Cell by the Incorporation of Active Nano-Structured Layers,” </w:t>
      </w:r>
      <w:r w:rsidRPr="000B673D">
        <w:rPr>
          <w:rFonts w:ascii="Aptos" w:hAnsi="Aptos"/>
          <w:i/>
          <w:iCs/>
        </w:rPr>
        <w:t>ACS Sustain. Chem. Eng.</w:t>
      </w:r>
      <w:r w:rsidRPr="000B673D">
        <w:rPr>
          <w:rFonts w:ascii="Aptos" w:hAnsi="Aptos"/>
        </w:rPr>
        <w:t>, vol. 11, no. 28, pp. 10303–10310, Jul. 2023, doi: 10.1021/acssuschemeng.3c00706.</w:t>
      </w:r>
    </w:p>
    <w:p w14:paraId="08955F03" w14:textId="77777777" w:rsidR="000B673D" w:rsidRPr="000B673D" w:rsidRDefault="000B673D" w:rsidP="000B673D">
      <w:pPr>
        <w:pStyle w:val="Bibliography"/>
        <w:rPr>
          <w:rFonts w:ascii="Aptos" w:hAnsi="Aptos"/>
        </w:rPr>
      </w:pPr>
      <w:r w:rsidRPr="000B673D">
        <w:rPr>
          <w:rFonts w:ascii="Aptos" w:hAnsi="Aptos"/>
        </w:rPr>
        <w:t>[32]</w:t>
      </w:r>
      <w:r w:rsidRPr="000B673D">
        <w:rPr>
          <w:rFonts w:ascii="Aptos" w:hAnsi="Aptos"/>
        </w:rPr>
        <w:tab/>
        <w:t xml:space="preserve">Q. Huang </w:t>
      </w:r>
      <w:r w:rsidRPr="000B673D">
        <w:rPr>
          <w:rFonts w:ascii="Aptos" w:hAnsi="Aptos"/>
          <w:i/>
          <w:iCs/>
        </w:rPr>
        <w:t>et al.</w:t>
      </w:r>
      <w:r w:rsidRPr="000B673D">
        <w:rPr>
          <w:rFonts w:ascii="Aptos" w:hAnsi="Aptos"/>
        </w:rPr>
        <w:t xml:space="preserve">, “Highly active and durable triple conducting composite air electrode for low-temperature protonic ceramic fuel cells,” </w:t>
      </w:r>
      <w:r w:rsidRPr="000B673D">
        <w:rPr>
          <w:rFonts w:ascii="Aptos" w:hAnsi="Aptos"/>
          <w:i/>
          <w:iCs/>
        </w:rPr>
        <w:t>Nano Res.</w:t>
      </w:r>
      <w:r w:rsidRPr="000B673D">
        <w:rPr>
          <w:rFonts w:ascii="Aptos" w:hAnsi="Aptos"/>
        </w:rPr>
        <w:t>, Feb. 2023, doi: 10.1007/s12274-023-5531-3.</w:t>
      </w:r>
    </w:p>
    <w:p w14:paraId="656A9A0E" w14:textId="77777777" w:rsidR="000B673D" w:rsidRPr="000B673D" w:rsidRDefault="000B673D" w:rsidP="000B673D">
      <w:pPr>
        <w:pStyle w:val="Bibliography"/>
        <w:rPr>
          <w:rFonts w:ascii="Aptos" w:hAnsi="Aptos"/>
        </w:rPr>
      </w:pPr>
      <w:r w:rsidRPr="000B673D">
        <w:rPr>
          <w:rFonts w:ascii="Aptos" w:hAnsi="Aptos"/>
        </w:rPr>
        <w:t>[33]</w:t>
      </w:r>
      <w:r w:rsidRPr="000B673D">
        <w:rPr>
          <w:rFonts w:ascii="Aptos" w:hAnsi="Aptos"/>
        </w:rPr>
        <w:tab/>
        <w:t xml:space="preserve">F. Liu </w:t>
      </w:r>
      <w:r w:rsidRPr="000B673D">
        <w:rPr>
          <w:rFonts w:ascii="Aptos" w:hAnsi="Aptos"/>
          <w:i/>
          <w:iCs/>
        </w:rPr>
        <w:t>et al.</w:t>
      </w:r>
      <w:r w:rsidRPr="000B673D">
        <w:rPr>
          <w:rFonts w:ascii="Aptos" w:hAnsi="Aptos"/>
        </w:rPr>
        <w:t xml:space="preserve">, “Lowering the operating temperature of protonic ceramic electrochemical cells to &lt;450 °C,” </w:t>
      </w:r>
      <w:r w:rsidRPr="000B673D">
        <w:rPr>
          <w:rFonts w:ascii="Aptos" w:hAnsi="Aptos"/>
          <w:i/>
          <w:iCs/>
        </w:rPr>
        <w:t>Nat. Energy</w:t>
      </w:r>
      <w:r w:rsidRPr="000B673D">
        <w:rPr>
          <w:rFonts w:ascii="Aptos" w:hAnsi="Aptos"/>
        </w:rPr>
        <w:t>, vol. 8, no. 10, Art. no. 10, Oct. 2023, doi: 10.1038/s41560-023-01350-4.</w:t>
      </w:r>
    </w:p>
    <w:p w14:paraId="45A4EC1E" w14:textId="77777777" w:rsidR="000B673D" w:rsidRPr="000B673D" w:rsidRDefault="000B673D" w:rsidP="000B673D">
      <w:pPr>
        <w:pStyle w:val="Bibliography"/>
        <w:rPr>
          <w:rFonts w:ascii="Aptos" w:hAnsi="Aptos"/>
        </w:rPr>
      </w:pPr>
      <w:r w:rsidRPr="000B673D">
        <w:rPr>
          <w:rFonts w:ascii="Aptos" w:hAnsi="Aptos"/>
        </w:rPr>
        <w:t>[34]</w:t>
      </w:r>
      <w:r w:rsidRPr="000B673D">
        <w:rPr>
          <w:rFonts w:ascii="Aptos" w:hAnsi="Aptos"/>
        </w:rPr>
        <w:tab/>
        <w:t>“CDC | Facts About Benzene.” Accessed: Dec. 09, 2023. [Online]. Available: https://emergency.cdc.gov/agent/benzene/basics/facts.asp</w:t>
      </w:r>
    </w:p>
    <w:p w14:paraId="63031D5A" w14:textId="77777777" w:rsidR="000B673D" w:rsidRPr="000B673D" w:rsidRDefault="000B673D" w:rsidP="000B673D">
      <w:pPr>
        <w:pStyle w:val="Bibliography"/>
        <w:rPr>
          <w:rFonts w:ascii="Aptos" w:hAnsi="Aptos"/>
        </w:rPr>
      </w:pPr>
      <w:r w:rsidRPr="000B673D">
        <w:rPr>
          <w:rFonts w:ascii="Aptos" w:hAnsi="Aptos"/>
        </w:rPr>
        <w:t>[35]</w:t>
      </w:r>
      <w:r w:rsidRPr="000B673D">
        <w:rPr>
          <w:rFonts w:ascii="Aptos" w:hAnsi="Aptos"/>
        </w:rPr>
        <w:tab/>
        <w:t>“Benzene | Public Health Statement | ATSDR.” Accessed: Dec. 08, 2023. [Online]. Available: https://wwwn.cdc.gov/TSP/PHS/PHS.aspx?phsid=37&amp;toxid=14</w:t>
      </w:r>
    </w:p>
    <w:p w14:paraId="0989F977" w14:textId="77777777" w:rsidR="000B673D" w:rsidRPr="000B673D" w:rsidRDefault="000B673D" w:rsidP="000B673D">
      <w:pPr>
        <w:pStyle w:val="Bibliography"/>
        <w:rPr>
          <w:rFonts w:ascii="Aptos" w:hAnsi="Aptos"/>
        </w:rPr>
      </w:pPr>
      <w:r w:rsidRPr="000B673D">
        <w:rPr>
          <w:rFonts w:ascii="Aptos" w:hAnsi="Aptos"/>
        </w:rPr>
        <w:t>[36]</w:t>
      </w:r>
      <w:r w:rsidRPr="000B673D">
        <w:rPr>
          <w:rFonts w:ascii="Aptos" w:hAnsi="Aptos"/>
        </w:rPr>
        <w:tab/>
        <w:t xml:space="preserve">A. M. Niziolek, O. Onel, and C. A. Floudas, “Production of benzene, toluene, and xylenes from natural gas via methanol: Process synthesis and global optimization,” </w:t>
      </w:r>
      <w:r w:rsidRPr="000B673D">
        <w:rPr>
          <w:rFonts w:ascii="Aptos" w:hAnsi="Aptos"/>
          <w:i/>
          <w:iCs/>
        </w:rPr>
        <w:t>AIChE J.</w:t>
      </w:r>
      <w:r w:rsidRPr="000B673D">
        <w:rPr>
          <w:rFonts w:ascii="Aptos" w:hAnsi="Aptos"/>
        </w:rPr>
        <w:t>, vol. 62, no. 5, pp. 1531–1556, 2016, doi: 10.1002/aic.15144.</w:t>
      </w:r>
    </w:p>
    <w:p w14:paraId="0D33EFB3" w14:textId="77777777" w:rsidR="000B673D" w:rsidRPr="000B673D" w:rsidRDefault="000B673D" w:rsidP="000B673D">
      <w:pPr>
        <w:pStyle w:val="Bibliography"/>
        <w:rPr>
          <w:rFonts w:ascii="Aptos" w:hAnsi="Aptos"/>
        </w:rPr>
      </w:pPr>
      <w:r w:rsidRPr="000B673D">
        <w:rPr>
          <w:rFonts w:ascii="Aptos" w:hAnsi="Aptos"/>
        </w:rPr>
        <w:t>[37]</w:t>
      </w:r>
      <w:r w:rsidRPr="000B673D">
        <w:rPr>
          <w:rFonts w:ascii="Aptos" w:hAnsi="Aptos"/>
        </w:rPr>
        <w:tab/>
        <w:t xml:space="preserve">P. Duchêne, L. Mencarelli, and A. Pagot, “Optimization approaches to the integrated system of catalytic reforming and isomerization processes in petroleum refinery,” </w:t>
      </w:r>
      <w:r w:rsidRPr="000B673D">
        <w:rPr>
          <w:rFonts w:ascii="Aptos" w:hAnsi="Aptos"/>
          <w:i/>
          <w:iCs/>
        </w:rPr>
        <w:t>Comput. Chem. Eng.</w:t>
      </w:r>
      <w:r w:rsidRPr="000B673D">
        <w:rPr>
          <w:rFonts w:ascii="Aptos" w:hAnsi="Aptos"/>
        </w:rPr>
        <w:t>, vol. 141, p. 107009, Oct. 2020, doi: 10.1016/j.compchemeng.2020.107009.</w:t>
      </w:r>
    </w:p>
    <w:p w14:paraId="1C7F529D" w14:textId="77777777" w:rsidR="000B673D" w:rsidRPr="000B673D" w:rsidRDefault="000B673D" w:rsidP="000B673D">
      <w:pPr>
        <w:pStyle w:val="Bibliography"/>
        <w:rPr>
          <w:rFonts w:ascii="Aptos" w:hAnsi="Aptos"/>
        </w:rPr>
      </w:pPr>
      <w:r w:rsidRPr="000B673D">
        <w:rPr>
          <w:rFonts w:ascii="Aptos" w:hAnsi="Aptos"/>
        </w:rPr>
        <w:t>[38]</w:t>
      </w:r>
      <w:r w:rsidRPr="000B673D">
        <w:rPr>
          <w:rFonts w:ascii="Aptos" w:hAnsi="Aptos"/>
        </w:rPr>
        <w:tab/>
        <w:t xml:space="preserve">S. Ma, X. Guo, L. Zhao, S. Scott, and X. Bao*, “Recent progress in methane dehydroaromatization: From laboratory curiosities to promising technology,” </w:t>
      </w:r>
      <w:r w:rsidRPr="000B673D">
        <w:rPr>
          <w:rFonts w:ascii="Aptos" w:hAnsi="Aptos"/>
          <w:i/>
          <w:iCs/>
        </w:rPr>
        <w:t>J. Energy Chem.</w:t>
      </w:r>
      <w:r w:rsidRPr="000B673D">
        <w:rPr>
          <w:rFonts w:ascii="Aptos" w:hAnsi="Aptos"/>
        </w:rPr>
        <w:t>, vol. 22, no. 1, p. 1, Jan. 2013.</w:t>
      </w:r>
    </w:p>
    <w:p w14:paraId="5B91076F" w14:textId="77777777" w:rsidR="000B673D" w:rsidRPr="000B673D" w:rsidRDefault="000B673D" w:rsidP="000B673D">
      <w:pPr>
        <w:pStyle w:val="Bibliography"/>
        <w:rPr>
          <w:rFonts w:ascii="Aptos" w:hAnsi="Aptos"/>
        </w:rPr>
      </w:pPr>
      <w:r w:rsidRPr="000B673D">
        <w:rPr>
          <w:rFonts w:ascii="Aptos" w:hAnsi="Aptos"/>
        </w:rPr>
        <w:t>[39]</w:t>
      </w:r>
      <w:r w:rsidRPr="000B673D">
        <w:rPr>
          <w:rFonts w:ascii="Aptos" w:hAnsi="Aptos"/>
        </w:rPr>
        <w:tab/>
        <w:t xml:space="preserve">K. Nam, H. W. Ryu, M. Y. Gim, and D. H. Kim, “Enhanced reactivity and stability in methane dehydro-aromatization over Mo/HZSM-5 physically mixed with NiO,” </w:t>
      </w:r>
      <w:r w:rsidRPr="000B673D">
        <w:rPr>
          <w:rFonts w:ascii="Aptos" w:hAnsi="Aptos"/>
          <w:i/>
          <w:iCs/>
        </w:rPr>
        <w:t>Appl. Catal. B Environ.</w:t>
      </w:r>
      <w:r w:rsidRPr="000B673D">
        <w:rPr>
          <w:rFonts w:ascii="Aptos" w:hAnsi="Aptos"/>
        </w:rPr>
        <w:t>, vol. 296, p. 120377, Nov. 2021, doi: 10.1016/j.apcatb.2021.120377.</w:t>
      </w:r>
    </w:p>
    <w:p w14:paraId="65D70237" w14:textId="77777777" w:rsidR="000B673D" w:rsidRPr="000B673D" w:rsidRDefault="000B673D" w:rsidP="000B673D">
      <w:pPr>
        <w:pStyle w:val="Bibliography"/>
        <w:rPr>
          <w:rFonts w:ascii="Aptos" w:hAnsi="Aptos"/>
        </w:rPr>
      </w:pPr>
      <w:r w:rsidRPr="000B673D">
        <w:rPr>
          <w:rFonts w:ascii="Aptos" w:hAnsi="Aptos"/>
        </w:rPr>
        <w:t>[40]</w:t>
      </w:r>
      <w:r w:rsidRPr="000B673D">
        <w:rPr>
          <w:rFonts w:ascii="Aptos" w:hAnsi="Aptos"/>
        </w:rPr>
        <w:tab/>
        <w:t>“Global Benzene Market Expected to See Strong Growth Fueled by Automotive, Construction, and Pharmaceutical Industries,” Yahoo Finance. Accessed: Dec. 09, 2023. [Online]. Available: https://finance.yahoo.com/news/global-benzene-market-expected-see-123300321.html</w:t>
      </w:r>
    </w:p>
    <w:p w14:paraId="047CF078" w14:textId="77777777" w:rsidR="000B673D" w:rsidRPr="000B673D" w:rsidRDefault="000B673D" w:rsidP="000B673D">
      <w:pPr>
        <w:pStyle w:val="Bibliography"/>
        <w:rPr>
          <w:rFonts w:ascii="Aptos" w:hAnsi="Aptos"/>
        </w:rPr>
      </w:pPr>
      <w:r w:rsidRPr="000B673D">
        <w:rPr>
          <w:rFonts w:ascii="Aptos" w:hAnsi="Aptos"/>
        </w:rPr>
        <w:t>[41]</w:t>
      </w:r>
      <w:r w:rsidRPr="000B673D">
        <w:rPr>
          <w:rFonts w:ascii="Aptos" w:hAnsi="Aptos"/>
        </w:rPr>
        <w:tab/>
        <w:t>K. Gao, “Methane Dehydro Aromatization: Thermodynamics, Catalysts, Kinetics, and Potential of Membrane Reactors,” Otto von Guericke University, Liaoning, China, 2015. Accessed: Dec. 11, 2023. [Online]. Available: https://d-nb.info/1078066469/34</w:t>
      </w:r>
    </w:p>
    <w:p w14:paraId="4821E211" w14:textId="77777777" w:rsidR="000B673D" w:rsidRPr="000B673D" w:rsidRDefault="000B673D" w:rsidP="000B673D">
      <w:pPr>
        <w:pStyle w:val="Bibliography"/>
        <w:rPr>
          <w:rFonts w:ascii="Aptos" w:hAnsi="Aptos"/>
        </w:rPr>
      </w:pPr>
      <w:r w:rsidRPr="000B673D">
        <w:rPr>
          <w:rFonts w:ascii="Aptos" w:hAnsi="Aptos"/>
        </w:rPr>
        <w:t>[42]</w:t>
      </w:r>
      <w:r w:rsidRPr="000B673D">
        <w:rPr>
          <w:rFonts w:ascii="Aptos" w:hAnsi="Aptos"/>
        </w:rPr>
        <w:tab/>
        <w:t xml:space="preserve">S. Han, D. J. Martenak, R. E. Palermo, J. A. Pearson, and D. E. Walsh, “The direct partial oxidation of methane to liquid hydrocarbons over HZSM-5 zeolite catalyst,” </w:t>
      </w:r>
      <w:r w:rsidRPr="000B673D">
        <w:rPr>
          <w:rFonts w:ascii="Aptos" w:hAnsi="Aptos"/>
          <w:i/>
          <w:iCs/>
        </w:rPr>
        <w:t>J. Catal.</w:t>
      </w:r>
      <w:r w:rsidRPr="000B673D">
        <w:rPr>
          <w:rFonts w:ascii="Aptos" w:hAnsi="Aptos"/>
        </w:rPr>
        <w:t>, vol. 136, no. 2, pp. 578–583, Aug. 1992, doi: 10.1016/0021-9517(92)90087-X.</w:t>
      </w:r>
    </w:p>
    <w:p w14:paraId="56EA8209" w14:textId="77777777" w:rsidR="000B673D" w:rsidRPr="000B673D" w:rsidRDefault="000B673D" w:rsidP="000B673D">
      <w:pPr>
        <w:pStyle w:val="Bibliography"/>
        <w:rPr>
          <w:rFonts w:ascii="Aptos" w:hAnsi="Aptos"/>
        </w:rPr>
      </w:pPr>
      <w:r w:rsidRPr="000B673D">
        <w:rPr>
          <w:rFonts w:ascii="Aptos" w:hAnsi="Aptos"/>
        </w:rPr>
        <w:t>[43]</w:t>
      </w:r>
      <w:r w:rsidRPr="000B673D">
        <w:rPr>
          <w:rFonts w:ascii="Aptos" w:hAnsi="Aptos"/>
        </w:rPr>
        <w:tab/>
        <w:t xml:space="preserve">L. Wang, L. Tao, M. Xie, G. Xu, J. Huang, and Y. Xu, “Dehydrogenation and aromatization of methane under non-oxidizing conditions,” </w:t>
      </w:r>
      <w:r w:rsidRPr="000B673D">
        <w:rPr>
          <w:rFonts w:ascii="Aptos" w:hAnsi="Aptos"/>
          <w:i/>
          <w:iCs/>
        </w:rPr>
        <w:t>Catal. Lett.</w:t>
      </w:r>
      <w:r w:rsidRPr="000B673D">
        <w:rPr>
          <w:rFonts w:ascii="Aptos" w:hAnsi="Aptos"/>
        </w:rPr>
        <w:t>, vol. 21, no. 1, pp. 35–41, Mar. 1993, doi: 10.1007/BF00767368.</w:t>
      </w:r>
    </w:p>
    <w:p w14:paraId="7D8B87A1" w14:textId="77777777" w:rsidR="000B673D" w:rsidRPr="000B673D" w:rsidRDefault="000B673D" w:rsidP="000B673D">
      <w:pPr>
        <w:pStyle w:val="Bibliography"/>
        <w:rPr>
          <w:rFonts w:ascii="Aptos" w:hAnsi="Aptos"/>
        </w:rPr>
      </w:pPr>
      <w:r w:rsidRPr="000B673D">
        <w:rPr>
          <w:rFonts w:ascii="Aptos" w:hAnsi="Aptos"/>
        </w:rPr>
        <w:t>[44]</w:t>
      </w:r>
      <w:r w:rsidRPr="000B673D">
        <w:rPr>
          <w:rFonts w:ascii="Aptos" w:hAnsi="Aptos"/>
        </w:rPr>
        <w:tab/>
        <w:t xml:space="preserve">N. Kosinov and E. J. M. Hensen, “Reactivity, Selectivity, and Stability of Zeolite-Based Catalysts for Methane Dehydroaromatization,” </w:t>
      </w:r>
      <w:r w:rsidRPr="000B673D">
        <w:rPr>
          <w:rFonts w:ascii="Aptos" w:hAnsi="Aptos"/>
          <w:i/>
          <w:iCs/>
        </w:rPr>
        <w:t>Adv. Mater.</w:t>
      </w:r>
      <w:r w:rsidRPr="000B673D">
        <w:rPr>
          <w:rFonts w:ascii="Aptos" w:hAnsi="Aptos"/>
        </w:rPr>
        <w:t>, vol. 32, no. 44, p. 2002565, 2020, doi: 10.1002/adma.202002565.</w:t>
      </w:r>
    </w:p>
    <w:p w14:paraId="6CDF2F0F" w14:textId="77777777" w:rsidR="000B673D" w:rsidRPr="000B673D" w:rsidRDefault="000B673D" w:rsidP="000B673D">
      <w:pPr>
        <w:pStyle w:val="Bibliography"/>
        <w:rPr>
          <w:rFonts w:ascii="Aptos" w:hAnsi="Aptos"/>
        </w:rPr>
      </w:pPr>
      <w:r w:rsidRPr="000B673D">
        <w:rPr>
          <w:rFonts w:ascii="Aptos" w:hAnsi="Aptos"/>
        </w:rPr>
        <w:t>[45]</w:t>
      </w:r>
      <w:r w:rsidRPr="000B673D">
        <w:rPr>
          <w:rFonts w:ascii="Aptos" w:hAnsi="Aptos"/>
        </w:rPr>
        <w:tab/>
        <w:t xml:space="preserve">V. Fila, M. Bernauer, B. Bernauer, and Z. Sobalik, “Effect of addition of a second metal in Mo/ZSM-5 catalyst for methane aromatization reaction under elevated pressures,” </w:t>
      </w:r>
      <w:r w:rsidRPr="000B673D">
        <w:rPr>
          <w:rFonts w:ascii="Aptos" w:hAnsi="Aptos"/>
          <w:i/>
          <w:iCs/>
        </w:rPr>
        <w:t>Catal. Today</w:t>
      </w:r>
      <w:r w:rsidRPr="000B673D">
        <w:rPr>
          <w:rFonts w:ascii="Aptos" w:hAnsi="Aptos"/>
        </w:rPr>
        <w:t>, vol. 256, pp. 269–275, Nov. 2015, doi: 10.1016/j.cattod.2015.02.035.</w:t>
      </w:r>
    </w:p>
    <w:p w14:paraId="491D5127" w14:textId="77777777" w:rsidR="000B673D" w:rsidRPr="000B673D" w:rsidRDefault="000B673D" w:rsidP="000B673D">
      <w:pPr>
        <w:pStyle w:val="Bibliography"/>
        <w:rPr>
          <w:rFonts w:ascii="Aptos" w:hAnsi="Aptos"/>
        </w:rPr>
      </w:pPr>
      <w:r w:rsidRPr="000B673D">
        <w:rPr>
          <w:rFonts w:ascii="Aptos" w:hAnsi="Aptos"/>
        </w:rPr>
        <w:t>[46]</w:t>
      </w:r>
      <w:r w:rsidRPr="000B673D">
        <w:rPr>
          <w:rFonts w:ascii="Aptos" w:hAnsi="Aptos"/>
        </w:rPr>
        <w:tab/>
        <w:t>R. Nithyanandam, Y. K. Mun, T. S. Fong, T. C. Siew, O. S. Yee, and N. Ismail, “Review on Production of Benzene from Petroleum Associated Gas by Dehydroaromatization, Partial Oxidation on Methane and Methanol-to-Aromatics Processes,” 2019. Accessed: Oct. 18, 2023. [Online]. Available: https://www.semanticscholar.org/paper/REVIEW-ON-PRODUCTION-OF-BENZENE-FROM-PETROLEUM-GAS-Nithyanandam-Mun/4fd0aff1b350c48b541f0c50b507f6c4965c278c</w:t>
      </w:r>
    </w:p>
    <w:p w14:paraId="04BF2501" w14:textId="77777777" w:rsidR="000B673D" w:rsidRPr="000B673D" w:rsidRDefault="000B673D" w:rsidP="000B673D">
      <w:pPr>
        <w:pStyle w:val="Bibliography"/>
        <w:rPr>
          <w:rFonts w:ascii="Aptos" w:hAnsi="Aptos"/>
        </w:rPr>
      </w:pPr>
      <w:r w:rsidRPr="000B673D">
        <w:rPr>
          <w:rFonts w:ascii="Aptos" w:hAnsi="Aptos"/>
        </w:rPr>
        <w:t>[47]</w:t>
      </w:r>
      <w:r w:rsidRPr="000B673D">
        <w:rPr>
          <w:rFonts w:ascii="Aptos" w:hAnsi="Aptos"/>
        </w:rPr>
        <w:tab/>
        <w:t xml:space="preserve">J. Guo, H. Lou, and X. Zheng, “Energy-Efficient coaromatization of methane and propane,” </w:t>
      </w:r>
      <w:r w:rsidRPr="000B673D">
        <w:rPr>
          <w:rFonts w:ascii="Aptos" w:hAnsi="Aptos"/>
          <w:i/>
          <w:iCs/>
        </w:rPr>
        <w:t>J. Nat. Gas Chem.</w:t>
      </w:r>
      <w:r w:rsidRPr="000B673D">
        <w:rPr>
          <w:rFonts w:ascii="Aptos" w:hAnsi="Aptos"/>
        </w:rPr>
        <w:t>, vol. 18, no. 3, pp. 260–272, Sep. 2009, doi: 10.1016/S1003-9953(08)60127-9.</w:t>
      </w:r>
    </w:p>
    <w:p w14:paraId="33FB570E" w14:textId="77777777" w:rsidR="000B673D" w:rsidRPr="000B673D" w:rsidRDefault="000B673D" w:rsidP="000B673D">
      <w:pPr>
        <w:pStyle w:val="Bibliography"/>
        <w:rPr>
          <w:rFonts w:ascii="Aptos" w:hAnsi="Aptos"/>
        </w:rPr>
      </w:pPr>
      <w:r w:rsidRPr="000B673D">
        <w:rPr>
          <w:rFonts w:ascii="Aptos" w:hAnsi="Aptos"/>
        </w:rPr>
        <w:t>[48]</w:t>
      </w:r>
      <w:r w:rsidRPr="000B673D">
        <w:rPr>
          <w:rFonts w:ascii="Aptos" w:hAnsi="Aptos"/>
        </w:rPr>
        <w:tab/>
        <w:t xml:space="preserve">X. Guo </w:t>
      </w:r>
      <w:r w:rsidRPr="000B673D">
        <w:rPr>
          <w:rFonts w:ascii="Aptos" w:hAnsi="Aptos"/>
          <w:i/>
          <w:iCs/>
        </w:rPr>
        <w:t>et al.</w:t>
      </w:r>
      <w:r w:rsidRPr="000B673D">
        <w:rPr>
          <w:rFonts w:ascii="Aptos" w:hAnsi="Aptos"/>
        </w:rPr>
        <w:t xml:space="preserve">, “Direct, Nonoxidative Conversion of Methane to Ethylene, Aromatics, and Hydrogen,” </w:t>
      </w:r>
      <w:r w:rsidRPr="000B673D">
        <w:rPr>
          <w:rFonts w:ascii="Aptos" w:hAnsi="Aptos"/>
          <w:i/>
          <w:iCs/>
        </w:rPr>
        <w:t>Science</w:t>
      </w:r>
      <w:r w:rsidRPr="000B673D">
        <w:rPr>
          <w:rFonts w:ascii="Aptos" w:hAnsi="Aptos"/>
        </w:rPr>
        <w:t>, vol. 344, no. 6184, pp. 616–619, May 2014, doi: 10.1126/science.1253150.</w:t>
      </w:r>
    </w:p>
    <w:p w14:paraId="4C4776B2" w14:textId="77777777" w:rsidR="000B673D" w:rsidRPr="000B673D" w:rsidRDefault="000B673D" w:rsidP="000B673D">
      <w:pPr>
        <w:pStyle w:val="Bibliography"/>
        <w:rPr>
          <w:rFonts w:ascii="Aptos" w:hAnsi="Aptos"/>
        </w:rPr>
      </w:pPr>
      <w:r w:rsidRPr="000B673D">
        <w:rPr>
          <w:rFonts w:ascii="Aptos" w:hAnsi="Aptos"/>
        </w:rPr>
        <w:t>[49]</w:t>
      </w:r>
      <w:r w:rsidRPr="000B673D">
        <w:rPr>
          <w:rFonts w:ascii="Aptos" w:hAnsi="Aptos"/>
        </w:rPr>
        <w:tab/>
        <w:t xml:space="preserve">H. Song, J. Jarvis, S. Meng, H. Xu, Z. Li, and W. Li, “Direct Systems: Methane Dehydroaromatization (MDA) and the Oxidative Coupling of Methane (OCM),” in </w:t>
      </w:r>
      <w:r w:rsidRPr="000B673D">
        <w:rPr>
          <w:rFonts w:ascii="Aptos" w:hAnsi="Aptos"/>
          <w:i/>
          <w:iCs/>
        </w:rPr>
        <w:t>Methane Activation and Utilization in the Petrochemical and Biofuel Industries</w:t>
      </w:r>
      <w:r w:rsidRPr="000B673D">
        <w:rPr>
          <w:rFonts w:ascii="Aptos" w:hAnsi="Aptos"/>
        </w:rPr>
        <w:t>, H. Song, J. Jarvis, S. Meng, H. Xu, Z. Li, and W. Li, Eds., Cham: Springer International Publishing, 2022, pp. 43–69. doi: 10.1007/978-3-030-88424-6_3.</w:t>
      </w:r>
    </w:p>
    <w:p w14:paraId="6CA176DC" w14:textId="77777777" w:rsidR="000B673D" w:rsidRPr="000B673D" w:rsidRDefault="000B673D" w:rsidP="000B673D">
      <w:pPr>
        <w:pStyle w:val="Bibliography"/>
        <w:rPr>
          <w:rFonts w:ascii="Aptos" w:hAnsi="Aptos"/>
        </w:rPr>
      </w:pPr>
      <w:r w:rsidRPr="000B673D">
        <w:rPr>
          <w:rFonts w:ascii="Aptos" w:hAnsi="Aptos"/>
        </w:rPr>
        <w:t>[50]</w:t>
      </w:r>
      <w:r w:rsidRPr="000B673D">
        <w:rPr>
          <w:rFonts w:ascii="Aptos" w:hAnsi="Aptos"/>
        </w:rPr>
        <w:tab/>
        <w:t xml:space="preserve">Y. Liu </w:t>
      </w:r>
      <w:r w:rsidRPr="000B673D">
        <w:rPr>
          <w:rFonts w:ascii="Aptos" w:hAnsi="Aptos"/>
          <w:i/>
          <w:iCs/>
        </w:rPr>
        <w:t>et al.</w:t>
      </w:r>
      <w:r w:rsidRPr="000B673D">
        <w:rPr>
          <w:rFonts w:ascii="Aptos" w:hAnsi="Aptos"/>
        </w:rPr>
        <w:t xml:space="preserve">, “Understanding the Preparation and Reactivity of Mo/ZSM-5 Methane Dehydroaromatization Catalysts,” </w:t>
      </w:r>
      <w:r w:rsidRPr="000B673D">
        <w:rPr>
          <w:rFonts w:ascii="Aptos" w:hAnsi="Aptos"/>
          <w:i/>
          <w:iCs/>
        </w:rPr>
        <w:t>Chem. – Eur. J.</w:t>
      </w:r>
      <w:r w:rsidRPr="000B673D">
        <w:rPr>
          <w:rFonts w:ascii="Aptos" w:hAnsi="Aptos"/>
        </w:rPr>
        <w:t>, vol. 28, no. 5, p. e202103894, 2022, doi: 10.1002/chem.202103894.</w:t>
      </w:r>
    </w:p>
    <w:p w14:paraId="0959BADB" w14:textId="77777777" w:rsidR="000B673D" w:rsidRPr="000B673D" w:rsidRDefault="000B673D" w:rsidP="000B673D">
      <w:pPr>
        <w:pStyle w:val="Bibliography"/>
        <w:rPr>
          <w:rFonts w:ascii="Aptos" w:hAnsi="Aptos"/>
        </w:rPr>
      </w:pPr>
      <w:r w:rsidRPr="000B673D">
        <w:rPr>
          <w:rFonts w:ascii="Aptos" w:hAnsi="Aptos"/>
        </w:rPr>
        <w:t>[51]</w:t>
      </w:r>
      <w:r w:rsidRPr="000B673D">
        <w:rPr>
          <w:rFonts w:ascii="Aptos" w:hAnsi="Aptos"/>
        </w:rPr>
        <w:tab/>
        <w:t xml:space="preserve">N. K. Razdan, A. Kumar, B. L. Foley, and A. Bhan, “Influence of ethylene and acetylene on the rate and reversibility of methane dehydroaromatization on Mo/H-ZSM-5 catalysts,” </w:t>
      </w:r>
      <w:r w:rsidRPr="000B673D">
        <w:rPr>
          <w:rFonts w:ascii="Aptos" w:hAnsi="Aptos"/>
          <w:i/>
          <w:iCs/>
        </w:rPr>
        <w:t>J. Catal.</w:t>
      </w:r>
      <w:r w:rsidRPr="000B673D">
        <w:rPr>
          <w:rFonts w:ascii="Aptos" w:hAnsi="Aptos"/>
        </w:rPr>
        <w:t>, vol. 381, pp. 261–270, Jan. 2020, doi: 10.1016/j.jcat.2019.11.004.</w:t>
      </w:r>
    </w:p>
    <w:p w14:paraId="52620A72" w14:textId="77777777" w:rsidR="000B673D" w:rsidRPr="000B673D" w:rsidRDefault="000B673D" w:rsidP="000B673D">
      <w:pPr>
        <w:pStyle w:val="Bibliography"/>
        <w:rPr>
          <w:rFonts w:ascii="Aptos" w:hAnsi="Aptos"/>
        </w:rPr>
      </w:pPr>
      <w:r w:rsidRPr="000B673D">
        <w:rPr>
          <w:rFonts w:ascii="Aptos" w:hAnsi="Aptos"/>
        </w:rPr>
        <w:t>[52]</w:t>
      </w:r>
      <w:r w:rsidRPr="000B673D">
        <w:rPr>
          <w:rFonts w:ascii="Aptos" w:hAnsi="Aptos"/>
        </w:rPr>
        <w:tab/>
        <w:t xml:space="preserve">N. Kosinov, E. A. Uslamin, F. J. A. G. Coumans, A. S. G. Wijpkema, R. Y. Rohling, and E. J. M. Hensen, “Structure and Evolution of Confined Carbon Species during Methane Dehydroaromatization over Mo/ZSM-5,” </w:t>
      </w:r>
      <w:r w:rsidRPr="000B673D">
        <w:rPr>
          <w:rFonts w:ascii="Aptos" w:hAnsi="Aptos"/>
          <w:i/>
          <w:iCs/>
        </w:rPr>
        <w:t>ACS Catal.</w:t>
      </w:r>
      <w:r w:rsidRPr="000B673D">
        <w:rPr>
          <w:rFonts w:ascii="Aptos" w:hAnsi="Aptos"/>
        </w:rPr>
        <w:t>, vol. 8, no. 9, pp. 8459–8467, Sep. 2018, doi: 10.1021/acscatal.8b02491.</w:t>
      </w:r>
    </w:p>
    <w:p w14:paraId="16379BAC" w14:textId="77777777" w:rsidR="000B673D" w:rsidRPr="000B673D" w:rsidRDefault="000B673D" w:rsidP="000B673D">
      <w:pPr>
        <w:pStyle w:val="Bibliography"/>
        <w:rPr>
          <w:rFonts w:ascii="Aptos" w:hAnsi="Aptos"/>
        </w:rPr>
      </w:pPr>
      <w:r w:rsidRPr="000B673D">
        <w:rPr>
          <w:rFonts w:ascii="Aptos" w:hAnsi="Aptos"/>
        </w:rPr>
        <w:t>[53]</w:t>
      </w:r>
      <w:r w:rsidRPr="000B673D">
        <w:rPr>
          <w:rFonts w:ascii="Aptos" w:hAnsi="Aptos"/>
        </w:rPr>
        <w:tab/>
        <w:t xml:space="preserve">N. Kosinov </w:t>
      </w:r>
      <w:r w:rsidRPr="000B673D">
        <w:rPr>
          <w:rFonts w:ascii="Aptos" w:hAnsi="Aptos"/>
          <w:i/>
          <w:iCs/>
        </w:rPr>
        <w:t>et al.</w:t>
      </w:r>
      <w:r w:rsidRPr="000B673D">
        <w:rPr>
          <w:rFonts w:ascii="Aptos" w:hAnsi="Aptos"/>
        </w:rPr>
        <w:t xml:space="preserve">, “Confined Carbon Mediating Dehydroaromatization of Methane over Mo/ZSM-5,” </w:t>
      </w:r>
      <w:r w:rsidRPr="000B673D">
        <w:rPr>
          <w:rFonts w:ascii="Aptos" w:hAnsi="Aptos"/>
          <w:i/>
          <w:iCs/>
        </w:rPr>
        <w:t>Angew. Chem. Int. Ed.</w:t>
      </w:r>
      <w:r w:rsidRPr="000B673D">
        <w:rPr>
          <w:rFonts w:ascii="Aptos" w:hAnsi="Aptos"/>
        </w:rPr>
        <w:t>, vol. 57, no. 4, pp. 1016–1020, 2018, doi: 10.1002/anie.201711098.</w:t>
      </w:r>
    </w:p>
    <w:p w14:paraId="6E5BCA4E" w14:textId="77777777" w:rsidR="000B673D" w:rsidRPr="000B673D" w:rsidRDefault="000B673D" w:rsidP="000B673D">
      <w:pPr>
        <w:pStyle w:val="Bibliography"/>
        <w:rPr>
          <w:rFonts w:ascii="Aptos" w:hAnsi="Aptos"/>
        </w:rPr>
      </w:pPr>
      <w:r w:rsidRPr="000B673D">
        <w:rPr>
          <w:rFonts w:ascii="Aptos" w:hAnsi="Aptos"/>
        </w:rPr>
        <w:t>[54]</w:t>
      </w:r>
      <w:r w:rsidRPr="000B673D">
        <w:rPr>
          <w:rFonts w:ascii="Aptos" w:hAnsi="Aptos"/>
        </w:rPr>
        <w:tab/>
        <w:t xml:space="preserve">K. Skutil and M. Taniewski, “Some technological aspects of methane aromatization (direct and via oxidative coupling),” </w:t>
      </w:r>
      <w:r w:rsidRPr="000B673D">
        <w:rPr>
          <w:rFonts w:ascii="Aptos" w:hAnsi="Aptos"/>
          <w:i/>
          <w:iCs/>
        </w:rPr>
        <w:t>Fuel Process. Technol.</w:t>
      </w:r>
      <w:r w:rsidRPr="000B673D">
        <w:rPr>
          <w:rFonts w:ascii="Aptos" w:hAnsi="Aptos"/>
        </w:rPr>
        <w:t>, vol. 87, no. 6, pp. 511–521, Jun. 2006, doi: 10.1016/j.fuproc.2005.12.001.</w:t>
      </w:r>
    </w:p>
    <w:p w14:paraId="526D14B6" w14:textId="77777777" w:rsidR="000B673D" w:rsidRPr="000B673D" w:rsidRDefault="000B673D" w:rsidP="000B673D">
      <w:pPr>
        <w:pStyle w:val="Bibliography"/>
        <w:rPr>
          <w:rFonts w:ascii="Aptos" w:hAnsi="Aptos"/>
        </w:rPr>
      </w:pPr>
      <w:r w:rsidRPr="000B673D">
        <w:rPr>
          <w:rFonts w:ascii="Aptos" w:hAnsi="Aptos"/>
        </w:rPr>
        <w:t>[55]</w:t>
      </w:r>
      <w:r w:rsidRPr="000B673D">
        <w:rPr>
          <w:rFonts w:ascii="Aptos" w:hAnsi="Aptos"/>
        </w:rPr>
        <w:tab/>
        <w:t xml:space="preserve">N. Kosinov and E. J. M. Hensen, “Reactivity, Selectivity, and Stability of Zeolite-Based Catalysts for Methane Dehydroaromatization,” </w:t>
      </w:r>
      <w:r w:rsidRPr="000B673D">
        <w:rPr>
          <w:rFonts w:ascii="Aptos" w:hAnsi="Aptos"/>
          <w:i/>
          <w:iCs/>
        </w:rPr>
        <w:t>Adv. Mater.</w:t>
      </w:r>
      <w:r w:rsidRPr="000B673D">
        <w:rPr>
          <w:rFonts w:ascii="Aptos" w:hAnsi="Aptos"/>
        </w:rPr>
        <w:t>, vol. 32, no. 44, p. 2002565, 2020, doi: 10.1002/adma.202002565.</w:t>
      </w:r>
    </w:p>
    <w:p w14:paraId="3DC0660E" w14:textId="77777777" w:rsidR="000B673D" w:rsidRPr="000B673D" w:rsidRDefault="000B673D" w:rsidP="000B673D">
      <w:pPr>
        <w:pStyle w:val="Bibliography"/>
        <w:rPr>
          <w:rFonts w:ascii="Aptos" w:hAnsi="Aptos"/>
        </w:rPr>
      </w:pPr>
      <w:r w:rsidRPr="000B673D">
        <w:rPr>
          <w:rFonts w:ascii="Aptos" w:hAnsi="Aptos"/>
        </w:rPr>
        <w:t>[56]</w:t>
      </w:r>
      <w:r w:rsidRPr="000B673D">
        <w:rPr>
          <w:rFonts w:ascii="Aptos" w:hAnsi="Aptos"/>
        </w:rPr>
        <w:tab/>
        <w:t xml:space="preserve">L. Y. Chen, L. W. Lin, Z. S. Xu, X. S. Li, and T. Zhang, “Dehydro-oligomerization of Methane to Ethylene and Aromatics over Molybdenum/HZSM-5 Catalyst,” </w:t>
      </w:r>
      <w:r w:rsidRPr="000B673D">
        <w:rPr>
          <w:rFonts w:ascii="Aptos" w:hAnsi="Aptos"/>
          <w:i/>
          <w:iCs/>
        </w:rPr>
        <w:t>J. Catal.</w:t>
      </w:r>
      <w:r w:rsidRPr="000B673D">
        <w:rPr>
          <w:rFonts w:ascii="Aptos" w:hAnsi="Aptos"/>
        </w:rPr>
        <w:t>, vol. 157, no. 1, pp. 190–200, Nov. 1995, doi: 10.1006/jcat.1995.1279.</w:t>
      </w:r>
    </w:p>
    <w:p w14:paraId="1917FC0F" w14:textId="77777777" w:rsidR="000B673D" w:rsidRPr="000B673D" w:rsidRDefault="000B673D" w:rsidP="000B673D">
      <w:pPr>
        <w:pStyle w:val="Bibliography"/>
        <w:rPr>
          <w:rFonts w:ascii="Aptos" w:hAnsi="Aptos"/>
        </w:rPr>
      </w:pPr>
      <w:r w:rsidRPr="000B673D">
        <w:rPr>
          <w:rFonts w:ascii="Aptos" w:hAnsi="Aptos"/>
        </w:rPr>
        <w:t>[57]</w:t>
      </w:r>
      <w:r w:rsidRPr="000B673D">
        <w:rPr>
          <w:rFonts w:ascii="Aptos" w:hAnsi="Aptos"/>
        </w:rPr>
        <w:tab/>
        <w:t xml:space="preserve">E. C. Corredor, P. Chitta, and M. D. Deo, “Techno-economic evaluation of a process for direct conversion of methane to aromatics,” </w:t>
      </w:r>
      <w:r w:rsidRPr="000B673D">
        <w:rPr>
          <w:rFonts w:ascii="Aptos" w:hAnsi="Aptos"/>
          <w:i/>
          <w:iCs/>
        </w:rPr>
        <w:t>Fuel Process. Technol.</w:t>
      </w:r>
      <w:r w:rsidRPr="000B673D">
        <w:rPr>
          <w:rFonts w:ascii="Aptos" w:hAnsi="Aptos"/>
        </w:rPr>
        <w:t>, vol. 183, pp. 55–61, Jan. 2019, doi: 10.1016/j.fuproc.2018.05.038.</w:t>
      </w:r>
    </w:p>
    <w:p w14:paraId="482D7E2D" w14:textId="77777777" w:rsidR="000B673D" w:rsidRPr="000B673D" w:rsidRDefault="000B673D" w:rsidP="000B673D">
      <w:pPr>
        <w:pStyle w:val="Bibliography"/>
        <w:rPr>
          <w:rFonts w:ascii="Aptos" w:hAnsi="Aptos"/>
        </w:rPr>
      </w:pPr>
      <w:r w:rsidRPr="000B673D">
        <w:rPr>
          <w:rFonts w:ascii="Aptos" w:hAnsi="Aptos"/>
        </w:rPr>
        <w:t>[58]</w:t>
      </w:r>
      <w:r w:rsidRPr="000B673D">
        <w:rPr>
          <w:rFonts w:ascii="Aptos" w:hAnsi="Aptos"/>
        </w:rPr>
        <w:tab/>
        <w:t xml:space="preserve">E. C. Corredor, P. Chitta, and M. Deo, “Membrane reactor system model for gas conversion to benzene,” </w:t>
      </w:r>
      <w:r w:rsidRPr="000B673D">
        <w:rPr>
          <w:rFonts w:ascii="Aptos" w:hAnsi="Aptos"/>
          <w:i/>
          <w:iCs/>
        </w:rPr>
        <w:t>Fuel</w:t>
      </w:r>
      <w:r w:rsidRPr="000B673D">
        <w:rPr>
          <w:rFonts w:ascii="Aptos" w:hAnsi="Aptos"/>
        </w:rPr>
        <w:t>, vol. 179, pp. 202–209, Sep. 2016, doi: 10.1016/j.fuel.2016.03.073.</w:t>
      </w:r>
    </w:p>
    <w:p w14:paraId="144E5D11" w14:textId="77777777" w:rsidR="000B673D" w:rsidRPr="000B673D" w:rsidRDefault="000B673D" w:rsidP="000B673D">
      <w:pPr>
        <w:pStyle w:val="Bibliography"/>
        <w:rPr>
          <w:rFonts w:ascii="Aptos" w:hAnsi="Aptos"/>
        </w:rPr>
      </w:pPr>
      <w:r w:rsidRPr="000B673D">
        <w:rPr>
          <w:rFonts w:ascii="Aptos" w:hAnsi="Aptos"/>
        </w:rPr>
        <w:t>[59]</w:t>
      </w:r>
      <w:r w:rsidRPr="000B673D">
        <w:rPr>
          <w:rFonts w:ascii="Aptos" w:hAnsi="Aptos"/>
        </w:rPr>
        <w:tab/>
        <w:t xml:space="preserve">L. Li, R. W. Borry, and E. Iglesia, “Reaction-transport simulations of non-oxidative methane conversion with continuous hydrogen removal — homogeneous–heterogeneous reaction pathways,” </w:t>
      </w:r>
      <w:r w:rsidRPr="000B673D">
        <w:rPr>
          <w:rFonts w:ascii="Aptos" w:hAnsi="Aptos"/>
          <w:i/>
          <w:iCs/>
        </w:rPr>
        <w:t>Chem. Eng. Sci.</w:t>
      </w:r>
      <w:r w:rsidRPr="000B673D">
        <w:rPr>
          <w:rFonts w:ascii="Aptos" w:hAnsi="Aptos"/>
        </w:rPr>
        <w:t>, vol. 56, no. 5, pp. 1869–1881, Mar. 2001, doi: 10.1016/S0009-2509(00)00465-6.</w:t>
      </w:r>
    </w:p>
    <w:p w14:paraId="1D550B0D" w14:textId="77777777" w:rsidR="000B673D" w:rsidRPr="000B673D" w:rsidRDefault="000B673D" w:rsidP="000B673D">
      <w:pPr>
        <w:pStyle w:val="Bibliography"/>
        <w:rPr>
          <w:rFonts w:ascii="Aptos" w:hAnsi="Aptos"/>
        </w:rPr>
      </w:pPr>
      <w:r w:rsidRPr="000B673D">
        <w:rPr>
          <w:rFonts w:ascii="Aptos" w:hAnsi="Aptos"/>
        </w:rPr>
        <w:t>[60]</w:t>
      </w:r>
      <w:r w:rsidRPr="000B673D">
        <w:rPr>
          <w:rFonts w:ascii="Aptos" w:hAnsi="Aptos"/>
        </w:rPr>
        <w:tab/>
        <w:t xml:space="preserve">I. Vollmer, E. Abou-Hamad, J. Gascon, and F. Kapteijn, “Aromatization of Ethylene – Main Intermediate for MDA?,” </w:t>
      </w:r>
      <w:r w:rsidRPr="000B673D">
        <w:rPr>
          <w:rFonts w:ascii="Aptos" w:hAnsi="Aptos"/>
          <w:i/>
          <w:iCs/>
        </w:rPr>
        <w:t>ChemCatChem</w:t>
      </w:r>
      <w:r w:rsidRPr="000B673D">
        <w:rPr>
          <w:rFonts w:ascii="Aptos" w:hAnsi="Aptos"/>
        </w:rPr>
        <w:t>, vol. 12, no. 2, pp. 544–549, 2020, doi: 10.1002/cctc.201901655.</w:t>
      </w:r>
    </w:p>
    <w:p w14:paraId="6295BC33" w14:textId="77777777" w:rsidR="000B673D" w:rsidRPr="000B673D" w:rsidRDefault="000B673D" w:rsidP="000B673D">
      <w:pPr>
        <w:pStyle w:val="Bibliography"/>
        <w:rPr>
          <w:rFonts w:ascii="Aptos" w:hAnsi="Aptos"/>
        </w:rPr>
      </w:pPr>
      <w:r w:rsidRPr="000B673D">
        <w:rPr>
          <w:rFonts w:ascii="Aptos" w:hAnsi="Aptos"/>
        </w:rPr>
        <w:t>[61]</w:t>
      </w:r>
      <w:r w:rsidRPr="000B673D">
        <w:rPr>
          <w:rFonts w:ascii="Aptos" w:hAnsi="Aptos"/>
        </w:rPr>
        <w:tab/>
        <w:t xml:space="preserve">Y. Zhu, N. Al-ebbinni, R. Henney, C. Yi, and R. Barat, “Extension to multiple temperatures of a three-reaction global kinetic model for methane dehydroaromatization,” </w:t>
      </w:r>
      <w:r w:rsidRPr="000B673D">
        <w:rPr>
          <w:rFonts w:ascii="Aptos" w:hAnsi="Aptos"/>
          <w:i/>
          <w:iCs/>
        </w:rPr>
        <w:t>Chem. Eng. Sci.</w:t>
      </w:r>
      <w:r w:rsidRPr="000B673D">
        <w:rPr>
          <w:rFonts w:ascii="Aptos" w:hAnsi="Aptos"/>
        </w:rPr>
        <w:t>, vol. 177, pp. 132–138, Feb. 2018, doi: 10.1016/j.ces.2017.11.001.</w:t>
      </w:r>
    </w:p>
    <w:p w14:paraId="2561DF80" w14:textId="77777777" w:rsidR="000B673D" w:rsidRPr="000B673D" w:rsidRDefault="000B673D" w:rsidP="000B673D">
      <w:pPr>
        <w:pStyle w:val="Bibliography"/>
        <w:rPr>
          <w:rFonts w:ascii="Aptos" w:hAnsi="Aptos"/>
        </w:rPr>
      </w:pPr>
      <w:r w:rsidRPr="000B673D">
        <w:rPr>
          <w:rFonts w:ascii="Aptos" w:hAnsi="Aptos"/>
        </w:rPr>
        <w:t>[62]</w:t>
      </w:r>
      <w:r w:rsidRPr="000B673D">
        <w:rPr>
          <w:rFonts w:ascii="Aptos" w:hAnsi="Aptos"/>
        </w:rPr>
        <w:tab/>
        <w:t xml:space="preserve">K. S. Wong, J. W. Thybaut, E. Tangstad, M. W. Stöcker, and G. B. Marin, “Methane aromatisation based upon elementary steps: Kinetic and catalyst descriptors,” </w:t>
      </w:r>
      <w:r w:rsidRPr="000B673D">
        <w:rPr>
          <w:rFonts w:ascii="Aptos" w:hAnsi="Aptos"/>
          <w:i/>
          <w:iCs/>
        </w:rPr>
        <w:t>Microporous Mesoporous Mater.</w:t>
      </w:r>
      <w:r w:rsidRPr="000B673D">
        <w:rPr>
          <w:rFonts w:ascii="Aptos" w:hAnsi="Aptos"/>
        </w:rPr>
        <w:t>, vol. 164, pp. 302–312, Dec. 2012, doi: 10.1016/j.micromeso.2012.07.002.</w:t>
      </w:r>
    </w:p>
    <w:p w14:paraId="36C7E55A" w14:textId="77777777" w:rsidR="000B673D" w:rsidRPr="000B673D" w:rsidRDefault="000B673D" w:rsidP="000B673D">
      <w:pPr>
        <w:pStyle w:val="Bibliography"/>
        <w:rPr>
          <w:rFonts w:ascii="Aptos" w:hAnsi="Aptos"/>
        </w:rPr>
      </w:pPr>
      <w:r w:rsidRPr="000B673D">
        <w:rPr>
          <w:rFonts w:ascii="Aptos" w:hAnsi="Aptos"/>
        </w:rPr>
        <w:t>[63]</w:t>
      </w:r>
      <w:r w:rsidRPr="000B673D">
        <w:rPr>
          <w:rFonts w:ascii="Aptos" w:hAnsi="Aptos"/>
        </w:rPr>
        <w:tab/>
        <w:t>Z. Li, C. Kjølseth, S. H. Morejudo, and R. Haugsrud, “Numerical Simulations of Methane Aromatization with and without a Ceramic Hydrogen Separation Membrane,” presented at the 2012 COMSOL Conference in Milan, Oslo, Norway: COMSOL, 2012. Accessed: Dec. 11, 2023. [Online]. Available: https://www.comsol.com/paper/numerical-simulations-of-methane-aromatization-with-and-without-a-ceramic-hydrog-13307</w:t>
      </w:r>
    </w:p>
    <w:p w14:paraId="2DB67BD9" w14:textId="77777777" w:rsidR="000B673D" w:rsidRPr="000B673D" w:rsidRDefault="000B673D" w:rsidP="000B673D">
      <w:pPr>
        <w:pStyle w:val="Bibliography"/>
        <w:rPr>
          <w:rFonts w:ascii="Aptos" w:hAnsi="Aptos"/>
        </w:rPr>
      </w:pPr>
      <w:r w:rsidRPr="000B673D">
        <w:rPr>
          <w:rFonts w:ascii="Aptos" w:hAnsi="Aptos"/>
        </w:rPr>
        <w:t>[64]</w:t>
      </w:r>
      <w:r w:rsidRPr="000B673D">
        <w:rPr>
          <w:rFonts w:ascii="Aptos" w:hAnsi="Aptos"/>
        </w:rPr>
        <w:tab/>
        <w:t xml:space="preserve">J. Jeong, A. Hwang, Y. T. Kim, D.-Y. Hong, and M.-J. Park, “Kinetic modeling of methane dehydroaromatization over a Mo2C/H-ZSM5 catalyst: Different deactivation behaviors of the Mo2C and H-ZSM5 sites,” </w:t>
      </w:r>
      <w:r w:rsidRPr="000B673D">
        <w:rPr>
          <w:rFonts w:ascii="Aptos" w:hAnsi="Aptos"/>
          <w:i/>
          <w:iCs/>
        </w:rPr>
        <w:t>Catal. Today</w:t>
      </w:r>
      <w:r w:rsidRPr="000B673D">
        <w:rPr>
          <w:rFonts w:ascii="Aptos" w:hAnsi="Aptos"/>
        </w:rPr>
        <w:t>, vol. 352, pp. 140–147, Aug. 2020, doi: 10.1016/j.cattod.2019.09.002.</w:t>
      </w:r>
    </w:p>
    <w:p w14:paraId="4CB9F89E" w14:textId="77777777" w:rsidR="000B673D" w:rsidRPr="000B673D" w:rsidRDefault="000B673D" w:rsidP="000B673D">
      <w:pPr>
        <w:pStyle w:val="Bibliography"/>
        <w:rPr>
          <w:rFonts w:ascii="Aptos" w:hAnsi="Aptos"/>
        </w:rPr>
      </w:pPr>
      <w:r w:rsidRPr="000B673D">
        <w:rPr>
          <w:rFonts w:ascii="Aptos" w:hAnsi="Aptos"/>
        </w:rPr>
        <w:t>[65]</w:t>
      </w:r>
      <w:r w:rsidRPr="000B673D">
        <w:rPr>
          <w:rFonts w:ascii="Aptos" w:hAnsi="Aptos"/>
        </w:rPr>
        <w:tab/>
        <w:t xml:space="preserve">P. Zhu </w:t>
      </w:r>
      <w:r w:rsidRPr="000B673D">
        <w:rPr>
          <w:rFonts w:ascii="Aptos" w:hAnsi="Aptos"/>
          <w:i/>
          <w:iCs/>
        </w:rPr>
        <w:t>et al.</w:t>
      </w:r>
      <w:r w:rsidRPr="000B673D">
        <w:rPr>
          <w:rFonts w:ascii="Aptos" w:hAnsi="Aptos"/>
        </w:rPr>
        <w:t xml:space="preserve">, “Direct conversion of methane to aromatics and hydrogen via a heterogeneous trimetallic synergistic catalyst,” </w:t>
      </w:r>
      <w:r w:rsidRPr="000B673D">
        <w:rPr>
          <w:rFonts w:ascii="Aptos" w:hAnsi="Aptos"/>
          <w:i/>
          <w:iCs/>
        </w:rPr>
        <w:t>Nat. Commun.</w:t>
      </w:r>
      <w:r w:rsidRPr="000B673D">
        <w:rPr>
          <w:rFonts w:ascii="Aptos" w:hAnsi="Aptos"/>
        </w:rPr>
        <w:t>, vol. Accepted, 2024.</w:t>
      </w:r>
    </w:p>
    <w:p w14:paraId="15839580" w14:textId="77777777" w:rsidR="000B673D" w:rsidRPr="000B673D" w:rsidRDefault="000B673D" w:rsidP="000B673D">
      <w:pPr>
        <w:pStyle w:val="Bibliography"/>
        <w:rPr>
          <w:rFonts w:ascii="Aptos" w:hAnsi="Aptos"/>
        </w:rPr>
      </w:pPr>
      <w:r w:rsidRPr="000B673D">
        <w:rPr>
          <w:rFonts w:ascii="Aptos" w:hAnsi="Aptos"/>
        </w:rPr>
        <w:t>[66]</w:t>
      </w:r>
      <w:r w:rsidRPr="000B673D">
        <w:rPr>
          <w:rFonts w:ascii="Aptos" w:hAnsi="Aptos"/>
        </w:rPr>
        <w:tab/>
        <w:t xml:space="preserve">Z.-G. Zhang, “Process, reactor and catalyst design: Towards application of direct conversion of methane to aromatics under nonoxidative conditions,” </w:t>
      </w:r>
      <w:r w:rsidRPr="000B673D">
        <w:rPr>
          <w:rFonts w:ascii="Aptos" w:hAnsi="Aptos"/>
          <w:i/>
          <w:iCs/>
        </w:rPr>
        <w:t>Carbon Resour. Convers.</w:t>
      </w:r>
      <w:r w:rsidRPr="000B673D">
        <w:rPr>
          <w:rFonts w:ascii="Aptos" w:hAnsi="Aptos"/>
        </w:rPr>
        <w:t>, vol. 2, no. 3, pp. 157–174, Dec. 2019, doi: 10.1016/j.crcon.2019.07.001.</w:t>
      </w:r>
    </w:p>
    <w:p w14:paraId="740B09A4" w14:textId="77777777" w:rsidR="000B673D" w:rsidRPr="000B673D" w:rsidRDefault="000B673D" w:rsidP="000B673D">
      <w:pPr>
        <w:pStyle w:val="Bibliography"/>
        <w:rPr>
          <w:rFonts w:ascii="Aptos" w:hAnsi="Aptos"/>
        </w:rPr>
      </w:pPr>
      <w:r w:rsidRPr="000B673D">
        <w:rPr>
          <w:rFonts w:ascii="Aptos" w:hAnsi="Aptos"/>
        </w:rPr>
        <w:t>[67]</w:t>
      </w:r>
      <w:r w:rsidRPr="000B673D">
        <w:rPr>
          <w:rFonts w:ascii="Aptos" w:hAnsi="Aptos"/>
        </w:rPr>
        <w:tab/>
        <w:t xml:space="preserve">Z. Zhang, Y. Xu, Y. Song, H. Ma, and Y. Yamamoto, “NGU: Development of a two-bed circulating fluidized bed reactor system for nonoxidative aromatization of methane over Mo/HZSM-5 catalyst,” </w:t>
      </w:r>
      <w:r w:rsidRPr="000B673D">
        <w:rPr>
          <w:rFonts w:ascii="Aptos" w:hAnsi="Aptos"/>
          <w:i/>
          <w:iCs/>
        </w:rPr>
        <w:t>Environ. Prog. Sustain. Energy</w:t>
      </w:r>
      <w:r w:rsidRPr="000B673D">
        <w:rPr>
          <w:rFonts w:ascii="Aptos" w:hAnsi="Aptos"/>
        </w:rPr>
        <w:t>, vol. 35, no. 2, pp. 325–333, 2016, doi: 10.1002/ep.12287.</w:t>
      </w:r>
    </w:p>
    <w:p w14:paraId="667DD6FB" w14:textId="77777777" w:rsidR="000B673D" w:rsidRPr="000B673D" w:rsidRDefault="000B673D" w:rsidP="000B673D">
      <w:pPr>
        <w:pStyle w:val="Bibliography"/>
        <w:rPr>
          <w:rFonts w:ascii="Aptos" w:hAnsi="Aptos"/>
        </w:rPr>
      </w:pPr>
      <w:r w:rsidRPr="000B673D">
        <w:rPr>
          <w:rFonts w:ascii="Aptos" w:hAnsi="Aptos"/>
        </w:rPr>
        <w:t>[68]</w:t>
      </w:r>
      <w:r w:rsidRPr="000B673D">
        <w:rPr>
          <w:rFonts w:ascii="Aptos" w:hAnsi="Aptos"/>
        </w:rPr>
        <w:tab/>
        <w:t xml:space="preserve">A. Galadima and O. Muraza, “Advances in Catalyst Design for the Conversion of Methane to Aromatics: A Critical Review,” </w:t>
      </w:r>
      <w:r w:rsidRPr="000B673D">
        <w:rPr>
          <w:rFonts w:ascii="Aptos" w:hAnsi="Aptos"/>
          <w:i/>
          <w:iCs/>
        </w:rPr>
        <w:t>Catal. Surv. Asia</w:t>
      </w:r>
      <w:r w:rsidRPr="000B673D">
        <w:rPr>
          <w:rFonts w:ascii="Aptos" w:hAnsi="Aptos"/>
        </w:rPr>
        <w:t>, vol. 23, no. 3, pp. 149–170, Sep. 2019, doi: 10.1007/s10563-018-9262-5.</w:t>
      </w:r>
    </w:p>
    <w:p w14:paraId="04AD4583" w14:textId="77777777" w:rsidR="000B673D" w:rsidRPr="000B673D" w:rsidRDefault="000B673D" w:rsidP="000B673D">
      <w:pPr>
        <w:pStyle w:val="Bibliography"/>
        <w:rPr>
          <w:rFonts w:ascii="Aptos" w:hAnsi="Aptos"/>
        </w:rPr>
      </w:pPr>
      <w:r w:rsidRPr="000B673D">
        <w:rPr>
          <w:rFonts w:ascii="Aptos" w:hAnsi="Aptos"/>
        </w:rPr>
        <w:t>[69]</w:t>
      </w:r>
      <w:r w:rsidRPr="000B673D">
        <w:rPr>
          <w:rFonts w:ascii="Aptos" w:hAnsi="Aptos"/>
        </w:rPr>
        <w:tab/>
        <w:t xml:space="preserve">Y. Xu, J. Lu, Y. Suzuki, Z.-G. Zhang, H. Ma, and Y. Yamamoto, “Performance of a binder-free, spherical-shaped Mo/HZSM-5 catalyst in the non-oxidative CH4 dehydroaromatization in fixed- and fluidized-bed reactors under periodic CH4–H2 switch operation,” </w:t>
      </w:r>
      <w:r w:rsidRPr="000B673D">
        <w:rPr>
          <w:rFonts w:ascii="Aptos" w:hAnsi="Aptos"/>
          <w:i/>
          <w:iCs/>
        </w:rPr>
        <w:t>Chem. Eng. Process. Process Intensif.</w:t>
      </w:r>
      <w:r w:rsidRPr="000B673D">
        <w:rPr>
          <w:rFonts w:ascii="Aptos" w:hAnsi="Aptos"/>
        </w:rPr>
        <w:t>, vol. 72, pp. 90–102, Oct. 2013, doi: 10.1016/j.cep.2013.05.016.</w:t>
      </w:r>
    </w:p>
    <w:p w14:paraId="06505C67" w14:textId="77777777" w:rsidR="000B673D" w:rsidRPr="000B673D" w:rsidRDefault="000B673D" w:rsidP="000B673D">
      <w:pPr>
        <w:pStyle w:val="Bibliography"/>
        <w:rPr>
          <w:rFonts w:ascii="Aptos" w:hAnsi="Aptos"/>
        </w:rPr>
      </w:pPr>
      <w:r w:rsidRPr="000B673D">
        <w:rPr>
          <w:rFonts w:ascii="Aptos" w:hAnsi="Aptos"/>
        </w:rPr>
        <w:t>[70]</w:t>
      </w:r>
      <w:r w:rsidRPr="000B673D">
        <w:rPr>
          <w:rFonts w:ascii="Aptos" w:hAnsi="Aptos"/>
        </w:rPr>
        <w:tab/>
        <w:t>P. L. Spath and D. C. Dayton, “Technical and Economic Assessment of Synthesis Gas to Fuels and Chemicals with Emphasis on the Potential for Biomass-Derived Syngas,” National Renewable Energy Laboratory, Golden, Colorado, Technical Report NREL/TP-510-34929, Dec. 2003. [Online]. Available: https://www.nrel.gov/docs/fy04osti/34929.pdf</w:t>
      </w:r>
    </w:p>
    <w:p w14:paraId="53F59C88" w14:textId="77777777" w:rsidR="000B673D" w:rsidRPr="000B673D" w:rsidRDefault="000B673D" w:rsidP="000B673D">
      <w:pPr>
        <w:pStyle w:val="Bibliography"/>
        <w:rPr>
          <w:rFonts w:ascii="Aptos" w:hAnsi="Aptos"/>
        </w:rPr>
      </w:pPr>
      <w:r w:rsidRPr="000B673D">
        <w:rPr>
          <w:rFonts w:ascii="Aptos" w:hAnsi="Aptos"/>
        </w:rPr>
        <w:t>[71]</w:t>
      </w:r>
      <w:r w:rsidRPr="000B673D">
        <w:rPr>
          <w:rFonts w:ascii="Aptos" w:hAnsi="Aptos"/>
        </w:rPr>
        <w:tab/>
        <w:t>F. Almarri, B. Carv, T. Stevenson, A. A. Musabeh, and M. Alyousif, “Fischer-Tropsch Synthesis: Natural Gas to Diesel Fuel,” University of Wyoming, Oct. 13, 2014. doi: 10.15786/13702882.v3.</w:t>
      </w:r>
    </w:p>
    <w:p w14:paraId="1082E154" w14:textId="77777777" w:rsidR="000B673D" w:rsidRPr="000B673D" w:rsidRDefault="000B673D" w:rsidP="000B673D">
      <w:pPr>
        <w:pStyle w:val="Bibliography"/>
        <w:rPr>
          <w:rFonts w:ascii="Aptos" w:hAnsi="Aptos"/>
        </w:rPr>
      </w:pPr>
      <w:r w:rsidRPr="000B673D">
        <w:rPr>
          <w:rFonts w:ascii="Aptos" w:hAnsi="Aptos"/>
        </w:rPr>
        <w:t>[72]</w:t>
      </w:r>
      <w:r w:rsidRPr="000B673D">
        <w:rPr>
          <w:rFonts w:ascii="Aptos" w:hAnsi="Aptos"/>
        </w:rPr>
        <w:tab/>
        <w:t xml:space="preserve">C. Duan </w:t>
      </w:r>
      <w:r w:rsidRPr="000B673D">
        <w:rPr>
          <w:rFonts w:ascii="Aptos" w:hAnsi="Aptos"/>
          <w:i/>
          <w:iCs/>
        </w:rPr>
        <w:t>et al.</w:t>
      </w:r>
      <w:r w:rsidRPr="000B673D">
        <w:rPr>
          <w:rFonts w:ascii="Aptos" w:hAnsi="Aptos"/>
        </w:rPr>
        <w:t xml:space="preserve">, “Highly efficient reversible protonic ceramic electrochemical cells for power generation and fuel production,” </w:t>
      </w:r>
      <w:r w:rsidRPr="000B673D">
        <w:rPr>
          <w:rFonts w:ascii="Aptos" w:hAnsi="Aptos"/>
          <w:i/>
          <w:iCs/>
        </w:rPr>
        <w:t>Nat. Energy</w:t>
      </w:r>
      <w:r w:rsidRPr="000B673D">
        <w:rPr>
          <w:rFonts w:ascii="Aptos" w:hAnsi="Aptos"/>
        </w:rPr>
        <w:t>, vol. 4, no. 3, Art. no. 3, Mar. 2019, doi: 10.1038/s41560-019-0333-2.</w:t>
      </w:r>
    </w:p>
    <w:p w14:paraId="080B17C7" w14:textId="77777777" w:rsidR="000B673D" w:rsidRPr="000B673D" w:rsidRDefault="000B673D" w:rsidP="000B673D">
      <w:pPr>
        <w:pStyle w:val="Bibliography"/>
        <w:rPr>
          <w:rFonts w:ascii="Aptos" w:hAnsi="Aptos"/>
        </w:rPr>
      </w:pPr>
      <w:r w:rsidRPr="000B673D">
        <w:rPr>
          <w:rFonts w:ascii="Aptos" w:hAnsi="Aptos"/>
        </w:rPr>
        <w:t>[73]</w:t>
      </w:r>
      <w:r w:rsidRPr="000B673D">
        <w:rPr>
          <w:rFonts w:ascii="Aptos" w:hAnsi="Aptos"/>
        </w:rPr>
        <w:tab/>
        <w:t xml:space="preserve">S. H. Morejudo </w:t>
      </w:r>
      <w:r w:rsidRPr="000B673D">
        <w:rPr>
          <w:rFonts w:ascii="Aptos" w:hAnsi="Aptos"/>
          <w:i/>
          <w:iCs/>
        </w:rPr>
        <w:t>et al.</w:t>
      </w:r>
      <w:r w:rsidRPr="000B673D">
        <w:rPr>
          <w:rFonts w:ascii="Aptos" w:hAnsi="Aptos"/>
        </w:rPr>
        <w:t xml:space="preserve">, “Direct conversion of methane to aromatics in a catalytic co-ionic membrane reactor,” </w:t>
      </w:r>
      <w:r w:rsidRPr="000B673D">
        <w:rPr>
          <w:rFonts w:ascii="Aptos" w:hAnsi="Aptos"/>
          <w:i/>
          <w:iCs/>
        </w:rPr>
        <w:t>Science</w:t>
      </w:r>
      <w:r w:rsidRPr="000B673D">
        <w:rPr>
          <w:rFonts w:ascii="Aptos" w:hAnsi="Aptos"/>
        </w:rPr>
        <w:t>, vol. 353, no. 6299, Aug. 2016, doi: 10.1126/science.aag0274.</w:t>
      </w:r>
    </w:p>
    <w:p w14:paraId="2C9BF2FA" w14:textId="77777777" w:rsidR="000B673D" w:rsidRPr="000B673D" w:rsidRDefault="000B673D" w:rsidP="000B673D">
      <w:pPr>
        <w:pStyle w:val="Bibliography"/>
        <w:rPr>
          <w:rFonts w:ascii="Aptos" w:hAnsi="Aptos"/>
        </w:rPr>
      </w:pPr>
      <w:r w:rsidRPr="000B673D">
        <w:rPr>
          <w:rFonts w:ascii="Aptos" w:hAnsi="Aptos"/>
        </w:rPr>
        <w:t>[74]</w:t>
      </w:r>
      <w:r w:rsidRPr="000B673D">
        <w:rPr>
          <w:rFonts w:ascii="Aptos" w:hAnsi="Aptos"/>
        </w:rPr>
        <w:tab/>
        <w:t xml:space="preserve">G. C. Mather, D. Muñoz-Gil, J. Zamudio-García, J. M. Porras-Vázquez, D. Marrero-López, and D. Pérez-Coll, “Perspectives on Cathodes for Protonic Ceramic Fuel Cells,” </w:t>
      </w:r>
      <w:r w:rsidRPr="000B673D">
        <w:rPr>
          <w:rFonts w:ascii="Aptos" w:hAnsi="Aptos"/>
          <w:i/>
          <w:iCs/>
        </w:rPr>
        <w:t>Appl. Sci.</w:t>
      </w:r>
      <w:r w:rsidRPr="000B673D">
        <w:rPr>
          <w:rFonts w:ascii="Aptos" w:hAnsi="Aptos"/>
        </w:rPr>
        <w:t>, vol. 11, no. 12, Art. no. 12, Jan. 2021, doi: 10.3390/app11125363.</w:t>
      </w:r>
    </w:p>
    <w:p w14:paraId="75C537CF" w14:textId="77777777" w:rsidR="000B673D" w:rsidRPr="000B673D" w:rsidRDefault="000B673D" w:rsidP="000B673D">
      <w:pPr>
        <w:pStyle w:val="Bibliography"/>
        <w:rPr>
          <w:rFonts w:ascii="Aptos" w:hAnsi="Aptos"/>
        </w:rPr>
      </w:pPr>
      <w:r w:rsidRPr="000B673D">
        <w:rPr>
          <w:rFonts w:ascii="Aptos" w:hAnsi="Aptos"/>
        </w:rPr>
        <w:t>[75]</w:t>
      </w:r>
      <w:r w:rsidRPr="000B673D">
        <w:rPr>
          <w:rFonts w:ascii="Aptos" w:hAnsi="Aptos"/>
        </w:rPr>
        <w:tab/>
        <w:t>C. Stiller, “Design, Operation and Control Modelling of SOFC/GT Hybrid Systems,” Norwegian University of Science and Technology, Trondheim, Norway, 2006. [Online]. Available: https://ntnuopen.ntnu.no/ntnu-xmlui/bitstream/handle/11250/231300/125922_FULLTEXT01.pdf?sequence=1</w:t>
      </w:r>
    </w:p>
    <w:p w14:paraId="29FAFBFC" w14:textId="77777777" w:rsidR="000B673D" w:rsidRPr="000B673D" w:rsidRDefault="000B673D" w:rsidP="000B673D">
      <w:pPr>
        <w:pStyle w:val="Bibliography"/>
        <w:rPr>
          <w:rFonts w:ascii="Aptos" w:hAnsi="Aptos"/>
        </w:rPr>
      </w:pPr>
      <w:r w:rsidRPr="000B673D">
        <w:rPr>
          <w:rFonts w:ascii="Aptos" w:hAnsi="Aptos"/>
        </w:rPr>
        <w:t>[76]</w:t>
      </w:r>
      <w:r w:rsidRPr="000B673D">
        <w:rPr>
          <w:rFonts w:ascii="Aptos" w:hAnsi="Aptos"/>
        </w:rPr>
        <w:tab/>
        <w:t>H. Xi, “Dynamic Modeling and Control of Planar SOFC Power Systems,” University of Michigan, Ann Arbor, MI, 2007.</w:t>
      </w:r>
    </w:p>
    <w:p w14:paraId="1CA1A8B9" w14:textId="77777777" w:rsidR="000B673D" w:rsidRPr="000B673D" w:rsidRDefault="000B673D" w:rsidP="000B673D">
      <w:pPr>
        <w:pStyle w:val="Bibliography"/>
        <w:rPr>
          <w:rFonts w:ascii="Aptos" w:hAnsi="Aptos"/>
        </w:rPr>
      </w:pPr>
      <w:r w:rsidRPr="000B673D">
        <w:rPr>
          <w:rFonts w:ascii="Aptos" w:hAnsi="Aptos"/>
        </w:rPr>
        <w:t>[77]</w:t>
      </w:r>
      <w:r w:rsidRPr="000B673D">
        <w:rPr>
          <w:rFonts w:ascii="Aptos" w:hAnsi="Aptos"/>
        </w:rPr>
        <w:tab/>
        <w:t xml:space="preserve">P. Kazempoor, V. Dorer, and O. Fathollah, “Modelling and Performance Evaluation of Solid Oxide Fuel Cell for Building Integrated Co- and Polygeneration,” </w:t>
      </w:r>
      <w:r w:rsidRPr="000B673D">
        <w:rPr>
          <w:rFonts w:ascii="Aptos" w:hAnsi="Aptos"/>
          <w:i/>
          <w:iCs/>
        </w:rPr>
        <w:t>Fuel Cells</w:t>
      </w:r>
      <w:r w:rsidRPr="000B673D">
        <w:rPr>
          <w:rFonts w:ascii="Aptos" w:hAnsi="Aptos"/>
        </w:rPr>
        <w:t>, vol. 10, no. 6, pp. 1074–1094, 2010, doi: 10.1002/fuce.200900082.</w:t>
      </w:r>
    </w:p>
    <w:p w14:paraId="00D28133" w14:textId="77777777" w:rsidR="000B673D" w:rsidRPr="000B673D" w:rsidRDefault="000B673D" w:rsidP="000B673D">
      <w:pPr>
        <w:pStyle w:val="Bibliography"/>
        <w:rPr>
          <w:rFonts w:ascii="Aptos" w:hAnsi="Aptos"/>
        </w:rPr>
      </w:pPr>
      <w:r w:rsidRPr="000B673D">
        <w:rPr>
          <w:rFonts w:ascii="Aptos" w:hAnsi="Aptos"/>
        </w:rPr>
        <w:t>[78]</w:t>
      </w:r>
      <w:r w:rsidRPr="000B673D">
        <w:rPr>
          <w:rFonts w:ascii="Aptos" w:hAnsi="Aptos"/>
        </w:rPr>
        <w:tab/>
        <w:t xml:space="preserve">P. Kazempoor and R. J. Braun, “Model validation and performance analysis of regenerative solid oxide cells for energy storage applications: Reversible operation,” </w:t>
      </w:r>
      <w:r w:rsidRPr="000B673D">
        <w:rPr>
          <w:rFonts w:ascii="Aptos" w:hAnsi="Aptos"/>
          <w:i/>
          <w:iCs/>
        </w:rPr>
        <w:t>Int. J. Hydrog. Energy</w:t>
      </w:r>
      <w:r w:rsidRPr="000B673D">
        <w:rPr>
          <w:rFonts w:ascii="Aptos" w:hAnsi="Aptos"/>
        </w:rPr>
        <w:t>, vol. 39, no. 11, pp. 5955–5971, Apr. 2014, doi: 10.1016/j.ijhydene.2014.01.186.</w:t>
      </w:r>
    </w:p>
    <w:p w14:paraId="26B339A7" w14:textId="77777777" w:rsidR="000B673D" w:rsidRPr="000B673D" w:rsidRDefault="000B673D" w:rsidP="000B673D">
      <w:pPr>
        <w:pStyle w:val="Bibliography"/>
        <w:rPr>
          <w:rFonts w:ascii="Aptos" w:hAnsi="Aptos"/>
        </w:rPr>
      </w:pPr>
      <w:r w:rsidRPr="000B673D">
        <w:rPr>
          <w:rFonts w:ascii="Aptos" w:hAnsi="Aptos"/>
        </w:rPr>
        <w:t>[79]</w:t>
      </w:r>
      <w:r w:rsidRPr="000B673D">
        <w:rPr>
          <w:rFonts w:ascii="Aptos" w:hAnsi="Aptos"/>
        </w:rPr>
        <w:tab/>
        <w:t xml:space="preserve">H. Timmermann, W. Sawady, R. Reimert, and E. Ivers-Tiffée, “Kinetics of (reversible) internal reforming of methane in solid oxide fuel cells under stationary and APU conditions,” </w:t>
      </w:r>
      <w:r w:rsidRPr="000B673D">
        <w:rPr>
          <w:rFonts w:ascii="Aptos" w:hAnsi="Aptos"/>
          <w:i/>
          <w:iCs/>
        </w:rPr>
        <w:t>J. Power Sources</w:t>
      </w:r>
      <w:r w:rsidRPr="000B673D">
        <w:rPr>
          <w:rFonts w:ascii="Aptos" w:hAnsi="Aptos"/>
        </w:rPr>
        <w:t>, vol. 195, no. 1, pp. 214–222, Jan. 2010, doi: 10.1016/j.jpowsour.2009.07.019.</w:t>
      </w:r>
    </w:p>
    <w:p w14:paraId="44B77105" w14:textId="77777777" w:rsidR="000B673D" w:rsidRPr="000B673D" w:rsidRDefault="000B673D" w:rsidP="000B673D">
      <w:pPr>
        <w:pStyle w:val="Bibliography"/>
        <w:rPr>
          <w:rFonts w:ascii="Aptos" w:hAnsi="Aptos"/>
        </w:rPr>
      </w:pPr>
      <w:r w:rsidRPr="000B673D">
        <w:rPr>
          <w:rFonts w:ascii="Aptos" w:hAnsi="Aptos"/>
        </w:rPr>
        <w:t>[80]</w:t>
      </w:r>
      <w:r w:rsidRPr="000B673D">
        <w:rPr>
          <w:rFonts w:ascii="Aptos" w:hAnsi="Aptos"/>
        </w:rPr>
        <w:tab/>
        <w:t xml:space="preserve">W. Lehnert, J. Meusinger, and F. Thom, “Modelling of gas transport phenomena in SOFC anodes,” </w:t>
      </w:r>
      <w:r w:rsidRPr="000B673D">
        <w:rPr>
          <w:rFonts w:ascii="Aptos" w:hAnsi="Aptos"/>
          <w:i/>
          <w:iCs/>
        </w:rPr>
        <w:t>J. Power Sources</w:t>
      </w:r>
      <w:r w:rsidRPr="000B673D">
        <w:rPr>
          <w:rFonts w:ascii="Aptos" w:hAnsi="Aptos"/>
        </w:rPr>
        <w:t>, vol. 87, no. 1, pp. 57–63, Apr. 2000, doi: 10.1016/S0378-7753(99)00356-0.</w:t>
      </w:r>
    </w:p>
    <w:p w14:paraId="4C779862" w14:textId="77777777" w:rsidR="000B673D" w:rsidRPr="000B673D" w:rsidRDefault="000B673D" w:rsidP="000B673D">
      <w:pPr>
        <w:pStyle w:val="Bibliography"/>
        <w:rPr>
          <w:rFonts w:ascii="Aptos" w:hAnsi="Aptos"/>
        </w:rPr>
      </w:pPr>
      <w:r w:rsidRPr="000B673D">
        <w:rPr>
          <w:rFonts w:ascii="Aptos" w:hAnsi="Aptos"/>
        </w:rPr>
        <w:t>[81]</w:t>
      </w:r>
      <w:r w:rsidRPr="000B673D">
        <w:rPr>
          <w:rFonts w:ascii="Aptos" w:hAnsi="Aptos"/>
        </w:rPr>
        <w:tab/>
        <w:t xml:space="preserve">E. P. J. Mallens, J. H. B. J. Hoebink, and G. B. Marin, “The Reaction Mechanism of the Partial Oxidation of Methane to Synthesis Gas: A Transient Kinetic Study over Rhodium and a Comparison with Platinum,” </w:t>
      </w:r>
      <w:r w:rsidRPr="000B673D">
        <w:rPr>
          <w:rFonts w:ascii="Aptos" w:hAnsi="Aptos"/>
          <w:i/>
          <w:iCs/>
        </w:rPr>
        <w:t>J. Catal.</w:t>
      </w:r>
      <w:r w:rsidRPr="000B673D">
        <w:rPr>
          <w:rFonts w:ascii="Aptos" w:hAnsi="Aptos"/>
        </w:rPr>
        <w:t>, vol. 167, no. 1, pp. 43–56, Apr. 1997, doi: 10.1006/jcat.1997.1533.</w:t>
      </w:r>
    </w:p>
    <w:p w14:paraId="231DB561" w14:textId="77777777" w:rsidR="000B673D" w:rsidRPr="000B673D" w:rsidRDefault="000B673D" w:rsidP="000B673D">
      <w:pPr>
        <w:pStyle w:val="Bibliography"/>
        <w:rPr>
          <w:rFonts w:ascii="Aptos" w:hAnsi="Aptos"/>
        </w:rPr>
      </w:pPr>
      <w:r w:rsidRPr="000B673D">
        <w:rPr>
          <w:rFonts w:ascii="Aptos" w:hAnsi="Aptos"/>
        </w:rPr>
        <w:t>[82]</w:t>
      </w:r>
      <w:r w:rsidRPr="000B673D">
        <w:rPr>
          <w:rFonts w:ascii="Aptos" w:hAnsi="Aptos"/>
        </w:rPr>
        <w:tab/>
        <w:t xml:space="preserve">A. Bharadwaj, D. H. Archer, and E. S. Rubin, “Modeling the Performance of a Tubular Solid Oxide Fuel Cell,” </w:t>
      </w:r>
      <w:r w:rsidRPr="000B673D">
        <w:rPr>
          <w:rFonts w:ascii="Aptos" w:hAnsi="Aptos"/>
          <w:i/>
          <w:iCs/>
        </w:rPr>
        <w:t>J. Fuel Cell Sci. Technol.</w:t>
      </w:r>
      <w:r w:rsidRPr="000B673D">
        <w:rPr>
          <w:rFonts w:ascii="Aptos" w:hAnsi="Aptos"/>
        </w:rPr>
        <w:t>, vol. 2, no. 1, pp. 38–44, Aug. 2004, doi: 10.1115/1.1842781.</w:t>
      </w:r>
    </w:p>
    <w:p w14:paraId="45C4128B" w14:textId="77777777" w:rsidR="000B673D" w:rsidRPr="000B673D" w:rsidRDefault="000B673D" w:rsidP="000B673D">
      <w:pPr>
        <w:pStyle w:val="Bibliography"/>
        <w:rPr>
          <w:rFonts w:ascii="Aptos" w:hAnsi="Aptos"/>
        </w:rPr>
      </w:pPr>
      <w:r w:rsidRPr="000B673D">
        <w:rPr>
          <w:rFonts w:ascii="Aptos" w:hAnsi="Aptos"/>
        </w:rPr>
        <w:t>[83]</w:t>
      </w:r>
      <w:r w:rsidRPr="000B673D">
        <w:rPr>
          <w:rFonts w:ascii="Aptos" w:hAnsi="Aptos"/>
        </w:rPr>
        <w:tab/>
        <w:t xml:space="preserve">K. Taghikhani, A. Dubois, J. R. Berger, S. Ricote, H. Zhu, and R. J. Kee, “Modeling Electro-Chemo-Mechanical Behaviors within the Dense BaZr0.8Y0.2O3−δ Protonic-Ceramic Membrane in a Long Tubular Electrochemical Cell,” </w:t>
      </w:r>
      <w:r w:rsidRPr="000B673D">
        <w:rPr>
          <w:rFonts w:ascii="Aptos" w:hAnsi="Aptos"/>
          <w:i/>
          <w:iCs/>
        </w:rPr>
        <w:t>Membranes</w:t>
      </w:r>
      <w:r w:rsidRPr="000B673D">
        <w:rPr>
          <w:rFonts w:ascii="Aptos" w:hAnsi="Aptos"/>
        </w:rPr>
        <w:t>, vol. 11, no. 6, Art. no. 6, Jun. 2021, doi: 10.3390/membranes11060378.</w:t>
      </w:r>
    </w:p>
    <w:p w14:paraId="0E084334" w14:textId="77777777" w:rsidR="000B673D" w:rsidRPr="000B673D" w:rsidRDefault="000B673D" w:rsidP="000B673D">
      <w:pPr>
        <w:pStyle w:val="Bibliography"/>
        <w:rPr>
          <w:rFonts w:ascii="Aptos" w:hAnsi="Aptos"/>
        </w:rPr>
      </w:pPr>
      <w:r w:rsidRPr="000B673D">
        <w:rPr>
          <w:rFonts w:ascii="Aptos" w:hAnsi="Aptos"/>
        </w:rPr>
        <w:t>[84]</w:t>
      </w:r>
      <w:r w:rsidRPr="000B673D">
        <w:rPr>
          <w:rFonts w:ascii="Aptos" w:hAnsi="Aptos"/>
        </w:rPr>
        <w:tab/>
        <w:t xml:space="preserve">R. J. Kee, S. Ricote, H. Zhu, R. J. Braun, G. Carins, and J. E. Persky, “Perspectives on Technical Challenges and Scaling Considerations for Tubular Protonic-Ceramic Electrolysis Cells and Stacks,” </w:t>
      </w:r>
      <w:r w:rsidRPr="000B673D">
        <w:rPr>
          <w:rFonts w:ascii="Aptos" w:hAnsi="Aptos"/>
          <w:i/>
          <w:iCs/>
        </w:rPr>
        <w:t>J. Electrochem. Soc.</w:t>
      </w:r>
      <w:r w:rsidRPr="000B673D">
        <w:rPr>
          <w:rFonts w:ascii="Aptos" w:hAnsi="Aptos"/>
        </w:rPr>
        <w:t>, vol. 169, no. 5, p. 054525, May 2022, doi: 10.1149/1945-7111/ac6c4e.</w:t>
      </w:r>
    </w:p>
    <w:p w14:paraId="6E06DA29" w14:textId="77777777" w:rsidR="000B673D" w:rsidRPr="000B673D" w:rsidRDefault="000B673D" w:rsidP="000B673D">
      <w:pPr>
        <w:pStyle w:val="Bibliography"/>
        <w:rPr>
          <w:rFonts w:ascii="Aptos" w:hAnsi="Aptos"/>
        </w:rPr>
      </w:pPr>
      <w:r w:rsidRPr="000B673D">
        <w:rPr>
          <w:rFonts w:ascii="Aptos" w:hAnsi="Aptos"/>
        </w:rPr>
        <w:t>[85]</w:t>
      </w:r>
      <w:r w:rsidRPr="000B673D">
        <w:rPr>
          <w:rFonts w:ascii="Aptos" w:hAnsi="Aptos"/>
        </w:rPr>
        <w:tab/>
        <w:t xml:space="preserve">P. Kazempoor and R. J. Braun, “Model validation and performance analysis of regenerative solid oxide cells: Electrolytic operation,” </w:t>
      </w:r>
      <w:r w:rsidRPr="000B673D">
        <w:rPr>
          <w:rFonts w:ascii="Aptos" w:hAnsi="Aptos"/>
          <w:i/>
          <w:iCs/>
        </w:rPr>
        <w:t>Int. J. Hydrog. Energy</w:t>
      </w:r>
      <w:r w:rsidRPr="000B673D">
        <w:rPr>
          <w:rFonts w:ascii="Aptos" w:hAnsi="Aptos"/>
        </w:rPr>
        <w:t>, vol. 39, no. 6, pp. 2669–2684, Feb. 2014, doi: 10.1016/j.ijhydene.2013.12.010.</w:t>
      </w:r>
    </w:p>
    <w:p w14:paraId="17EC408C" w14:textId="77777777" w:rsidR="000B673D" w:rsidRPr="000B673D" w:rsidRDefault="000B673D" w:rsidP="000B673D">
      <w:pPr>
        <w:pStyle w:val="Bibliography"/>
        <w:rPr>
          <w:rFonts w:ascii="Aptos" w:hAnsi="Aptos"/>
        </w:rPr>
      </w:pPr>
      <w:r w:rsidRPr="000B673D">
        <w:rPr>
          <w:rFonts w:ascii="Aptos" w:hAnsi="Aptos"/>
        </w:rPr>
        <w:t>[86]</w:t>
      </w:r>
      <w:r w:rsidRPr="000B673D">
        <w:rPr>
          <w:rFonts w:ascii="Aptos" w:hAnsi="Aptos"/>
        </w:rPr>
        <w:tab/>
        <w:t xml:space="preserve">S. Campanari and P. Iora, “Comparison of Finite Volume SOFC Models for the Simulation of a Planar Cell Geometry,” </w:t>
      </w:r>
      <w:r w:rsidRPr="000B673D">
        <w:rPr>
          <w:rFonts w:ascii="Aptos" w:hAnsi="Aptos"/>
          <w:i/>
          <w:iCs/>
        </w:rPr>
        <w:t>Fuel Cells</w:t>
      </w:r>
      <w:r w:rsidRPr="000B673D">
        <w:rPr>
          <w:rFonts w:ascii="Aptos" w:hAnsi="Aptos"/>
        </w:rPr>
        <w:t>, vol. 5, no. 1, pp. 34–51, 2005, doi: 10.1002/fuce.200400057.</w:t>
      </w:r>
    </w:p>
    <w:p w14:paraId="5D74F2D4" w14:textId="77777777" w:rsidR="000B673D" w:rsidRPr="000B673D" w:rsidRDefault="000B673D" w:rsidP="000B673D">
      <w:pPr>
        <w:pStyle w:val="Bibliography"/>
        <w:rPr>
          <w:rFonts w:ascii="Aptos" w:hAnsi="Aptos"/>
        </w:rPr>
      </w:pPr>
      <w:r w:rsidRPr="000B673D">
        <w:rPr>
          <w:rFonts w:ascii="Aptos" w:hAnsi="Aptos"/>
        </w:rPr>
        <w:t>[87]</w:t>
      </w:r>
      <w:r w:rsidRPr="000B673D">
        <w:rPr>
          <w:rFonts w:ascii="Aptos" w:hAnsi="Aptos"/>
        </w:rPr>
        <w:tab/>
        <w:t xml:space="preserve">S. H. Chan, K. A. Khor, and Z. T. Xia, “A complete polarization model of a solid oxide fuel cell and its sensitivity to the change of cell component thickness,” </w:t>
      </w:r>
      <w:r w:rsidRPr="000B673D">
        <w:rPr>
          <w:rFonts w:ascii="Aptos" w:hAnsi="Aptos"/>
          <w:i/>
          <w:iCs/>
        </w:rPr>
        <w:t>J. Power Sources</w:t>
      </w:r>
      <w:r w:rsidRPr="000B673D">
        <w:rPr>
          <w:rFonts w:ascii="Aptos" w:hAnsi="Aptos"/>
        </w:rPr>
        <w:t>, vol. 93, no. 1, pp. 130–140, Feb. 2001, doi: 10.1016/S0378-7753(00)00556-5.</w:t>
      </w:r>
    </w:p>
    <w:p w14:paraId="6A94A327" w14:textId="77777777" w:rsidR="000B673D" w:rsidRPr="000B673D" w:rsidRDefault="000B673D" w:rsidP="000B673D">
      <w:pPr>
        <w:pStyle w:val="Bibliography"/>
        <w:rPr>
          <w:rFonts w:ascii="Aptos" w:hAnsi="Aptos"/>
        </w:rPr>
      </w:pPr>
      <w:r w:rsidRPr="000B673D">
        <w:rPr>
          <w:rFonts w:ascii="Aptos" w:hAnsi="Aptos"/>
        </w:rPr>
        <w:t>[88]</w:t>
      </w:r>
      <w:r w:rsidRPr="000B673D">
        <w:rPr>
          <w:rFonts w:ascii="Aptos" w:hAnsi="Aptos"/>
        </w:rPr>
        <w:tab/>
        <w:t xml:space="preserve">H. Zhu, S. Ricote, and R. J. Kee, “Thermodynamics, transport, and electrochemistry in protonic ceramic electrolysis cells,” in </w:t>
      </w:r>
      <w:r w:rsidRPr="000B673D">
        <w:rPr>
          <w:rFonts w:ascii="Aptos" w:hAnsi="Aptos"/>
          <w:i/>
          <w:iCs/>
        </w:rPr>
        <w:t>High-Temperature Electrolysis: From fundamentals to applications</w:t>
      </w:r>
      <w:r w:rsidRPr="000B673D">
        <w:rPr>
          <w:rFonts w:ascii="Aptos" w:hAnsi="Aptos"/>
        </w:rPr>
        <w:t>, IOP Publishing, 2023. doi: 10.1088/978-0-7503-3951-3ch12.</w:t>
      </w:r>
    </w:p>
    <w:p w14:paraId="6343FDD6" w14:textId="77777777" w:rsidR="000B673D" w:rsidRPr="000B673D" w:rsidRDefault="000B673D" w:rsidP="000B673D">
      <w:pPr>
        <w:pStyle w:val="Bibliography"/>
        <w:rPr>
          <w:rFonts w:ascii="Aptos" w:hAnsi="Aptos"/>
        </w:rPr>
      </w:pPr>
      <w:r w:rsidRPr="000B673D">
        <w:rPr>
          <w:rFonts w:ascii="Aptos" w:hAnsi="Aptos"/>
        </w:rPr>
        <w:t>[89]</w:t>
      </w:r>
      <w:r w:rsidRPr="000B673D">
        <w:rPr>
          <w:rFonts w:ascii="Aptos" w:hAnsi="Aptos"/>
        </w:rPr>
        <w:tab/>
        <w:t xml:space="preserve">J.-H. Zhang, L.-B. Lei, D. Liu, F.-Y. Zhao, M. Ni, and F. Chen, “Mathematical modeling of a proton-conducting solid oxide fuel cell with current leakage,” </w:t>
      </w:r>
      <w:r w:rsidRPr="000B673D">
        <w:rPr>
          <w:rFonts w:ascii="Aptos" w:hAnsi="Aptos"/>
          <w:i/>
          <w:iCs/>
        </w:rPr>
        <w:t>J. Power Sources</w:t>
      </w:r>
      <w:r w:rsidRPr="000B673D">
        <w:rPr>
          <w:rFonts w:ascii="Aptos" w:hAnsi="Aptos"/>
        </w:rPr>
        <w:t>, vol. 400, pp. 333–340, Oct. 2018, doi: 10.1016/j.jpowsour.2018.08.038.</w:t>
      </w:r>
    </w:p>
    <w:p w14:paraId="426DDF72" w14:textId="77777777" w:rsidR="000B673D" w:rsidRPr="000B673D" w:rsidRDefault="000B673D" w:rsidP="000B673D">
      <w:pPr>
        <w:pStyle w:val="Bibliography"/>
        <w:rPr>
          <w:rFonts w:ascii="Aptos" w:hAnsi="Aptos"/>
        </w:rPr>
      </w:pPr>
      <w:r w:rsidRPr="000B673D">
        <w:rPr>
          <w:rFonts w:ascii="Aptos" w:hAnsi="Aptos"/>
        </w:rPr>
        <w:t>[90]</w:t>
      </w:r>
      <w:r w:rsidRPr="000B673D">
        <w:rPr>
          <w:rFonts w:ascii="Aptos" w:hAnsi="Aptos"/>
        </w:rPr>
        <w:tab/>
        <w:t xml:space="preserve">Y. Sahli, “Thermodynamic Modeling and Analysis of Proton Ceramic Fuel Cells: Power Optimization,” </w:t>
      </w:r>
      <w:r w:rsidRPr="000B673D">
        <w:rPr>
          <w:rFonts w:ascii="Aptos" w:hAnsi="Aptos"/>
          <w:i/>
          <w:iCs/>
        </w:rPr>
        <w:t>Arab. J. Sci. Eng.</w:t>
      </w:r>
      <w:r w:rsidRPr="000B673D">
        <w:rPr>
          <w:rFonts w:ascii="Aptos" w:hAnsi="Aptos"/>
        </w:rPr>
        <w:t>, vol. 47, no. 5, pp. 6355–6363, May 2022, doi: 10.1007/s13369-021-06262-7.</w:t>
      </w:r>
    </w:p>
    <w:p w14:paraId="0C21F70D" w14:textId="77777777" w:rsidR="000B673D" w:rsidRPr="000B673D" w:rsidRDefault="000B673D" w:rsidP="000B673D">
      <w:pPr>
        <w:pStyle w:val="Bibliography"/>
        <w:rPr>
          <w:rFonts w:ascii="Aptos" w:hAnsi="Aptos"/>
        </w:rPr>
      </w:pPr>
      <w:r w:rsidRPr="000B673D">
        <w:rPr>
          <w:rFonts w:ascii="Aptos" w:hAnsi="Aptos"/>
        </w:rPr>
        <w:t>[91]</w:t>
      </w:r>
      <w:r w:rsidRPr="000B673D">
        <w:rPr>
          <w:rFonts w:ascii="Aptos" w:hAnsi="Aptos"/>
        </w:rPr>
        <w:tab/>
        <w:t xml:space="preserve">P. Aguiar, C. S. Adjiman, and N. P. Brandon, “Anode-supported intermediate temperature direct internal reforming solid oxide fuel cell. I: model-based steady-state performance,” </w:t>
      </w:r>
      <w:r w:rsidRPr="000B673D">
        <w:rPr>
          <w:rFonts w:ascii="Aptos" w:hAnsi="Aptos"/>
          <w:i/>
          <w:iCs/>
        </w:rPr>
        <w:t>J. Power Sources</w:t>
      </w:r>
      <w:r w:rsidRPr="000B673D">
        <w:rPr>
          <w:rFonts w:ascii="Aptos" w:hAnsi="Aptos"/>
        </w:rPr>
        <w:t>, vol. 138, no. 1, pp. 120–136, Nov. 2004, doi: 10.1016/j.jpowsour.2004.06.040.</w:t>
      </w:r>
    </w:p>
    <w:p w14:paraId="0E0F7103" w14:textId="77777777" w:rsidR="000B673D" w:rsidRPr="000B673D" w:rsidRDefault="000B673D" w:rsidP="000B673D">
      <w:pPr>
        <w:pStyle w:val="Bibliography"/>
        <w:rPr>
          <w:rFonts w:ascii="Aptos" w:hAnsi="Aptos"/>
        </w:rPr>
      </w:pPr>
      <w:r w:rsidRPr="000B673D">
        <w:rPr>
          <w:rFonts w:ascii="Aptos" w:hAnsi="Aptos"/>
        </w:rPr>
        <w:t>[92]</w:t>
      </w:r>
      <w:r w:rsidRPr="000B673D">
        <w:rPr>
          <w:rFonts w:ascii="Aptos" w:hAnsi="Aptos"/>
        </w:rPr>
        <w:tab/>
        <w:t xml:space="preserve">K. Li, H. Shimada, Y. Mizutani, Y. Okuyama, and T. Araki, “Ultra-elevated power density and high energy efficiency of protonic ceramic fuel cells: Numerical and experimental results,” </w:t>
      </w:r>
      <w:r w:rsidRPr="000B673D">
        <w:rPr>
          <w:rFonts w:ascii="Aptos" w:hAnsi="Aptos"/>
          <w:i/>
          <w:iCs/>
        </w:rPr>
        <w:t>Energy Convers. Manag.</w:t>
      </w:r>
      <w:r w:rsidRPr="000B673D">
        <w:rPr>
          <w:rFonts w:ascii="Aptos" w:hAnsi="Aptos"/>
        </w:rPr>
        <w:t>, vol. 296, p. 117678, Nov. 2023, doi: 10.1016/j.enconman.2023.117678.</w:t>
      </w:r>
    </w:p>
    <w:p w14:paraId="016F37EA" w14:textId="77777777" w:rsidR="000B673D" w:rsidRPr="000B673D" w:rsidRDefault="000B673D" w:rsidP="000B673D">
      <w:pPr>
        <w:pStyle w:val="Bibliography"/>
        <w:rPr>
          <w:rFonts w:ascii="Aptos" w:hAnsi="Aptos"/>
        </w:rPr>
      </w:pPr>
      <w:r w:rsidRPr="000B673D">
        <w:rPr>
          <w:rFonts w:ascii="Aptos" w:hAnsi="Aptos"/>
        </w:rPr>
        <w:t>[93]</w:t>
      </w:r>
      <w:r w:rsidRPr="000B673D">
        <w:rPr>
          <w:rFonts w:ascii="Aptos" w:hAnsi="Aptos"/>
        </w:rPr>
        <w:tab/>
        <w:t xml:space="preserve">B. Poling, J. Prausnitz, and J. O’Connell, </w:t>
      </w:r>
      <w:r w:rsidRPr="000B673D">
        <w:rPr>
          <w:rFonts w:ascii="Aptos" w:hAnsi="Aptos"/>
          <w:i/>
          <w:iCs/>
        </w:rPr>
        <w:t>The Properties of Gases and Liquids</w:t>
      </w:r>
      <w:r w:rsidRPr="000B673D">
        <w:rPr>
          <w:rFonts w:ascii="Aptos" w:hAnsi="Aptos"/>
        </w:rPr>
        <w:t>, 5th Edition. McGraw-Hill, 2000.</w:t>
      </w:r>
    </w:p>
    <w:p w14:paraId="22C0CBD9" w14:textId="77777777" w:rsidR="000B673D" w:rsidRPr="000B673D" w:rsidRDefault="000B673D" w:rsidP="000B673D">
      <w:pPr>
        <w:pStyle w:val="Bibliography"/>
        <w:rPr>
          <w:rFonts w:ascii="Aptos" w:hAnsi="Aptos"/>
        </w:rPr>
      </w:pPr>
      <w:r w:rsidRPr="000B673D">
        <w:rPr>
          <w:rFonts w:ascii="Aptos" w:hAnsi="Aptos"/>
        </w:rPr>
        <w:t>[94]</w:t>
      </w:r>
      <w:r w:rsidRPr="000B673D">
        <w:rPr>
          <w:rFonts w:ascii="Aptos" w:hAnsi="Aptos"/>
        </w:rPr>
        <w:tab/>
        <w:t xml:space="preserve">S. Srisurichan, R. Jiraratananon, and A. G. Fane, “Mass transfer mechanisms and transport resistances in direct contact membrane distillation process,” </w:t>
      </w:r>
      <w:r w:rsidRPr="000B673D">
        <w:rPr>
          <w:rFonts w:ascii="Aptos" w:hAnsi="Aptos"/>
          <w:i/>
          <w:iCs/>
        </w:rPr>
        <w:t>J. Membr. Sci.</w:t>
      </w:r>
      <w:r w:rsidRPr="000B673D">
        <w:rPr>
          <w:rFonts w:ascii="Aptos" w:hAnsi="Aptos"/>
        </w:rPr>
        <w:t>, vol. 277, no. 1, pp. 186–194, Jun. 2006, doi: 10.1016/j.memsci.2005.10.028.</w:t>
      </w:r>
    </w:p>
    <w:p w14:paraId="59591461" w14:textId="77777777" w:rsidR="000B673D" w:rsidRPr="000B673D" w:rsidRDefault="000B673D" w:rsidP="000B673D">
      <w:pPr>
        <w:pStyle w:val="Bibliography"/>
        <w:rPr>
          <w:rFonts w:ascii="Aptos" w:hAnsi="Aptos"/>
        </w:rPr>
      </w:pPr>
      <w:r w:rsidRPr="000B673D">
        <w:rPr>
          <w:rFonts w:ascii="Aptos" w:hAnsi="Aptos"/>
        </w:rPr>
        <w:t>[95]</w:t>
      </w:r>
      <w:r w:rsidRPr="000B673D">
        <w:rPr>
          <w:rFonts w:ascii="Aptos" w:hAnsi="Aptos"/>
        </w:rPr>
        <w:tab/>
        <w:t>“Copper - Density, Specific Heat and Thermal Conductivity vs. Temperature.” Accessed: Mar. 29, 2024. [Online]. Available: https://www.engineeringtoolbox.com/copper-density-specific-heat-thermal-conductivity-vs-temperature-d_2223.html</w:t>
      </w:r>
    </w:p>
    <w:p w14:paraId="496FBCB2" w14:textId="77777777" w:rsidR="000B673D" w:rsidRPr="000B673D" w:rsidRDefault="000B673D" w:rsidP="000B673D">
      <w:pPr>
        <w:pStyle w:val="Bibliography"/>
        <w:rPr>
          <w:rFonts w:ascii="Aptos" w:hAnsi="Aptos"/>
        </w:rPr>
      </w:pPr>
      <w:r w:rsidRPr="000B673D">
        <w:rPr>
          <w:rFonts w:ascii="Aptos" w:hAnsi="Aptos"/>
        </w:rPr>
        <w:t>[96]</w:t>
      </w:r>
      <w:r w:rsidRPr="000B673D">
        <w:rPr>
          <w:rFonts w:ascii="Aptos" w:hAnsi="Aptos"/>
        </w:rPr>
        <w:tab/>
        <w:t xml:space="preserve">C. Stiller, B. Thorud, S. Seljebø, Ø. Mathisen, H. Karoliussen, and O. Bolland, “Finite-volume modeling and hybrid-cycle performance of planar and tubular solid oxide fuel cells,” </w:t>
      </w:r>
      <w:r w:rsidRPr="000B673D">
        <w:rPr>
          <w:rFonts w:ascii="Aptos" w:hAnsi="Aptos"/>
          <w:i/>
          <w:iCs/>
        </w:rPr>
        <w:t>J. Power Sources</w:t>
      </w:r>
      <w:r w:rsidRPr="000B673D">
        <w:rPr>
          <w:rFonts w:ascii="Aptos" w:hAnsi="Aptos"/>
        </w:rPr>
        <w:t>, vol. 141, no. 2, pp. 227–240, Mar. 2005, doi: 10.1016/j.jpowsour.2004.09.019.</w:t>
      </w:r>
    </w:p>
    <w:p w14:paraId="5EA6C697" w14:textId="77777777" w:rsidR="000B673D" w:rsidRPr="000B673D" w:rsidRDefault="000B673D" w:rsidP="000B673D">
      <w:pPr>
        <w:pStyle w:val="Bibliography"/>
        <w:rPr>
          <w:rFonts w:ascii="Aptos" w:hAnsi="Aptos"/>
        </w:rPr>
      </w:pPr>
      <w:r w:rsidRPr="000B673D">
        <w:rPr>
          <w:rFonts w:ascii="Aptos" w:hAnsi="Aptos"/>
        </w:rPr>
        <w:t>[97]</w:t>
      </w:r>
      <w:r w:rsidRPr="000B673D">
        <w:rPr>
          <w:rFonts w:ascii="Aptos" w:hAnsi="Aptos"/>
        </w:rPr>
        <w:tab/>
        <w:t xml:space="preserve">K. P. Recknagle, R. E. Williford, L. A. Chick, D. R. Rector, and M. A. Khaleel, “Three-dimensional thermo-fluid electrochemical modeling of planar SOFC stacks,” </w:t>
      </w:r>
      <w:r w:rsidRPr="000B673D">
        <w:rPr>
          <w:rFonts w:ascii="Aptos" w:hAnsi="Aptos"/>
          <w:i/>
          <w:iCs/>
        </w:rPr>
        <w:t>J. Power Sources</w:t>
      </w:r>
      <w:r w:rsidRPr="000B673D">
        <w:rPr>
          <w:rFonts w:ascii="Aptos" w:hAnsi="Aptos"/>
        </w:rPr>
        <w:t>, vol. 113, no. 1, pp. 109–114, Jan. 2003, doi: 10.1016/S0378-7753(02)00487-1.</w:t>
      </w:r>
    </w:p>
    <w:p w14:paraId="3F1D6519" w14:textId="77777777" w:rsidR="000B673D" w:rsidRPr="000B673D" w:rsidRDefault="000B673D" w:rsidP="000B673D">
      <w:pPr>
        <w:pStyle w:val="Bibliography"/>
        <w:rPr>
          <w:rFonts w:ascii="Aptos" w:hAnsi="Aptos"/>
        </w:rPr>
      </w:pPr>
      <w:r w:rsidRPr="000B673D">
        <w:rPr>
          <w:rFonts w:ascii="Aptos" w:hAnsi="Aptos"/>
        </w:rPr>
        <w:t>[98]</w:t>
      </w:r>
      <w:r w:rsidRPr="000B673D">
        <w:rPr>
          <w:rFonts w:ascii="Aptos" w:hAnsi="Aptos"/>
        </w:rPr>
        <w:tab/>
        <w:t xml:space="preserve">H. Yakabe, T. Ogiwara, M. Hishinuma, and I. Yasuda, “3-D model calculation for planar SOFC,” </w:t>
      </w:r>
      <w:r w:rsidRPr="000B673D">
        <w:rPr>
          <w:rFonts w:ascii="Aptos" w:hAnsi="Aptos"/>
          <w:i/>
          <w:iCs/>
        </w:rPr>
        <w:t>J. Power Sources</w:t>
      </w:r>
      <w:r w:rsidRPr="000B673D">
        <w:rPr>
          <w:rFonts w:ascii="Aptos" w:hAnsi="Aptos"/>
        </w:rPr>
        <w:t>, vol. 102, no. 1, pp. 144–154, Dec. 2001, doi: 10.1016/S0378-7753(01)00792-3.</w:t>
      </w:r>
    </w:p>
    <w:p w14:paraId="65BC4C8B" w14:textId="77777777" w:rsidR="000B673D" w:rsidRPr="000B673D" w:rsidRDefault="000B673D" w:rsidP="000B673D">
      <w:pPr>
        <w:pStyle w:val="Bibliography"/>
        <w:rPr>
          <w:rFonts w:ascii="Aptos" w:hAnsi="Aptos"/>
        </w:rPr>
      </w:pPr>
      <w:r w:rsidRPr="000B673D">
        <w:rPr>
          <w:rFonts w:ascii="Aptos" w:hAnsi="Aptos"/>
        </w:rPr>
        <w:t>[99]</w:t>
      </w:r>
      <w:r w:rsidRPr="000B673D">
        <w:rPr>
          <w:rFonts w:ascii="Aptos" w:hAnsi="Aptos"/>
        </w:rPr>
        <w:tab/>
        <w:t xml:space="preserve">T. Ota, M. Koyama, C. Wen, K. Yamada, and H. Takahashi, “Object-based modeling of SOFC system: dynamic behavior of micro-tube SOFC,” </w:t>
      </w:r>
      <w:r w:rsidRPr="000B673D">
        <w:rPr>
          <w:rFonts w:ascii="Aptos" w:hAnsi="Aptos"/>
          <w:i/>
          <w:iCs/>
        </w:rPr>
        <w:t>J. Power Sources</w:t>
      </w:r>
      <w:r w:rsidRPr="000B673D">
        <w:rPr>
          <w:rFonts w:ascii="Aptos" w:hAnsi="Aptos"/>
        </w:rPr>
        <w:t>, vol. 118, no. 1, pp. 430–439, May 2003, doi: 10.1016/S0378-7753(03)00109-5.</w:t>
      </w:r>
    </w:p>
    <w:p w14:paraId="03D14FE2" w14:textId="77777777" w:rsidR="000B673D" w:rsidRPr="000B673D" w:rsidRDefault="000B673D" w:rsidP="000B673D">
      <w:pPr>
        <w:pStyle w:val="Bibliography"/>
        <w:rPr>
          <w:rFonts w:ascii="Aptos" w:hAnsi="Aptos"/>
        </w:rPr>
      </w:pPr>
      <w:r w:rsidRPr="000B673D">
        <w:rPr>
          <w:rFonts w:ascii="Aptos" w:hAnsi="Aptos"/>
        </w:rPr>
        <w:t>[100]</w:t>
      </w:r>
      <w:r w:rsidRPr="000B673D">
        <w:rPr>
          <w:rFonts w:ascii="Aptos" w:hAnsi="Aptos"/>
        </w:rPr>
        <w:tab/>
        <w:t xml:space="preserve">S. Sharifi, A. R. Razmi, M. H. Nabat, J. J. Liu, A. Arabkoohsar, and M. Shahbakhti, “Power-to-X,” in </w:t>
      </w:r>
      <w:r w:rsidRPr="000B673D">
        <w:rPr>
          <w:rFonts w:ascii="Aptos" w:hAnsi="Aptos"/>
          <w:i/>
          <w:iCs/>
        </w:rPr>
        <w:t>Future Grid-Scale Energy Storage Solutions</w:t>
      </w:r>
      <w:r w:rsidRPr="000B673D">
        <w:rPr>
          <w:rFonts w:ascii="Aptos" w:hAnsi="Aptos"/>
        </w:rPr>
        <w:t>, Elsevier, 2023, pp. 621–646. doi: 10.1016/B978-0-323-90786-6.00003-0.</w:t>
      </w:r>
    </w:p>
    <w:p w14:paraId="0FF24D59" w14:textId="77777777" w:rsidR="000B673D" w:rsidRPr="000B673D" w:rsidRDefault="000B673D" w:rsidP="000B673D">
      <w:pPr>
        <w:pStyle w:val="Bibliography"/>
        <w:rPr>
          <w:rFonts w:ascii="Aptos" w:hAnsi="Aptos"/>
        </w:rPr>
      </w:pPr>
      <w:r w:rsidRPr="000B673D">
        <w:rPr>
          <w:rFonts w:ascii="Aptos" w:hAnsi="Aptos"/>
        </w:rPr>
        <w:t>[101]</w:t>
      </w:r>
      <w:r w:rsidRPr="000B673D">
        <w:rPr>
          <w:rFonts w:ascii="Aptos" w:hAnsi="Aptos"/>
        </w:rPr>
        <w:tab/>
        <w:t>S. Hajipour, “Economic Evaluation using Aspen HYSYS,” Process Ecology. Accessed: Apr. 21, 2024. [Online]. Available: https://processecology.com/articles/economic-evaluation-using-aspen-hysys</w:t>
      </w:r>
    </w:p>
    <w:p w14:paraId="5D8E044E" w14:textId="77777777" w:rsidR="000B673D" w:rsidRPr="000B673D" w:rsidRDefault="000B673D" w:rsidP="000B673D">
      <w:pPr>
        <w:pStyle w:val="Bibliography"/>
        <w:rPr>
          <w:rFonts w:ascii="Aptos" w:hAnsi="Aptos"/>
        </w:rPr>
      </w:pPr>
      <w:r w:rsidRPr="000B673D">
        <w:rPr>
          <w:rFonts w:ascii="Aptos" w:hAnsi="Aptos"/>
        </w:rPr>
        <w:t>[102]</w:t>
      </w:r>
      <w:r w:rsidRPr="000B673D">
        <w:rPr>
          <w:rFonts w:ascii="Aptos" w:hAnsi="Aptos"/>
        </w:rPr>
        <w:tab/>
        <w:t>J. Goyne, V. Holten, and R. Wang, “On-Site Flare Gas Utilization: Generating Electricity and Flue Gas for EOR.” Duke University, 2018. [Online]. Available: https://sites.duke.edu/adhoc_energy__environment_/files/2018/08/Flare-Gas_Flue-Gas-Poster.pdf</w:t>
      </w:r>
    </w:p>
    <w:p w14:paraId="2C480E49" w14:textId="77777777" w:rsidR="000B673D" w:rsidRPr="000B673D" w:rsidRDefault="000B673D" w:rsidP="000B673D">
      <w:pPr>
        <w:pStyle w:val="Bibliography"/>
        <w:rPr>
          <w:rFonts w:ascii="Aptos" w:hAnsi="Aptos"/>
        </w:rPr>
      </w:pPr>
      <w:r w:rsidRPr="000B673D">
        <w:rPr>
          <w:rFonts w:ascii="Aptos" w:hAnsi="Aptos"/>
        </w:rPr>
        <w:t>[103]</w:t>
      </w:r>
      <w:r w:rsidRPr="000B673D">
        <w:rPr>
          <w:rFonts w:ascii="Aptos" w:hAnsi="Aptos"/>
        </w:rPr>
        <w:tab/>
        <w:t xml:space="preserve">American Petroleum Institute, </w:t>
      </w:r>
      <w:r w:rsidRPr="000B673D">
        <w:rPr>
          <w:rFonts w:ascii="Aptos" w:hAnsi="Aptos"/>
          <w:i/>
          <w:iCs/>
        </w:rPr>
        <w:t>API 6A: Specification for Wellhead and Christmas Tree Equipment</w:t>
      </w:r>
      <w:r w:rsidRPr="000B673D">
        <w:rPr>
          <w:rFonts w:ascii="Aptos" w:hAnsi="Aptos"/>
        </w:rPr>
        <w:t>, Nineteenth Edition. [Online]. Available: https://law.resource.org/pub/us/cfr/ibr/002/api.6a.2004.pdf</w:t>
      </w:r>
    </w:p>
    <w:p w14:paraId="6358DA36" w14:textId="77777777" w:rsidR="000B673D" w:rsidRPr="000B673D" w:rsidRDefault="000B673D" w:rsidP="000B673D">
      <w:pPr>
        <w:pStyle w:val="Bibliography"/>
        <w:rPr>
          <w:rFonts w:ascii="Aptos" w:hAnsi="Aptos"/>
        </w:rPr>
      </w:pPr>
      <w:r w:rsidRPr="000B673D">
        <w:rPr>
          <w:rFonts w:ascii="Aptos" w:hAnsi="Aptos"/>
        </w:rPr>
        <w:t>[104]</w:t>
      </w:r>
      <w:r w:rsidRPr="000B673D">
        <w:rPr>
          <w:rFonts w:ascii="Aptos" w:hAnsi="Aptos"/>
        </w:rPr>
        <w:tab/>
        <w:t xml:space="preserve">J. Siažik and M. Malcho, “Accumulation of Primary Energy Into Natural Gas Hydrates,” </w:t>
      </w:r>
      <w:r w:rsidRPr="000B673D">
        <w:rPr>
          <w:rFonts w:ascii="Aptos" w:hAnsi="Aptos"/>
          <w:i/>
          <w:iCs/>
        </w:rPr>
        <w:t>Procedia Eng.</w:t>
      </w:r>
      <w:r w:rsidRPr="000B673D">
        <w:rPr>
          <w:rFonts w:ascii="Aptos" w:hAnsi="Aptos"/>
        </w:rPr>
        <w:t>, vol. 192, pp. 782–787, Jan. 2017, doi: 10.1016/j.proeng.2017.06.135.</w:t>
      </w:r>
    </w:p>
    <w:p w14:paraId="62B845B2" w14:textId="77777777" w:rsidR="000B673D" w:rsidRPr="000B673D" w:rsidRDefault="000B673D" w:rsidP="000B673D">
      <w:pPr>
        <w:pStyle w:val="Bibliography"/>
        <w:rPr>
          <w:rFonts w:ascii="Aptos" w:hAnsi="Aptos"/>
        </w:rPr>
      </w:pPr>
      <w:r w:rsidRPr="000B673D">
        <w:rPr>
          <w:rFonts w:ascii="Aptos" w:hAnsi="Aptos"/>
        </w:rPr>
        <w:t>[105]</w:t>
      </w:r>
      <w:r w:rsidRPr="000B673D">
        <w:rPr>
          <w:rFonts w:ascii="Aptos" w:hAnsi="Aptos"/>
        </w:rPr>
        <w:tab/>
      </w:r>
      <w:r w:rsidRPr="000B673D">
        <w:rPr>
          <w:rFonts w:ascii="Aptos" w:hAnsi="Aptos"/>
          <w:i/>
          <w:iCs/>
        </w:rPr>
        <w:t>Natural Gas Sweetening Process with DEA || Aspen HYSYS</w:t>
      </w:r>
      <w:r w:rsidRPr="000B673D">
        <w:rPr>
          <w:rFonts w:ascii="Aptos" w:hAnsi="Aptos"/>
        </w:rPr>
        <w:t>, (Nov. 18, 2021). Accessed: Oct. 18, 2023. [Online Video]. Available: https://www.youtube.com/watch?v=gXU2d0f4IeA</w:t>
      </w:r>
    </w:p>
    <w:p w14:paraId="5256B613" w14:textId="77777777" w:rsidR="000B673D" w:rsidRPr="000B673D" w:rsidRDefault="000B673D" w:rsidP="000B673D">
      <w:pPr>
        <w:pStyle w:val="Bibliography"/>
        <w:rPr>
          <w:rFonts w:ascii="Aptos" w:hAnsi="Aptos"/>
        </w:rPr>
      </w:pPr>
      <w:r w:rsidRPr="000B673D">
        <w:rPr>
          <w:rFonts w:ascii="Aptos" w:hAnsi="Aptos"/>
        </w:rPr>
        <w:t>[106]</w:t>
      </w:r>
      <w:r w:rsidRPr="000B673D">
        <w:rPr>
          <w:rFonts w:ascii="Aptos" w:hAnsi="Aptos"/>
        </w:rPr>
        <w:tab/>
      </w:r>
      <w:r w:rsidRPr="000B673D">
        <w:rPr>
          <w:rFonts w:ascii="Aptos" w:hAnsi="Aptos"/>
          <w:i/>
          <w:iCs/>
        </w:rPr>
        <w:t>Amine Sweetening Unit with MDEA || Aspen HYSYS</w:t>
      </w:r>
      <w:r w:rsidRPr="000B673D">
        <w:rPr>
          <w:rFonts w:ascii="Aptos" w:hAnsi="Aptos"/>
        </w:rPr>
        <w:t>, (Aug. 31, 2020). Accessed: Oct. 18, 2023. [Online Video]. Available: https://www.youtube.com/watch?v=G9kyi9OKVKg</w:t>
      </w:r>
    </w:p>
    <w:p w14:paraId="6393CCC5" w14:textId="77777777" w:rsidR="000B673D" w:rsidRPr="000B673D" w:rsidRDefault="000B673D" w:rsidP="000B673D">
      <w:pPr>
        <w:pStyle w:val="Bibliography"/>
        <w:rPr>
          <w:rFonts w:ascii="Aptos" w:hAnsi="Aptos"/>
        </w:rPr>
      </w:pPr>
      <w:r w:rsidRPr="000B673D">
        <w:rPr>
          <w:rFonts w:ascii="Aptos" w:hAnsi="Aptos"/>
        </w:rPr>
        <w:t>[107]</w:t>
      </w:r>
      <w:r w:rsidRPr="000B673D">
        <w:rPr>
          <w:rFonts w:ascii="Aptos" w:hAnsi="Aptos"/>
        </w:rPr>
        <w:tab/>
        <w:t>Railroad Commission of Texas, “Hydrogen Sulfide H2S Fields &amp; Concentration Listings,” Hydrogen Sulfide (H2S) Fields &amp; Concentration Listings. Accessed: Oct. 09, 2023. [Online]. Available: https://www.rrc.texas.gov/oil-and-gas/research-and-statistics/field-data/hydrogen-sulfide-h2s/</w:t>
      </w:r>
    </w:p>
    <w:p w14:paraId="3823818D" w14:textId="77777777" w:rsidR="000B673D" w:rsidRPr="000B673D" w:rsidRDefault="000B673D" w:rsidP="000B673D">
      <w:pPr>
        <w:pStyle w:val="Bibliography"/>
        <w:rPr>
          <w:rFonts w:ascii="Aptos" w:hAnsi="Aptos"/>
        </w:rPr>
      </w:pPr>
      <w:r w:rsidRPr="000B673D">
        <w:rPr>
          <w:rFonts w:ascii="Aptos" w:hAnsi="Aptos"/>
        </w:rPr>
        <w:t>[108]</w:t>
      </w:r>
      <w:r w:rsidRPr="000B673D">
        <w:rPr>
          <w:rFonts w:ascii="Aptos" w:hAnsi="Aptos"/>
        </w:rPr>
        <w:tab/>
        <w:t>S. Joshi, H. Hussain, P. Tiwari, D. Rahman, and T. Aldajani, “IMPROVE GAS TURBINE/ENGINE PERFORMANCE AND REDUCE MAINTENANCE USING MEMBRANES FOR FUEL GAS CONDITIONING.” MTR Inc, 2015. [Online]. Available: https://www.mtrinc.com/wp-content/uploads/2018/09/NG08-MTR-Power-Gen-NG-2015.pdf</w:t>
      </w:r>
    </w:p>
    <w:p w14:paraId="452DCBD9" w14:textId="77777777" w:rsidR="000B673D" w:rsidRPr="000B673D" w:rsidRDefault="000B673D" w:rsidP="000B673D">
      <w:pPr>
        <w:pStyle w:val="Bibliography"/>
        <w:rPr>
          <w:rFonts w:ascii="Aptos" w:hAnsi="Aptos"/>
        </w:rPr>
      </w:pPr>
      <w:r w:rsidRPr="000B673D">
        <w:rPr>
          <w:rFonts w:ascii="Aptos" w:hAnsi="Aptos"/>
        </w:rPr>
        <w:t>[109]</w:t>
      </w:r>
      <w:r w:rsidRPr="000B673D">
        <w:rPr>
          <w:rFonts w:ascii="Aptos" w:hAnsi="Aptos"/>
        </w:rPr>
        <w:tab/>
        <w:t xml:space="preserve">M. Sakbodin </w:t>
      </w:r>
      <w:r w:rsidRPr="000B673D">
        <w:rPr>
          <w:rFonts w:ascii="Aptos" w:hAnsi="Aptos"/>
          <w:i/>
          <w:iCs/>
        </w:rPr>
        <w:t>et al.</w:t>
      </w:r>
      <w:r w:rsidRPr="000B673D">
        <w:rPr>
          <w:rFonts w:ascii="Aptos" w:hAnsi="Aptos"/>
        </w:rPr>
        <w:t xml:space="preserve">, “Direct Nonoxidative Methane Conversion in an Autothermal Hydrogen-Permeable Membrane Reactor,” </w:t>
      </w:r>
      <w:r w:rsidRPr="000B673D">
        <w:rPr>
          <w:rFonts w:ascii="Aptos" w:hAnsi="Aptos"/>
          <w:i/>
          <w:iCs/>
        </w:rPr>
        <w:t>Adv. Energy Mater.</w:t>
      </w:r>
      <w:r w:rsidRPr="000B673D">
        <w:rPr>
          <w:rFonts w:ascii="Aptos" w:hAnsi="Aptos"/>
        </w:rPr>
        <w:t>, vol. 11, no. 46, p. 2102782, 2021, doi: 10.1002/aenm.202102782.</w:t>
      </w:r>
    </w:p>
    <w:p w14:paraId="08F22491" w14:textId="77777777" w:rsidR="000B673D" w:rsidRPr="000B673D" w:rsidRDefault="000B673D" w:rsidP="000B673D">
      <w:pPr>
        <w:pStyle w:val="Bibliography"/>
        <w:rPr>
          <w:rFonts w:ascii="Aptos" w:hAnsi="Aptos"/>
        </w:rPr>
      </w:pPr>
      <w:r w:rsidRPr="000B673D">
        <w:rPr>
          <w:rFonts w:ascii="Aptos" w:hAnsi="Aptos"/>
        </w:rPr>
        <w:t>[110]</w:t>
      </w:r>
      <w:r w:rsidRPr="000B673D">
        <w:rPr>
          <w:rFonts w:ascii="Aptos" w:hAnsi="Aptos"/>
        </w:rPr>
        <w:tab/>
        <w:t xml:space="preserve">Y. Fan </w:t>
      </w:r>
      <w:r w:rsidRPr="000B673D">
        <w:rPr>
          <w:rFonts w:ascii="Aptos" w:hAnsi="Aptos"/>
          <w:i/>
          <w:iCs/>
        </w:rPr>
        <w:t>et al.</w:t>
      </w:r>
      <w:r w:rsidRPr="000B673D">
        <w:rPr>
          <w:rFonts w:ascii="Aptos" w:hAnsi="Aptos"/>
        </w:rPr>
        <w:t xml:space="preserve">, “Barium-doped Sr2Fe1.5Mo0.5O6-δ perovskite anode materials for protonic ceramic fuel cells for ethane conversion,” </w:t>
      </w:r>
      <w:r w:rsidRPr="000B673D">
        <w:rPr>
          <w:rFonts w:ascii="Aptos" w:hAnsi="Aptos"/>
          <w:i/>
          <w:iCs/>
        </w:rPr>
        <w:t>J. Am. Ceram. Soc.</w:t>
      </w:r>
      <w:r w:rsidRPr="000B673D">
        <w:rPr>
          <w:rFonts w:ascii="Aptos" w:hAnsi="Aptos"/>
        </w:rPr>
        <w:t>, vol. 105, no. 5, pp. 3613–3624, 2022, doi: 10.1111/jace.18329.</w:t>
      </w:r>
    </w:p>
    <w:p w14:paraId="4C719542" w14:textId="77777777" w:rsidR="000B673D" w:rsidRPr="000B673D" w:rsidRDefault="000B673D" w:rsidP="000B673D">
      <w:pPr>
        <w:pStyle w:val="Bibliography"/>
        <w:rPr>
          <w:rFonts w:ascii="Aptos" w:hAnsi="Aptos"/>
        </w:rPr>
      </w:pPr>
      <w:r w:rsidRPr="000B673D">
        <w:rPr>
          <w:rFonts w:ascii="Aptos" w:hAnsi="Aptos"/>
        </w:rPr>
        <w:t>[111]</w:t>
      </w:r>
      <w:r w:rsidRPr="000B673D">
        <w:rPr>
          <w:rFonts w:ascii="Aptos" w:hAnsi="Aptos"/>
        </w:rPr>
        <w:tab/>
        <w:t>“Electric Power Monthly - U.S. Energy Information Administration (EIA).” Accessed: Sep. 20, 2023. [Online]. Available: https://www.eia.gov/electricity/monthly/index.php</w:t>
      </w:r>
    </w:p>
    <w:p w14:paraId="3C77E2DD" w14:textId="77777777" w:rsidR="000B673D" w:rsidRPr="000B673D" w:rsidRDefault="000B673D" w:rsidP="000B673D">
      <w:pPr>
        <w:pStyle w:val="Bibliography"/>
        <w:rPr>
          <w:rFonts w:ascii="Aptos" w:hAnsi="Aptos"/>
        </w:rPr>
      </w:pPr>
      <w:r w:rsidRPr="000B673D">
        <w:rPr>
          <w:rFonts w:ascii="Aptos" w:hAnsi="Aptos"/>
        </w:rPr>
        <w:t>[112]</w:t>
      </w:r>
      <w:r w:rsidRPr="000B673D">
        <w:rPr>
          <w:rFonts w:ascii="Aptos" w:hAnsi="Aptos"/>
        </w:rPr>
        <w:tab/>
        <w:t>World Perspectives, Inc. and U.S. Grains Council, “Ethanol Market and Pricing Data Report: September 20, 2023.” Accessed: Sep. 20, 2023. [Online]. Available: https://grains.org/ethanol_report/ethanol-market-and-pricing-data-september-20-2023/</w:t>
      </w:r>
    </w:p>
    <w:p w14:paraId="5E47029D" w14:textId="77777777" w:rsidR="000B673D" w:rsidRPr="000B673D" w:rsidRDefault="000B673D" w:rsidP="000B673D">
      <w:pPr>
        <w:pStyle w:val="Bibliography"/>
        <w:rPr>
          <w:rFonts w:ascii="Aptos" w:hAnsi="Aptos"/>
        </w:rPr>
      </w:pPr>
      <w:r w:rsidRPr="000B673D">
        <w:rPr>
          <w:rFonts w:ascii="Aptos" w:hAnsi="Aptos"/>
        </w:rPr>
        <w:t>[113]</w:t>
      </w:r>
      <w:r w:rsidRPr="000B673D">
        <w:rPr>
          <w:rFonts w:ascii="Aptos" w:hAnsi="Aptos"/>
        </w:rPr>
        <w:tab/>
        <w:t>“Modular carbon capture systems for industry | Carbon Clean.” Accessed: Apr. 22, 2024. [Online]. Available: https://www.carbonclean.com/modular-carbon-capture-systems</w:t>
      </w:r>
    </w:p>
    <w:p w14:paraId="653C2211" w14:textId="77777777" w:rsidR="000B673D" w:rsidRPr="000B673D" w:rsidRDefault="000B673D" w:rsidP="000B673D">
      <w:pPr>
        <w:pStyle w:val="Bibliography"/>
        <w:rPr>
          <w:rFonts w:ascii="Aptos" w:hAnsi="Aptos"/>
        </w:rPr>
      </w:pPr>
      <w:r w:rsidRPr="000B673D">
        <w:rPr>
          <w:rFonts w:ascii="Aptos" w:hAnsi="Aptos"/>
        </w:rPr>
        <w:t>[114]</w:t>
      </w:r>
      <w:r w:rsidRPr="000B673D">
        <w:rPr>
          <w:rFonts w:ascii="Aptos" w:hAnsi="Aptos"/>
        </w:rPr>
        <w:tab/>
        <w:t>“Carbon Clean launches modular CO₂ capture system,” Chemical &amp; Engineering News. Accessed: Apr. 22, 2024. [Online]. Available: https://cen.acs.org/environment/climate-change/Carbon-Clean-launches-modular-CO2/99/web/2021/11</w:t>
      </w:r>
    </w:p>
    <w:p w14:paraId="4EF3C8A2" w14:textId="77777777" w:rsidR="000B673D" w:rsidRPr="000B673D" w:rsidRDefault="000B673D" w:rsidP="000B673D">
      <w:pPr>
        <w:pStyle w:val="Bibliography"/>
        <w:rPr>
          <w:rFonts w:ascii="Aptos" w:hAnsi="Aptos"/>
        </w:rPr>
      </w:pPr>
      <w:r w:rsidRPr="000B673D">
        <w:rPr>
          <w:rFonts w:ascii="Aptos" w:hAnsi="Aptos"/>
        </w:rPr>
        <w:t>[115]</w:t>
      </w:r>
      <w:r w:rsidRPr="000B673D">
        <w:rPr>
          <w:rFonts w:ascii="Aptos" w:hAnsi="Aptos"/>
        </w:rPr>
        <w:tab/>
        <w:t>“Heavy and Tractor-Trailer Truck Drivers.” Accessed: Oct. 06, 2023. [Online]. Available: https://www.bls.gov/oes/current/oes533032.htm</w:t>
      </w:r>
    </w:p>
    <w:p w14:paraId="7964BC40" w14:textId="77777777" w:rsidR="000B673D" w:rsidRPr="000B673D" w:rsidRDefault="000B673D" w:rsidP="000B673D">
      <w:pPr>
        <w:pStyle w:val="Bibliography"/>
        <w:rPr>
          <w:rFonts w:ascii="Aptos" w:hAnsi="Aptos"/>
        </w:rPr>
      </w:pPr>
      <w:r w:rsidRPr="000B673D">
        <w:rPr>
          <w:rFonts w:ascii="Aptos" w:hAnsi="Aptos"/>
        </w:rPr>
        <w:t>[116]</w:t>
      </w:r>
      <w:r w:rsidRPr="000B673D">
        <w:rPr>
          <w:rFonts w:ascii="Aptos" w:hAnsi="Aptos"/>
        </w:rPr>
        <w:tab/>
        <w:t>ICF International, “Breakeven Analysis for Four Flare Gas Capture Options,” Apr. 2016. [Online]. Available: https://www.edf.org/sites/default/files/content/blm_breakeven_analysis_memo_final_4_22_2016.reviewed.pdf</w:t>
      </w:r>
    </w:p>
    <w:p w14:paraId="2896D571" w14:textId="77777777" w:rsidR="000B673D" w:rsidRPr="000B673D" w:rsidRDefault="000B673D" w:rsidP="000B673D">
      <w:pPr>
        <w:pStyle w:val="Bibliography"/>
        <w:rPr>
          <w:rFonts w:ascii="Aptos" w:hAnsi="Aptos"/>
        </w:rPr>
      </w:pPr>
      <w:r w:rsidRPr="000B673D">
        <w:rPr>
          <w:rFonts w:ascii="Aptos" w:hAnsi="Aptos"/>
        </w:rPr>
        <w:t>[117]</w:t>
      </w:r>
      <w:r w:rsidRPr="000B673D">
        <w:rPr>
          <w:rFonts w:ascii="Aptos" w:hAnsi="Aptos"/>
        </w:rPr>
        <w:tab/>
        <w:t xml:space="preserve">D. J. Ramberg, Y. H. Henry Chen, S. Paltsev, and J. E. Parsons, “The economic viability of gas-to-liquids technology and the crude oil–natural gas price relationship,” </w:t>
      </w:r>
      <w:r w:rsidRPr="000B673D">
        <w:rPr>
          <w:rFonts w:ascii="Aptos" w:hAnsi="Aptos"/>
          <w:i/>
          <w:iCs/>
        </w:rPr>
        <w:t>Energy Econ.</w:t>
      </w:r>
      <w:r w:rsidRPr="000B673D">
        <w:rPr>
          <w:rFonts w:ascii="Aptos" w:hAnsi="Aptos"/>
        </w:rPr>
        <w:t>, vol. 63, pp. 13–21, Mar. 2017, doi: 10.1016/j.eneco.2017.01.017.</w:t>
      </w:r>
    </w:p>
    <w:p w14:paraId="3D8722FF" w14:textId="77777777" w:rsidR="000B673D" w:rsidRPr="000B673D" w:rsidRDefault="000B673D" w:rsidP="000B673D">
      <w:pPr>
        <w:pStyle w:val="Bibliography"/>
        <w:rPr>
          <w:rFonts w:ascii="Aptos" w:hAnsi="Aptos"/>
        </w:rPr>
      </w:pPr>
      <w:r w:rsidRPr="000B673D">
        <w:rPr>
          <w:rFonts w:ascii="Aptos" w:hAnsi="Aptos"/>
        </w:rPr>
        <w:t>[118]</w:t>
      </w:r>
      <w:r w:rsidRPr="000B673D">
        <w:rPr>
          <w:rFonts w:ascii="Aptos" w:hAnsi="Aptos"/>
        </w:rPr>
        <w:tab/>
        <w:t xml:space="preserve">F. G. Albrecht and T.-V. Nguyen, “Prospects of electrofuels to defossilize transportation in Denmark – A techno-economic and ecological analysis,” </w:t>
      </w:r>
      <w:r w:rsidRPr="000B673D">
        <w:rPr>
          <w:rFonts w:ascii="Aptos" w:hAnsi="Aptos"/>
          <w:i/>
          <w:iCs/>
        </w:rPr>
        <w:t>Energy</w:t>
      </w:r>
      <w:r w:rsidRPr="000B673D">
        <w:rPr>
          <w:rFonts w:ascii="Aptos" w:hAnsi="Aptos"/>
        </w:rPr>
        <w:t>, vol. 192, p. 116511, Feb. 2020, doi: 10.1016/j.energy.2019.116511.</w:t>
      </w:r>
    </w:p>
    <w:p w14:paraId="04566D67" w14:textId="77777777" w:rsidR="000B673D" w:rsidRPr="000B673D" w:rsidRDefault="000B673D" w:rsidP="000B673D">
      <w:pPr>
        <w:pStyle w:val="Bibliography"/>
        <w:rPr>
          <w:rFonts w:ascii="Aptos" w:hAnsi="Aptos"/>
        </w:rPr>
      </w:pPr>
      <w:r w:rsidRPr="000B673D">
        <w:rPr>
          <w:rFonts w:ascii="Aptos" w:hAnsi="Aptos"/>
        </w:rPr>
        <w:t>[119]</w:t>
      </w:r>
      <w:r w:rsidRPr="000B673D">
        <w:rPr>
          <w:rFonts w:ascii="Aptos" w:hAnsi="Aptos"/>
        </w:rPr>
        <w:tab/>
        <w:t>“U.S. industrial retail electricity price 2023,” Statista. Accessed: Apr. 22, 2024. [Online]. Available: https://www.statista.com/statistics/190680/us-industrial-consumer-price-estimates-for-retail-electricity-since-1970/</w:t>
      </w:r>
    </w:p>
    <w:p w14:paraId="02AFB6F4" w14:textId="77777777" w:rsidR="000B673D" w:rsidRPr="000B673D" w:rsidRDefault="000B673D" w:rsidP="000B673D">
      <w:pPr>
        <w:pStyle w:val="Bibliography"/>
        <w:rPr>
          <w:rFonts w:ascii="Aptos" w:hAnsi="Aptos"/>
        </w:rPr>
      </w:pPr>
      <w:r w:rsidRPr="000B673D">
        <w:rPr>
          <w:rFonts w:ascii="Aptos" w:hAnsi="Aptos"/>
        </w:rPr>
        <w:t>[120]</w:t>
      </w:r>
      <w:r w:rsidRPr="000B673D">
        <w:rPr>
          <w:rFonts w:ascii="Aptos" w:hAnsi="Aptos"/>
        </w:rPr>
        <w:tab/>
        <w:t>“Electricity in the U.S. - U.S. Energy Information Administration (EIA).” Accessed: Apr. 22, 2024. [Online]. Available: https://www.eia.gov/energyexplained/electricity/electricity-in-the-us.php</w:t>
      </w:r>
    </w:p>
    <w:p w14:paraId="2A0A5A67" w14:textId="77777777" w:rsidR="000B673D" w:rsidRPr="000B673D" w:rsidRDefault="000B673D" w:rsidP="000B673D">
      <w:pPr>
        <w:pStyle w:val="Bibliography"/>
        <w:rPr>
          <w:rFonts w:ascii="Aptos" w:hAnsi="Aptos"/>
        </w:rPr>
      </w:pPr>
      <w:r w:rsidRPr="000B673D">
        <w:rPr>
          <w:rFonts w:ascii="Aptos" w:hAnsi="Aptos"/>
        </w:rPr>
        <w:t>[121]</w:t>
      </w:r>
      <w:r w:rsidRPr="000B673D">
        <w:rPr>
          <w:rFonts w:ascii="Aptos" w:hAnsi="Aptos"/>
        </w:rPr>
        <w:tab/>
        <w:t>EIA, “Construction cost data for electric generators installed in 2020.” Aug. 23, 2022. Accessed: Sep. 16, 2023. [Excel]. Available: https://www.eia.gov/electricity/generatorcosts/index.php</w:t>
      </w:r>
    </w:p>
    <w:p w14:paraId="6A3AD7E4" w14:textId="77777777" w:rsidR="000B673D" w:rsidRPr="000B673D" w:rsidRDefault="000B673D" w:rsidP="000B673D">
      <w:pPr>
        <w:pStyle w:val="Bibliography"/>
        <w:rPr>
          <w:rFonts w:ascii="Aptos" w:hAnsi="Aptos"/>
        </w:rPr>
      </w:pPr>
      <w:r w:rsidRPr="000B673D">
        <w:rPr>
          <w:rFonts w:ascii="Aptos" w:hAnsi="Aptos"/>
        </w:rPr>
        <w:t>[122]</w:t>
      </w:r>
      <w:r w:rsidRPr="000B673D">
        <w:rPr>
          <w:rFonts w:ascii="Aptos" w:hAnsi="Aptos"/>
        </w:rPr>
        <w:tab/>
        <w:t>U.S. Energy Information Administration, “Natural gas and the environment.” Accessed: Oct. 18, 2023. [Online]. Available: https://www.eia.gov/energyexplained/natural-gas/natural-gas-and-the-environment.php</w:t>
      </w:r>
    </w:p>
    <w:p w14:paraId="6E7938B1" w14:textId="77777777" w:rsidR="000B673D" w:rsidRPr="000B673D" w:rsidRDefault="000B673D" w:rsidP="000B673D">
      <w:pPr>
        <w:pStyle w:val="Bibliography"/>
        <w:rPr>
          <w:rFonts w:ascii="Aptos" w:hAnsi="Aptos"/>
        </w:rPr>
      </w:pPr>
      <w:r w:rsidRPr="000B673D">
        <w:rPr>
          <w:rFonts w:ascii="Aptos" w:hAnsi="Aptos"/>
        </w:rPr>
        <w:t>[123]</w:t>
      </w:r>
      <w:r w:rsidRPr="000B673D">
        <w:rPr>
          <w:rFonts w:ascii="Aptos" w:hAnsi="Aptos"/>
        </w:rPr>
        <w:tab/>
        <w:t>“Frequently Asked Questions (FAQs) - U.S. Energy Information Administration (EIA).” Accessed: Aug. 16, 2023. [Online]. Available: https://www.eia.gov/tools/faqs/faq.php</w:t>
      </w:r>
    </w:p>
    <w:p w14:paraId="3B80C999" w14:textId="77777777" w:rsidR="000B673D" w:rsidRPr="000B673D" w:rsidRDefault="000B673D" w:rsidP="000B673D">
      <w:pPr>
        <w:pStyle w:val="Bibliography"/>
        <w:rPr>
          <w:rFonts w:ascii="Aptos" w:hAnsi="Aptos"/>
        </w:rPr>
      </w:pPr>
      <w:r w:rsidRPr="000B673D">
        <w:rPr>
          <w:rFonts w:ascii="Aptos" w:hAnsi="Aptos"/>
        </w:rPr>
        <w:t>[124]</w:t>
      </w:r>
      <w:r w:rsidRPr="000B673D">
        <w:rPr>
          <w:rFonts w:ascii="Aptos" w:hAnsi="Aptos"/>
        </w:rPr>
        <w:tab/>
        <w:t>Colorado School of Mines, “Development of Intermediate-Temperature Fuel-Flexible Protonic-Ceramic Fuel Cells,” DEVELOPMENT OF INTERMEDIATE-TEMPERATURE FUEL-FLEXIBLE PROTONIC-CERAMIC FUEL CELLS. Accessed: Oct. 09, 2023. [Online]. Available: https://aes.mines.edu/development-of-intermediate-temperature-fuel-flexible-protonic-ceramic-fuel-cells/</w:t>
      </w:r>
    </w:p>
    <w:p w14:paraId="56C2D09E" w14:textId="77777777" w:rsidR="000B673D" w:rsidRPr="000B673D" w:rsidRDefault="000B673D" w:rsidP="000B673D">
      <w:pPr>
        <w:pStyle w:val="Bibliography"/>
        <w:rPr>
          <w:rFonts w:ascii="Aptos" w:hAnsi="Aptos"/>
        </w:rPr>
      </w:pPr>
      <w:r w:rsidRPr="000B673D">
        <w:rPr>
          <w:rFonts w:ascii="Aptos" w:hAnsi="Aptos"/>
        </w:rPr>
        <w:t>[125]</w:t>
      </w:r>
      <w:r w:rsidRPr="000B673D">
        <w:rPr>
          <w:rFonts w:ascii="Aptos" w:hAnsi="Aptos"/>
        </w:rPr>
        <w:tab/>
        <w:t xml:space="preserve">F. T. Alsudani </w:t>
      </w:r>
      <w:r w:rsidRPr="000B673D">
        <w:rPr>
          <w:rFonts w:ascii="Aptos" w:hAnsi="Aptos"/>
          <w:i/>
          <w:iCs/>
        </w:rPr>
        <w:t>et al.</w:t>
      </w:r>
      <w:r w:rsidRPr="000B673D">
        <w:rPr>
          <w:rFonts w:ascii="Aptos" w:hAnsi="Aptos"/>
        </w:rPr>
        <w:t xml:space="preserve">, “Fisher–Tropsch Synthesis for Conversion of Methane into Liquid Hydrocarbons through Gas-to-Liquids (GTL) Process: A Review,” </w:t>
      </w:r>
      <w:r w:rsidRPr="000B673D">
        <w:rPr>
          <w:rFonts w:ascii="Aptos" w:hAnsi="Aptos"/>
          <w:i/>
          <w:iCs/>
        </w:rPr>
        <w:t>Methane</w:t>
      </w:r>
      <w:r w:rsidRPr="000B673D">
        <w:rPr>
          <w:rFonts w:ascii="Aptos" w:hAnsi="Aptos"/>
        </w:rPr>
        <w:t>, vol. 2, no. 1, Art. no. 1, Mar. 2023, doi: 10.3390/methane2010002.</w:t>
      </w:r>
    </w:p>
    <w:p w14:paraId="0ACA15AB" w14:textId="77777777" w:rsidR="000B673D" w:rsidRPr="000B673D" w:rsidRDefault="000B673D" w:rsidP="000B673D">
      <w:pPr>
        <w:pStyle w:val="Bibliography"/>
        <w:rPr>
          <w:rFonts w:ascii="Aptos" w:hAnsi="Aptos"/>
        </w:rPr>
      </w:pPr>
      <w:r w:rsidRPr="000B673D">
        <w:rPr>
          <w:rFonts w:ascii="Aptos" w:hAnsi="Aptos"/>
        </w:rPr>
        <w:t>[126]</w:t>
      </w:r>
      <w:r w:rsidRPr="000B673D">
        <w:rPr>
          <w:rFonts w:ascii="Aptos" w:hAnsi="Aptos"/>
        </w:rPr>
        <w:tab/>
        <w:t xml:space="preserve">J. Xue, Y. Chen, Y. Wei, A. Feldhoff, H. Wang, and J. Caro, “Gas to Liquids: Natural Gas Conversion to Aromatic Fuels and Chemicals in a Hydrogen-Permeable Ceramic Hollow Fiber Membrane Reactor,” </w:t>
      </w:r>
      <w:r w:rsidRPr="000B673D">
        <w:rPr>
          <w:rFonts w:ascii="Aptos" w:hAnsi="Aptos"/>
          <w:i/>
          <w:iCs/>
        </w:rPr>
        <w:t>ACS Catal.</w:t>
      </w:r>
      <w:r w:rsidRPr="000B673D">
        <w:rPr>
          <w:rFonts w:ascii="Aptos" w:hAnsi="Aptos"/>
        </w:rPr>
        <w:t>, vol. 6, no. 4, pp. 2448–2451, Apr. 2016, doi: 10.1021/acscatal.6b00004.</w:t>
      </w:r>
    </w:p>
    <w:p w14:paraId="05ADF38D" w14:textId="77777777" w:rsidR="000B673D" w:rsidRPr="000B673D" w:rsidRDefault="000B673D" w:rsidP="000B673D">
      <w:pPr>
        <w:pStyle w:val="Bibliography"/>
        <w:rPr>
          <w:rFonts w:ascii="Aptos" w:hAnsi="Aptos"/>
        </w:rPr>
      </w:pPr>
      <w:r w:rsidRPr="000B673D">
        <w:rPr>
          <w:rFonts w:ascii="Aptos" w:hAnsi="Aptos"/>
        </w:rPr>
        <w:t>[127]</w:t>
      </w:r>
      <w:r w:rsidRPr="000B673D">
        <w:rPr>
          <w:rFonts w:ascii="Aptos" w:hAnsi="Aptos"/>
        </w:rPr>
        <w:tab/>
        <w:t>“Combined-cycle gas turbines (2022),” Ipieca. Accessed: Oct. 09, 2023. [Online]. Available: https://www.ipieca.org/resources/energy-efficiency-solutions/combined-cycle-gas-turbines-2022</w:t>
      </w:r>
    </w:p>
    <w:p w14:paraId="7D652510" w14:textId="77777777" w:rsidR="000B673D" w:rsidRPr="000B673D" w:rsidRDefault="000B673D" w:rsidP="000B673D">
      <w:pPr>
        <w:pStyle w:val="Bibliography"/>
        <w:rPr>
          <w:rFonts w:ascii="Aptos" w:hAnsi="Aptos"/>
        </w:rPr>
      </w:pPr>
      <w:r w:rsidRPr="000B673D">
        <w:rPr>
          <w:rFonts w:ascii="Aptos" w:hAnsi="Aptos"/>
        </w:rPr>
        <w:t>[128]</w:t>
      </w:r>
      <w:r w:rsidRPr="000B673D">
        <w:rPr>
          <w:rFonts w:ascii="Aptos" w:hAnsi="Aptos"/>
        </w:rPr>
        <w:tab/>
        <w:t xml:space="preserve">J. Otomo, S. Yamate, and J. A. Ortiz-Corrales, “Bilayer Cell Model and System Design of Highly Efficient Protonic Ceramic Fuel Cells,” </w:t>
      </w:r>
      <w:r w:rsidRPr="000B673D">
        <w:rPr>
          <w:rFonts w:ascii="Aptos" w:hAnsi="Aptos"/>
          <w:i/>
          <w:iCs/>
        </w:rPr>
        <w:t>ECS Trans.</w:t>
      </w:r>
      <w:r w:rsidRPr="000B673D">
        <w:rPr>
          <w:rFonts w:ascii="Aptos" w:hAnsi="Aptos"/>
        </w:rPr>
        <w:t>, vol. 111, no. 6, p. 1075, May 2023, doi: 10.1149/11106.1075ecst.</w:t>
      </w:r>
    </w:p>
    <w:p w14:paraId="2C4BC389" w14:textId="77777777" w:rsidR="000B673D" w:rsidRPr="000B673D" w:rsidRDefault="000B673D" w:rsidP="000B673D">
      <w:pPr>
        <w:pStyle w:val="Bibliography"/>
        <w:rPr>
          <w:rFonts w:ascii="Aptos" w:hAnsi="Aptos"/>
        </w:rPr>
      </w:pPr>
      <w:r w:rsidRPr="000B673D">
        <w:rPr>
          <w:rFonts w:ascii="Aptos" w:hAnsi="Aptos"/>
        </w:rPr>
        <w:t>[129]</w:t>
      </w:r>
      <w:r w:rsidRPr="000B673D">
        <w:rPr>
          <w:rFonts w:ascii="Aptos" w:hAnsi="Aptos"/>
        </w:rPr>
        <w:tab/>
        <w:t>R. O’Hayre, “ARPA-E Project | Fuel-Flexible Protonic Ceramic Fuel Cell Stack,” arpa-e.energy.gov. Accessed: Sep. 13, 2023. [Online]. Available: http://arpa-e.energy.gov/technologies/projects/fuel-flexible-protonic-ceramic-fuel-cell-stack</w:t>
      </w:r>
    </w:p>
    <w:p w14:paraId="719927D2" w14:textId="77777777" w:rsidR="000B673D" w:rsidRPr="000B673D" w:rsidRDefault="000B673D" w:rsidP="000B673D">
      <w:pPr>
        <w:pStyle w:val="Bibliography"/>
        <w:rPr>
          <w:rFonts w:ascii="Aptos" w:hAnsi="Aptos"/>
        </w:rPr>
      </w:pPr>
      <w:r w:rsidRPr="000B673D">
        <w:rPr>
          <w:rFonts w:ascii="Aptos" w:hAnsi="Aptos"/>
        </w:rPr>
        <w:t>[130]</w:t>
      </w:r>
      <w:r w:rsidRPr="000B673D">
        <w:rPr>
          <w:rFonts w:ascii="Aptos" w:hAnsi="Aptos"/>
        </w:rPr>
        <w:tab/>
        <w:t xml:space="preserve">K. Ferguson, A. Dubois, K. Albrecht, and R. J. Braun, “High performance protonic ceramic fuel cell systems for distributed power generation,” </w:t>
      </w:r>
      <w:r w:rsidRPr="000B673D">
        <w:rPr>
          <w:rFonts w:ascii="Aptos" w:hAnsi="Aptos"/>
          <w:i/>
          <w:iCs/>
        </w:rPr>
        <w:t>Energy Convers. Manag.</w:t>
      </w:r>
      <w:r w:rsidRPr="000B673D">
        <w:rPr>
          <w:rFonts w:ascii="Aptos" w:hAnsi="Aptos"/>
        </w:rPr>
        <w:t>, vol. 248, p. 114763, Nov. 2021, doi: 10.1016/j.enconman.2021.114763.</w:t>
      </w:r>
    </w:p>
    <w:p w14:paraId="1B99A751" w14:textId="77777777" w:rsidR="000B673D" w:rsidRPr="000B673D" w:rsidRDefault="000B673D" w:rsidP="000B673D">
      <w:pPr>
        <w:pStyle w:val="Bibliography"/>
        <w:rPr>
          <w:rFonts w:ascii="Aptos" w:hAnsi="Aptos"/>
        </w:rPr>
      </w:pPr>
      <w:r w:rsidRPr="000B673D">
        <w:rPr>
          <w:rFonts w:ascii="Aptos" w:hAnsi="Aptos"/>
        </w:rPr>
        <w:t>[131]</w:t>
      </w:r>
      <w:r w:rsidRPr="000B673D">
        <w:rPr>
          <w:rFonts w:ascii="Aptos" w:hAnsi="Aptos"/>
        </w:rPr>
        <w:tab/>
        <w:t>J. Jenkins, “Doing The Math On Bloom Energy,” Forbes. Accessed: Sep. 14, 2023. [Online]. Available: https://www.forbes.com/2010/02/25/fuel-cell-costs-technology-ecotech-bloom-energy.html</w:t>
      </w:r>
    </w:p>
    <w:p w14:paraId="70B483FF" w14:textId="77777777" w:rsidR="000B673D" w:rsidRPr="000B673D" w:rsidRDefault="000B673D" w:rsidP="000B673D">
      <w:pPr>
        <w:pStyle w:val="Bibliography"/>
        <w:rPr>
          <w:rFonts w:ascii="Aptos" w:hAnsi="Aptos"/>
        </w:rPr>
      </w:pPr>
      <w:r w:rsidRPr="000B673D">
        <w:rPr>
          <w:rFonts w:ascii="Aptos" w:hAnsi="Aptos"/>
        </w:rPr>
        <w:t>[132]</w:t>
      </w:r>
      <w:r w:rsidRPr="000B673D">
        <w:rPr>
          <w:rFonts w:ascii="Aptos" w:hAnsi="Aptos"/>
        </w:rPr>
        <w:tab/>
        <w:t xml:space="preserve">R. O’Hayre </w:t>
      </w:r>
      <w:r w:rsidRPr="000B673D">
        <w:rPr>
          <w:rFonts w:ascii="Aptos" w:hAnsi="Aptos"/>
          <w:i/>
          <w:iCs/>
        </w:rPr>
        <w:t>et al.</w:t>
      </w:r>
      <w:r w:rsidRPr="000B673D">
        <w:rPr>
          <w:rFonts w:ascii="Aptos" w:hAnsi="Aptos"/>
        </w:rPr>
        <w:t>, “Low-Cost Intermediate-Temperature Fuel-Flexible Protonic-Ceramic Fuel Cell and Stack,” Colorado School of Mines, Golden, CO (United States), Final Report: DOE-CSM-0493-1, Sep. 2021. doi: 10.2172/1861417.</w:t>
      </w:r>
    </w:p>
    <w:p w14:paraId="5838C8F8" w14:textId="77777777" w:rsidR="000B673D" w:rsidRPr="000B673D" w:rsidRDefault="000B673D" w:rsidP="000B673D">
      <w:pPr>
        <w:pStyle w:val="Bibliography"/>
        <w:rPr>
          <w:rFonts w:ascii="Aptos" w:hAnsi="Aptos"/>
        </w:rPr>
      </w:pPr>
      <w:r w:rsidRPr="000B673D">
        <w:rPr>
          <w:rFonts w:ascii="Aptos" w:hAnsi="Aptos"/>
        </w:rPr>
        <w:t>[133]</w:t>
      </w:r>
      <w:r w:rsidRPr="000B673D">
        <w:rPr>
          <w:rFonts w:ascii="Aptos" w:hAnsi="Aptos"/>
        </w:rPr>
        <w:tab/>
        <w:t>“ExxonMobil Corporate Plan,” ExxonMobil. Accessed: Apr. 22, 2024. [Online]. Available: https://corporate.exxonmobil.com/news/news-releases/2023/1206_exxonmobil-corporate-plan</w:t>
      </w:r>
    </w:p>
    <w:p w14:paraId="1582AB56" w14:textId="77777777" w:rsidR="000B673D" w:rsidRPr="000B673D" w:rsidRDefault="000B673D" w:rsidP="000B673D">
      <w:pPr>
        <w:pStyle w:val="Bibliography"/>
        <w:rPr>
          <w:rFonts w:ascii="Aptos" w:hAnsi="Aptos"/>
        </w:rPr>
      </w:pPr>
      <w:r w:rsidRPr="000B673D">
        <w:rPr>
          <w:rFonts w:ascii="Aptos" w:hAnsi="Aptos"/>
        </w:rPr>
        <w:t>[134]</w:t>
      </w:r>
      <w:r w:rsidRPr="000B673D">
        <w:rPr>
          <w:rFonts w:ascii="Aptos" w:hAnsi="Aptos"/>
        </w:rPr>
        <w:tab/>
        <w:t>“Financial Incentives for Hydrogen and Fuel Cell Projects,” Energy.gov. Accessed: Oct. 06, 2023. [Online]. Available: https://www.energy.gov/eere/fuelcells/financial-incentives-hydrogen-and-fuel-cell-projects</w:t>
      </w:r>
    </w:p>
    <w:p w14:paraId="50F3C288" w14:textId="77777777" w:rsidR="000B673D" w:rsidRPr="000B673D" w:rsidRDefault="000B673D" w:rsidP="000B673D">
      <w:pPr>
        <w:pStyle w:val="Bibliography"/>
        <w:rPr>
          <w:rFonts w:ascii="Aptos" w:hAnsi="Aptos"/>
        </w:rPr>
      </w:pPr>
      <w:r w:rsidRPr="000B673D">
        <w:rPr>
          <w:rFonts w:ascii="Aptos" w:hAnsi="Aptos"/>
        </w:rPr>
        <w:t>[135]</w:t>
      </w:r>
      <w:r w:rsidRPr="000B673D">
        <w:rPr>
          <w:rFonts w:ascii="Aptos" w:hAnsi="Aptos"/>
        </w:rPr>
        <w:tab/>
        <w:t>“Sources: Bloom Box Costs $12.50 Per Watt.” Accessed: Oct. 06, 2023. [Online]. Available: https://www.greentechmedia.com/articles/read/bloom-update</w:t>
      </w:r>
    </w:p>
    <w:p w14:paraId="327AAF67" w14:textId="77777777" w:rsidR="000B673D" w:rsidRPr="000B673D" w:rsidRDefault="000B673D" w:rsidP="000B673D">
      <w:pPr>
        <w:pStyle w:val="Bibliography"/>
        <w:rPr>
          <w:rFonts w:ascii="Aptos" w:hAnsi="Aptos"/>
        </w:rPr>
      </w:pPr>
      <w:r w:rsidRPr="000B673D">
        <w:rPr>
          <w:rFonts w:ascii="Aptos" w:hAnsi="Aptos"/>
        </w:rPr>
        <w:t>[136]</w:t>
      </w:r>
      <w:r w:rsidRPr="000B673D">
        <w:rPr>
          <w:rFonts w:ascii="Aptos" w:hAnsi="Aptos"/>
        </w:rPr>
        <w:tab/>
        <w:t>O. US EPA, “Data Explorer.” Accessed: Jul. 19, 2023. [Online]. Available: https://www.epa.gov/egrid/data-explorer</w:t>
      </w:r>
    </w:p>
    <w:p w14:paraId="27A7CDA6" w14:textId="77777777" w:rsidR="000B673D" w:rsidRPr="000B673D" w:rsidRDefault="000B673D" w:rsidP="000B673D">
      <w:pPr>
        <w:pStyle w:val="Bibliography"/>
        <w:rPr>
          <w:rFonts w:ascii="Aptos" w:hAnsi="Aptos"/>
        </w:rPr>
      </w:pPr>
      <w:r w:rsidRPr="000B673D">
        <w:rPr>
          <w:rFonts w:ascii="Aptos" w:hAnsi="Aptos"/>
        </w:rPr>
        <w:t>[137]</w:t>
      </w:r>
      <w:r w:rsidRPr="000B673D">
        <w:rPr>
          <w:rFonts w:ascii="Aptos" w:hAnsi="Aptos"/>
        </w:rPr>
        <w:tab/>
        <w:t>M. Ziomek-Moroz and J. A. Hawk, “DEGRADATION OF SOLID OXIDE FUEL CELL METALLIC INTERCONNECTS IN FUELS CONTAINING SULFUR”.</w:t>
      </w:r>
    </w:p>
    <w:p w14:paraId="601EF1AB" w14:textId="05D88E05" w:rsidR="00312D25" w:rsidRPr="00312D25" w:rsidRDefault="008231CC" w:rsidP="00312D25">
      <w:r>
        <w:fldChar w:fldCharType="end"/>
      </w:r>
    </w:p>
    <w:sectPr w:rsidR="00312D25" w:rsidRPr="00312D25" w:rsidSect="00AC18A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9336AA" w14:textId="77777777" w:rsidR="00052C6F" w:rsidRDefault="00052C6F" w:rsidP="00FC1F9A">
      <w:pPr>
        <w:spacing w:line="240" w:lineRule="auto"/>
      </w:pPr>
      <w:r>
        <w:separator/>
      </w:r>
    </w:p>
  </w:endnote>
  <w:endnote w:type="continuationSeparator" w:id="0">
    <w:p w14:paraId="5667BA26" w14:textId="77777777" w:rsidR="00052C6F" w:rsidRDefault="00052C6F" w:rsidP="00FC1F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B038F6" w14:textId="1CAAD664" w:rsidR="00B2257A" w:rsidRDefault="00B2257A">
    <w:pPr>
      <w:pStyle w:val="Footer"/>
      <w:jc w:val="center"/>
    </w:pPr>
  </w:p>
  <w:p w14:paraId="2C4953B8" w14:textId="77777777" w:rsidR="00FD62CA" w:rsidRDefault="00FD62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3748713"/>
      <w:docPartObj>
        <w:docPartGallery w:val="Page Numbers (Bottom of Page)"/>
        <w:docPartUnique/>
      </w:docPartObj>
    </w:sdtPr>
    <w:sdtEndPr>
      <w:rPr>
        <w:noProof/>
      </w:rPr>
    </w:sdtEndPr>
    <w:sdtContent>
      <w:p w14:paraId="60120484" w14:textId="77777777" w:rsidR="00C05150" w:rsidRDefault="00C051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442FDE" w14:textId="77777777" w:rsidR="00C05150" w:rsidRDefault="00C051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159ADA" w14:textId="77777777" w:rsidR="00052C6F" w:rsidRDefault="00052C6F" w:rsidP="00FC1F9A">
      <w:pPr>
        <w:spacing w:line="240" w:lineRule="auto"/>
      </w:pPr>
      <w:r>
        <w:separator/>
      </w:r>
    </w:p>
  </w:footnote>
  <w:footnote w:type="continuationSeparator" w:id="0">
    <w:p w14:paraId="17E07BBA" w14:textId="77777777" w:rsidR="00052C6F" w:rsidRDefault="00052C6F" w:rsidP="00FC1F9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A360D8"/>
    <w:multiLevelType w:val="hybridMultilevel"/>
    <w:tmpl w:val="1434519C"/>
    <w:lvl w:ilvl="0" w:tplc="7C86C3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FB63F99"/>
    <w:multiLevelType w:val="hybridMultilevel"/>
    <w:tmpl w:val="3C8421F8"/>
    <w:lvl w:ilvl="0" w:tplc="0409000F">
      <w:start w:val="1"/>
      <w:numFmt w:val="decimal"/>
      <w:lvlText w:val="%1."/>
      <w:lvlJc w:val="left"/>
      <w:pPr>
        <w:ind w:left="772" w:hanging="360"/>
      </w:p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2" w15:restartNumberingAfterBreak="0">
    <w:nsid w:val="1FE42A4B"/>
    <w:multiLevelType w:val="hybridMultilevel"/>
    <w:tmpl w:val="6828330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1FB533A"/>
    <w:multiLevelType w:val="hybridMultilevel"/>
    <w:tmpl w:val="31C48680"/>
    <w:lvl w:ilvl="0" w:tplc="786ADAD8">
      <w:start w:val="3"/>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B37398"/>
    <w:multiLevelType w:val="hybridMultilevel"/>
    <w:tmpl w:val="E2F67C72"/>
    <w:lvl w:ilvl="0" w:tplc="373E922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80630CD"/>
    <w:multiLevelType w:val="hybridMultilevel"/>
    <w:tmpl w:val="FA367272"/>
    <w:lvl w:ilvl="0" w:tplc="E0408EA8">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0E4AE7"/>
    <w:multiLevelType w:val="hybridMultilevel"/>
    <w:tmpl w:val="7818C5BC"/>
    <w:lvl w:ilvl="0" w:tplc="533ECB44">
      <w:start w:val="1"/>
      <w:numFmt w:val="bullet"/>
      <w:lvlText w:val="•"/>
      <w:lvlJc w:val="left"/>
      <w:pPr>
        <w:tabs>
          <w:tab w:val="num" w:pos="720"/>
        </w:tabs>
        <w:ind w:left="720" w:hanging="360"/>
      </w:pPr>
      <w:rPr>
        <w:rFonts w:ascii="Arial" w:hAnsi="Arial" w:hint="default"/>
      </w:rPr>
    </w:lvl>
    <w:lvl w:ilvl="1" w:tplc="9CC0E6DE" w:tentative="1">
      <w:start w:val="1"/>
      <w:numFmt w:val="bullet"/>
      <w:lvlText w:val="•"/>
      <w:lvlJc w:val="left"/>
      <w:pPr>
        <w:tabs>
          <w:tab w:val="num" w:pos="1440"/>
        </w:tabs>
        <w:ind w:left="1440" w:hanging="360"/>
      </w:pPr>
      <w:rPr>
        <w:rFonts w:ascii="Arial" w:hAnsi="Arial" w:hint="default"/>
      </w:rPr>
    </w:lvl>
    <w:lvl w:ilvl="2" w:tplc="4F108A96" w:tentative="1">
      <w:start w:val="1"/>
      <w:numFmt w:val="bullet"/>
      <w:lvlText w:val="•"/>
      <w:lvlJc w:val="left"/>
      <w:pPr>
        <w:tabs>
          <w:tab w:val="num" w:pos="2160"/>
        </w:tabs>
        <w:ind w:left="2160" w:hanging="360"/>
      </w:pPr>
      <w:rPr>
        <w:rFonts w:ascii="Arial" w:hAnsi="Arial" w:hint="default"/>
      </w:rPr>
    </w:lvl>
    <w:lvl w:ilvl="3" w:tplc="2422A5AE" w:tentative="1">
      <w:start w:val="1"/>
      <w:numFmt w:val="bullet"/>
      <w:lvlText w:val="•"/>
      <w:lvlJc w:val="left"/>
      <w:pPr>
        <w:tabs>
          <w:tab w:val="num" w:pos="2880"/>
        </w:tabs>
        <w:ind w:left="2880" w:hanging="360"/>
      </w:pPr>
      <w:rPr>
        <w:rFonts w:ascii="Arial" w:hAnsi="Arial" w:hint="default"/>
      </w:rPr>
    </w:lvl>
    <w:lvl w:ilvl="4" w:tplc="74CC412C" w:tentative="1">
      <w:start w:val="1"/>
      <w:numFmt w:val="bullet"/>
      <w:lvlText w:val="•"/>
      <w:lvlJc w:val="left"/>
      <w:pPr>
        <w:tabs>
          <w:tab w:val="num" w:pos="3600"/>
        </w:tabs>
        <w:ind w:left="3600" w:hanging="360"/>
      </w:pPr>
      <w:rPr>
        <w:rFonts w:ascii="Arial" w:hAnsi="Arial" w:hint="default"/>
      </w:rPr>
    </w:lvl>
    <w:lvl w:ilvl="5" w:tplc="9368934A" w:tentative="1">
      <w:start w:val="1"/>
      <w:numFmt w:val="bullet"/>
      <w:lvlText w:val="•"/>
      <w:lvlJc w:val="left"/>
      <w:pPr>
        <w:tabs>
          <w:tab w:val="num" w:pos="4320"/>
        </w:tabs>
        <w:ind w:left="4320" w:hanging="360"/>
      </w:pPr>
      <w:rPr>
        <w:rFonts w:ascii="Arial" w:hAnsi="Arial" w:hint="default"/>
      </w:rPr>
    </w:lvl>
    <w:lvl w:ilvl="6" w:tplc="FD6A8264" w:tentative="1">
      <w:start w:val="1"/>
      <w:numFmt w:val="bullet"/>
      <w:lvlText w:val="•"/>
      <w:lvlJc w:val="left"/>
      <w:pPr>
        <w:tabs>
          <w:tab w:val="num" w:pos="5040"/>
        </w:tabs>
        <w:ind w:left="5040" w:hanging="360"/>
      </w:pPr>
      <w:rPr>
        <w:rFonts w:ascii="Arial" w:hAnsi="Arial" w:hint="default"/>
      </w:rPr>
    </w:lvl>
    <w:lvl w:ilvl="7" w:tplc="C950A8B0" w:tentative="1">
      <w:start w:val="1"/>
      <w:numFmt w:val="bullet"/>
      <w:lvlText w:val="•"/>
      <w:lvlJc w:val="left"/>
      <w:pPr>
        <w:tabs>
          <w:tab w:val="num" w:pos="5760"/>
        </w:tabs>
        <w:ind w:left="5760" w:hanging="360"/>
      </w:pPr>
      <w:rPr>
        <w:rFonts w:ascii="Arial" w:hAnsi="Arial" w:hint="default"/>
      </w:rPr>
    </w:lvl>
    <w:lvl w:ilvl="8" w:tplc="0F0E09E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E1F257D"/>
    <w:multiLevelType w:val="hybridMultilevel"/>
    <w:tmpl w:val="BAACFFD4"/>
    <w:lvl w:ilvl="0" w:tplc="D7EAB06E">
      <w:start w:val="47"/>
      <w:numFmt w:val="bullet"/>
      <w:lvlText w:val=""/>
      <w:lvlJc w:val="left"/>
      <w:pPr>
        <w:ind w:left="1080" w:hanging="72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21368E"/>
    <w:multiLevelType w:val="hybridMultilevel"/>
    <w:tmpl w:val="224AB8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4AF5D95"/>
    <w:multiLevelType w:val="hybridMultilevel"/>
    <w:tmpl w:val="E558076C"/>
    <w:lvl w:ilvl="0" w:tplc="05F021D4">
      <w:start w:val="1"/>
      <w:numFmt w:val="bullet"/>
      <w:lvlText w:val="•"/>
      <w:lvlJc w:val="left"/>
      <w:pPr>
        <w:tabs>
          <w:tab w:val="num" w:pos="720"/>
        </w:tabs>
        <w:ind w:left="720" w:hanging="360"/>
      </w:pPr>
      <w:rPr>
        <w:rFonts w:ascii="Arial" w:hAnsi="Arial" w:hint="default"/>
      </w:rPr>
    </w:lvl>
    <w:lvl w:ilvl="1" w:tplc="19960D1C" w:tentative="1">
      <w:start w:val="1"/>
      <w:numFmt w:val="bullet"/>
      <w:lvlText w:val="•"/>
      <w:lvlJc w:val="left"/>
      <w:pPr>
        <w:tabs>
          <w:tab w:val="num" w:pos="1440"/>
        </w:tabs>
        <w:ind w:left="1440" w:hanging="360"/>
      </w:pPr>
      <w:rPr>
        <w:rFonts w:ascii="Arial" w:hAnsi="Arial" w:hint="default"/>
      </w:rPr>
    </w:lvl>
    <w:lvl w:ilvl="2" w:tplc="557013D2" w:tentative="1">
      <w:start w:val="1"/>
      <w:numFmt w:val="bullet"/>
      <w:lvlText w:val="•"/>
      <w:lvlJc w:val="left"/>
      <w:pPr>
        <w:tabs>
          <w:tab w:val="num" w:pos="2160"/>
        </w:tabs>
        <w:ind w:left="2160" w:hanging="360"/>
      </w:pPr>
      <w:rPr>
        <w:rFonts w:ascii="Arial" w:hAnsi="Arial" w:hint="default"/>
      </w:rPr>
    </w:lvl>
    <w:lvl w:ilvl="3" w:tplc="C3286808" w:tentative="1">
      <w:start w:val="1"/>
      <w:numFmt w:val="bullet"/>
      <w:lvlText w:val="•"/>
      <w:lvlJc w:val="left"/>
      <w:pPr>
        <w:tabs>
          <w:tab w:val="num" w:pos="2880"/>
        </w:tabs>
        <w:ind w:left="2880" w:hanging="360"/>
      </w:pPr>
      <w:rPr>
        <w:rFonts w:ascii="Arial" w:hAnsi="Arial" w:hint="default"/>
      </w:rPr>
    </w:lvl>
    <w:lvl w:ilvl="4" w:tplc="7FEC02DC" w:tentative="1">
      <w:start w:val="1"/>
      <w:numFmt w:val="bullet"/>
      <w:lvlText w:val="•"/>
      <w:lvlJc w:val="left"/>
      <w:pPr>
        <w:tabs>
          <w:tab w:val="num" w:pos="3600"/>
        </w:tabs>
        <w:ind w:left="3600" w:hanging="360"/>
      </w:pPr>
      <w:rPr>
        <w:rFonts w:ascii="Arial" w:hAnsi="Arial" w:hint="default"/>
      </w:rPr>
    </w:lvl>
    <w:lvl w:ilvl="5" w:tplc="217AC13A" w:tentative="1">
      <w:start w:val="1"/>
      <w:numFmt w:val="bullet"/>
      <w:lvlText w:val="•"/>
      <w:lvlJc w:val="left"/>
      <w:pPr>
        <w:tabs>
          <w:tab w:val="num" w:pos="4320"/>
        </w:tabs>
        <w:ind w:left="4320" w:hanging="360"/>
      </w:pPr>
      <w:rPr>
        <w:rFonts w:ascii="Arial" w:hAnsi="Arial" w:hint="default"/>
      </w:rPr>
    </w:lvl>
    <w:lvl w:ilvl="6" w:tplc="4CE45D1C" w:tentative="1">
      <w:start w:val="1"/>
      <w:numFmt w:val="bullet"/>
      <w:lvlText w:val="•"/>
      <w:lvlJc w:val="left"/>
      <w:pPr>
        <w:tabs>
          <w:tab w:val="num" w:pos="5040"/>
        </w:tabs>
        <w:ind w:left="5040" w:hanging="360"/>
      </w:pPr>
      <w:rPr>
        <w:rFonts w:ascii="Arial" w:hAnsi="Arial" w:hint="default"/>
      </w:rPr>
    </w:lvl>
    <w:lvl w:ilvl="7" w:tplc="70585690" w:tentative="1">
      <w:start w:val="1"/>
      <w:numFmt w:val="bullet"/>
      <w:lvlText w:val="•"/>
      <w:lvlJc w:val="left"/>
      <w:pPr>
        <w:tabs>
          <w:tab w:val="num" w:pos="5760"/>
        </w:tabs>
        <w:ind w:left="5760" w:hanging="360"/>
      </w:pPr>
      <w:rPr>
        <w:rFonts w:ascii="Arial" w:hAnsi="Arial" w:hint="default"/>
      </w:rPr>
    </w:lvl>
    <w:lvl w:ilvl="8" w:tplc="3E42C17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FC64E86"/>
    <w:multiLevelType w:val="hybridMultilevel"/>
    <w:tmpl w:val="714864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F9D788F"/>
    <w:multiLevelType w:val="hybridMultilevel"/>
    <w:tmpl w:val="FBFEF9AE"/>
    <w:lvl w:ilvl="0" w:tplc="A80C59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46573D7"/>
    <w:multiLevelType w:val="hybridMultilevel"/>
    <w:tmpl w:val="B888EC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B3F562E"/>
    <w:multiLevelType w:val="hybridMultilevel"/>
    <w:tmpl w:val="F7C879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BFB70FE"/>
    <w:multiLevelType w:val="hybridMultilevel"/>
    <w:tmpl w:val="3844DFF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D9A213B"/>
    <w:multiLevelType w:val="hybridMultilevel"/>
    <w:tmpl w:val="2794AB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01C5FA4"/>
    <w:multiLevelType w:val="hybridMultilevel"/>
    <w:tmpl w:val="A1524D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2F92585"/>
    <w:multiLevelType w:val="hybridMultilevel"/>
    <w:tmpl w:val="36EA2E54"/>
    <w:lvl w:ilvl="0" w:tplc="1696D12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5691935"/>
    <w:multiLevelType w:val="hybridMultilevel"/>
    <w:tmpl w:val="B7B2B7C8"/>
    <w:lvl w:ilvl="0" w:tplc="BE4267A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7DAF7F6D"/>
    <w:multiLevelType w:val="hybridMultilevel"/>
    <w:tmpl w:val="853480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21788777">
    <w:abstractNumId w:val="1"/>
  </w:num>
  <w:num w:numId="2" w16cid:durableId="725105041">
    <w:abstractNumId w:val="10"/>
  </w:num>
  <w:num w:numId="3" w16cid:durableId="1378772572">
    <w:abstractNumId w:val="5"/>
  </w:num>
  <w:num w:numId="4" w16cid:durableId="509880904">
    <w:abstractNumId w:val="11"/>
  </w:num>
  <w:num w:numId="5" w16cid:durableId="2009552559">
    <w:abstractNumId w:val="0"/>
  </w:num>
  <w:num w:numId="6" w16cid:durableId="1208881359">
    <w:abstractNumId w:val="17"/>
  </w:num>
  <w:num w:numId="7" w16cid:durableId="476920773">
    <w:abstractNumId w:val="3"/>
  </w:num>
  <w:num w:numId="8" w16cid:durableId="1608849653">
    <w:abstractNumId w:val="4"/>
  </w:num>
  <w:num w:numId="9" w16cid:durableId="1985307980">
    <w:abstractNumId w:val="18"/>
  </w:num>
  <w:num w:numId="10" w16cid:durableId="195242975">
    <w:abstractNumId w:val="12"/>
  </w:num>
  <w:num w:numId="11" w16cid:durableId="1158427503">
    <w:abstractNumId w:val="13"/>
  </w:num>
  <w:num w:numId="12" w16cid:durableId="1451708340">
    <w:abstractNumId w:val="16"/>
  </w:num>
  <w:num w:numId="13" w16cid:durableId="631058559">
    <w:abstractNumId w:val="8"/>
  </w:num>
  <w:num w:numId="14" w16cid:durableId="1841893272">
    <w:abstractNumId w:val="7"/>
  </w:num>
  <w:num w:numId="15" w16cid:durableId="1112557387">
    <w:abstractNumId w:val="6"/>
  </w:num>
  <w:num w:numId="16" w16cid:durableId="1831017867">
    <w:abstractNumId w:val="9"/>
  </w:num>
  <w:num w:numId="17" w16cid:durableId="1235043327">
    <w:abstractNumId w:val="14"/>
  </w:num>
  <w:num w:numId="18" w16cid:durableId="63570030">
    <w:abstractNumId w:val="2"/>
  </w:num>
  <w:num w:numId="19" w16cid:durableId="1225602226">
    <w:abstractNumId w:val="15"/>
  </w:num>
  <w:num w:numId="20" w16cid:durableId="103835859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7F2"/>
    <w:rsid w:val="00002544"/>
    <w:rsid w:val="000047D9"/>
    <w:rsid w:val="00010A0D"/>
    <w:rsid w:val="000120B6"/>
    <w:rsid w:val="00013498"/>
    <w:rsid w:val="00015205"/>
    <w:rsid w:val="00016D08"/>
    <w:rsid w:val="0001744E"/>
    <w:rsid w:val="0001765C"/>
    <w:rsid w:val="0002530E"/>
    <w:rsid w:val="00025BA1"/>
    <w:rsid w:val="00026881"/>
    <w:rsid w:val="00031977"/>
    <w:rsid w:val="00031B90"/>
    <w:rsid w:val="00033FEC"/>
    <w:rsid w:val="0003498B"/>
    <w:rsid w:val="000355A0"/>
    <w:rsid w:val="00035A9F"/>
    <w:rsid w:val="00035F82"/>
    <w:rsid w:val="00036642"/>
    <w:rsid w:val="00036A8D"/>
    <w:rsid w:val="00037642"/>
    <w:rsid w:val="00037890"/>
    <w:rsid w:val="000400E1"/>
    <w:rsid w:val="00040FDE"/>
    <w:rsid w:val="0004107F"/>
    <w:rsid w:val="000415C4"/>
    <w:rsid w:val="00044387"/>
    <w:rsid w:val="0004464B"/>
    <w:rsid w:val="0004478E"/>
    <w:rsid w:val="00044D84"/>
    <w:rsid w:val="00044E6C"/>
    <w:rsid w:val="00044EDB"/>
    <w:rsid w:val="0004708C"/>
    <w:rsid w:val="00047A61"/>
    <w:rsid w:val="000526A8"/>
    <w:rsid w:val="00052C6F"/>
    <w:rsid w:val="000540C4"/>
    <w:rsid w:val="0005420C"/>
    <w:rsid w:val="00055060"/>
    <w:rsid w:val="00057EE5"/>
    <w:rsid w:val="00060D15"/>
    <w:rsid w:val="00061FC6"/>
    <w:rsid w:val="0006260A"/>
    <w:rsid w:val="0006292B"/>
    <w:rsid w:val="000633EC"/>
    <w:rsid w:val="00070D13"/>
    <w:rsid w:val="00071733"/>
    <w:rsid w:val="00071F73"/>
    <w:rsid w:val="000723C8"/>
    <w:rsid w:val="000725A1"/>
    <w:rsid w:val="00073889"/>
    <w:rsid w:val="00073D2E"/>
    <w:rsid w:val="00075298"/>
    <w:rsid w:val="00075851"/>
    <w:rsid w:val="00076B4A"/>
    <w:rsid w:val="00077B11"/>
    <w:rsid w:val="000829B6"/>
    <w:rsid w:val="0008384A"/>
    <w:rsid w:val="00083DE9"/>
    <w:rsid w:val="000859BB"/>
    <w:rsid w:val="00085AF9"/>
    <w:rsid w:val="0008613B"/>
    <w:rsid w:val="00086E43"/>
    <w:rsid w:val="00092E33"/>
    <w:rsid w:val="00093080"/>
    <w:rsid w:val="0009322E"/>
    <w:rsid w:val="00093E6F"/>
    <w:rsid w:val="00094C09"/>
    <w:rsid w:val="000955A4"/>
    <w:rsid w:val="00095951"/>
    <w:rsid w:val="000978FD"/>
    <w:rsid w:val="00097B5A"/>
    <w:rsid w:val="00097B9A"/>
    <w:rsid w:val="000A0B30"/>
    <w:rsid w:val="000A0EE1"/>
    <w:rsid w:val="000A12A2"/>
    <w:rsid w:val="000A2F36"/>
    <w:rsid w:val="000A353E"/>
    <w:rsid w:val="000A5BF1"/>
    <w:rsid w:val="000A743F"/>
    <w:rsid w:val="000A7DA0"/>
    <w:rsid w:val="000B18FE"/>
    <w:rsid w:val="000B2562"/>
    <w:rsid w:val="000B3277"/>
    <w:rsid w:val="000B3B03"/>
    <w:rsid w:val="000B4F56"/>
    <w:rsid w:val="000B4FB1"/>
    <w:rsid w:val="000B5AAD"/>
    <w:rsid w:val="000B673D"/>
    <w:rsid w:val="000C0BC6"/>
    <w:rsid w:val="000C0FA8"/>
    <w:rsid w:val="000C1D95"/>
    <w:rsid w:val="000C4183"/>
    <w:rsid w:val="000C4F25"/>
    <w:rsid w:val="000C500B"/>
    <w:rsid w:val="000C5023"/>
    <w:rsid w:val="000C60C6"/>
    <w:rsid w:val="000C692C"/>
    <w:rsid w:val="000C72CF"/>
    <w:rsid w:val="000C7701"/>
    <w:rsid w:val="000D0BB1"/>
    <w:rsid w:val="000D18F4"/>
    <w:rsid w:val="000D412B"/>
    <w:rsid w:val="000D4D7B"/>
    <w:rsid w:val="000D5A0C"/>
    <w:rsid w:val="000D5A1E"/>
    <w:rsid w:val="000D660F"/>
    <w:rsid w:val="000D72B1"/>
    <w:rsid w:val="000D7F91"/>
    <w:rsid w:val="000E1098"/>
    <w:rsid w:val="000E10D5"/>
    <w:rsid w:val="000E3002"/>
    <w:rsid w:val="000E330A"/>
    <w:rsid w:val="000E3A01"/>
    <w:rsid w:val="000E6F80"/>
    <w:rsid w:val="000F079C"/>
    <w:rsid w:val="000F164C"/>
    <w:rsid w:val="000F1B19"/>
    <w:rsid w:val="000F1E24"/>
    <w:rsid w:val="000F441E"/>
    <w:rsid w:val="000F4EAF"/>
    <w:rsid w:val="000F5078"/>
    <w:rsid w:val="000F539A"/>
    <w:rsid w:val="000F713A"/>
    <w:rsid w:val="0010068E"/>
    <w:rsid w:val="00100B7E"/>
    <w:rsid w:val="00100DCF"/>
    <w:rsid w:val="0010173D"/>
    <w:rsid w:val="00102F31"/>
    <w:rsid w:val="0010369F"/>
    <w:rsid w:val="00103DE7"/>
    <w:rsid w:val="00104104"/>
    <w:rsid w:val="00104C8A"/>
    <w:rsid w:val="00105159"/>
    <w:rsid w:val="0010596C"/>
    <w:rsid w:val="001111DA"/>
    <w:rsid w:val="00112261"/>
    <w:rsid w:val="001157B7"/>
    <w:rsid w:val="00115903"/>
    <w:rsid w:val="00117E27"/>
    <w:rsid w:val="00117E7E"/>
    <w:rsid w:val="00120123"/>
    <w:rsid w:val="00121485"/>
    <w:rsid w:val="00122559"/>
    <w:rsid w:val="0012282D"/>
    <w:rsid w:val="0012432A"/>
    <w:rsid w:val="0012519C"/>
    <w:rsid w:val="00125983"/>
    <w:rsid w:val="00126026"/>
    <w:rsid w:val="001261D7"/>
    <w:rsid w:val="00126FB8"/>
    <w:rsid w:val="00127223"/>
    <w:rsid w:val="00127742"/>
    <w:rsid w:val="00131805"/>
    <w:rsid w:val="00132210"/>
    <w:rsid w:val="00133060"/>
    <w:rsid w:val="0013573D"/>
    <w:rsid w:val="001365B4"/>
    <w:rsid w:val="001378DF"/>
    <w:rsid w:val="00137CE1"/>
    <w:rsid w:val="00140D11"/>
    <w:rsid w:val="001429F2"/>
    <w:rsid w:val="00143E2F"/>
    <w:rsid w:val="00144057"/>
    <w:rsid w:val="0014411A"/>
    <w:rsid w:val="001448D6"/>
    <w:rsid w:val="00144D7F"/>
    <w:rsid w:val="00145051"/>
    <w:rsid w:val="0014551B"/>
    <w:rsid w:val="00145844"/>
    <w:rsid w:val="00146D25"/>
    <w:rsid w:val="0014726F"/>
    <w:rsid w:val="00147892"/>
    <w:rsid w:val="001500AD"/>
    <w:rsid w:val="00150762"/>
    <w:rsid w:val="00150A69"/>
    <w:rsid w:val="001514A6"/>
    <w:rsid w:val="00153957"/>
    <w:rsid w:val="0015489A"/>
    <w:rsid w:val="00154C9A"/>
    <w:rsid w:val="001559AC"/>
    <w:rsid w:val="00156451"/>
    <w:rsid w:val="00156737"/>
    <w:rsid w:val="00157194"/>
    <w:rsid w:val="00157FCB"/>
    <w:rsid w:val="0016054E"/>
    <w:rsid w:val="00166431"/>
    <w:rsid w:val="00167D14"/>
    <w:rsid w:val="00170024"/>
    <w:rsid w:val="00170393"/>
    <w:rsid w:val="0017117F"/>
    <w:rsid w:val="00171DFA"/>
    <w:rsid w:val="00172E45"/>
    <w:rsid w:val="00173AA9"/>
    <w:rsid w:val="00173DA9"/>
    <w:rsid w:val="001744DF"/>
    <w:rsid w:val="00180344"/>
    <w:rsid w:val="00180FBC"/>
    <w:rsid w:val="0018165B"/>
    <w:rsid w:val="00181881"/>
    <w:rsid w:val="00182936"/>
    <w:rsid w:val="00183CBC"/>
    <w:rsid w:val="00183DD2"/>
    <w:rsid w:val="001850E1"/>
    <w:rsid w:val="001860AA"/>
    <w:rsid w:val="001879E1"/>
    <w:rsid w:val="001905D7"/>
    <w:rsid w:val="00190943"/>
    <w:rsid w:val="001920EC"/>
    <w:rsid w:val="00195B3F"/>
    <w:rsid w:val="001974E8"/>
    <w:rsid w:val="001975E5"/>
    <w:rsid w:val="00197FBE"/>
    <w:rsid w:val="001A4FD1"/>
    <w:rsid w:val="001A75BE"/>
    <w:rsid w:val="001A773C"/>
    <w:rsid w:val="001B0CF1"/>
    <w:rsid w:val="001B15D2"/>
    <w:rsid w:val="001B3ADF"/>
    <w:rsid w:val="001B3CA5"/>
    <w:rsid w:val="001B4200"/>
    <w:rsid w:val="001C24ED"/>
    <w:rsid w:val="001C2813"/>
    <w:rsid w:val="001C2A3D"/>
    <w:rsid w:val="001C342C"/>
    <w:rsid w:val="001C5156"/>
    <w:rsid w:val="001C58E7"/>
    <w:rsid w:val="001C76D8"/>
    <w:rsid w:val="001C797E"/>
    <w:rsid w:val="001D057B"/>
    <w:rsid w:val="001D0A6D"/>
    <w:rsid w:val="001D0B94"/>
    <w:rsid w:val="001D1B4D"/>
    <w:rsid w:val="001D1B57"/>
    <w:rsid w:val="001D38AF"/>
    <w:rsid w:val="001D42F3"/>
    <w:rsid w:val="001D5042"/>
    <w:rsid w:val="001D5650"/>
    <w:rsid w:val="001D62A1"/>
    <w:rsid w:val="001D7D90"/>
    <w:rsid w:val="001D7FFB"/>
    <w:rsid w:val="001E157E"/>
    <w:rsid w:val="001E1C93"/>
    <w:rsid w:val="001E1D81"/>
    <w:rsid w:val="001E1E88"/>
    <w:rsid w:val="001E2564"/>
    <w:rsid w:val="001E4A1D"/>
    <w:rsid w:val="001E5234"/>
    <w:rsid w:val="001E528D"/>
    <w:rsid w:val="001E640A"/>
    <w:rsid w:val="001E6788"/>
    <w:rsid w:val="001E719E"/>
    <w:rsid w:val="001F1AEA"/>
    <w:rsid w:val="001F1DF0"/>
    <w:rsid w:val="001F22CC"/>
    <w:rsid w:val="001F2F1B"/>
    <w:rsid w:val="001F3273"/>
    <w:rsid w:val="001F3393"/>
    <w:rsid w:val="001F4AA2"/>
    <w:rsid w:val="001F4C48"/>
    <w:rsid w:val="001F579F"/>
    <w:rsid w:val="001F5A84"/>
    <w:rsid w:val="001F60C1"/>
    <w:rsid w:val="0020124E"/>
    <w:rsid w:val="002018BC"/>
    <w:rsid w:val="00202C56"/>
    <w:rsid w:val="002038E8"/>
    <w:rsid w:val="00204834"/>
    <w:rsid w:val="00210EC6"/>
    <w:rsid w:val="002113DB"/>
    <w:rsid w:val="002116F2"/>
    <w:rsid w:val="00211FE8"/>
    <w:rsid w:val="0021203F"/>
    <w:rsid w:val="002121E8"/>
    <w:rsid w:val="00212F62"/>
    <w:rsid w:val="00214508"/>
    <w:rsid w:val="002158D5"/>
    <w:rsid w:val="00215A16"/>
    <w:rsid w:val="00215CF5"/>
    <w:rsid w:val="00215FBB"/>
    <w:rsid w:val="00217C1A"/>
    <w:rsid w:val="0022107B"/>
    <w:rsid w:val="002211E9"/>
    <w:rsid w:val="0022398E"/>
    <w:rsid w:val="002249C8"/>
    <w:rsid w:val="00224DA3"/>
    <w:rsid w:val="0022581E"/>
    <w:rsid w:val="00226ABE"/>
    <w:rsid w:val="002278B4"/>
    <w:rsid w:val="00227E61"/>
    <w:rsid w:val="00227F5A"/>
    <w:rsid w:val="00230CA5"/>
    <w:rsid w:val="0023134E"/>
    <w:rsid w:val="00231CAC"/>
    <w:rsid w:val="00231D45"/>
    <w:rsid w:val="002322EF"/>
    <w:rsid w:val="00232A1E"/>
    <w:rsid w:val="00232A88"/>
    <w:rsid w:val="00233667"/>
    <w:rsid w:val="002344C2"/>
    <w:rsid w:val="0023599E"/>
    <w:rsid w:val="002361EC"/>
    <w:rsid w:val="002363D4"/>
    <w:rsid w:val="0023681C"/>
    <w:rsid w:val="002373EF"/>
    <w:rsid w:val="00241264"/>
    <w:rsid w:val="00242321"/>
    <w:rsid w:val="0024268E"/>
    <w:rsid w:val="002464FF"/>
    <w:rsid w:val="00246B96"/>
    <w:rsid w:val="00247421"/>
    <w:rsid w:val="00250E1B"/>
    <w:rsid w:val="002510B9"/>
    <w:rsid w:val="002512D5"/>
    <w:rsid w:val="002513E1"/>
    <w:rsid w:val="00252D7C"/>
    <w:rsid w:val="00253F15"/>
    <w:rsid w:val="00253FB8"/>
    <w:rsid w:val="00256B8A"/>
    <w:rsid w:val="0026045B"/>
    <w:rsid w:val="00260E35"/>
    <w:rsid w:val="00263326"/>
    <w:rsid w:val="0026481C"/>
    <w:rsid w:val="00267B55"/>
    <w:rsid w:val="00270A9E"/>
    <w:rsid w:val="002717CE"/>
    <w:rsid w:val="00272A69"/>
    <w:rsid w:val="0027324F"/>
    <w:rsid w:val="00276AF1"/>
    <w:rsid w:val="00277635"/>
    <w:rsid w:val="00277A1F"/>
    <w:rsid w:val="00280781"/>
    <w:rsid w:val="002820DA"/>
    <w:rsid w:val="0028513B"/>
    <w:rsid w:val="00285C9F"/>
    <w:rsid w:val="00285E9E"/>
    <w:rsid w:val="00286143"/>
    <w:rsid w:val="00286C2E"/>
    <w:rsid w:val="00286FCA"/>
    <w:rsid w:val="002874BD"/>
    <w:rsid w:val="002926F6"/>
    <w:rsid w:val="00294A7D"/>
    <w:rsid w:val="00294DD8"/>
    <w:rsid w:val="00295013"/>
    <w:rsid w:val="00297204"/>
    <w:rsid w:val="002A0222"/>
    <w:rsid w:val="002A13A1"/>
    <w:rsid w:val="002A13E2"/>
    <w:rsid w:val="002A16B6"/>
    <w:rsid w:val="002A19EE"/>
    <w:rsid w:val="002A2A06"/>
    <w:rsid w:val="002A33F4"/>
    <w:rsid w:val="002A37E3"/>
    <w:rsid w:val="002A4792"/>
    <w:rsid w:val="002A58DC"/>
    <w:rsid w:val="002A63E1"/>
    <w:rsid w:val="002A66D3"/>
    <w:rsid w:val="002A73B8"/>
    <w:rsid w:val="002B00FF"/>
    <w:rsid w:val="002B0360"/>
    <w:rsid w:val="002B17F1"/>
    <w:rsid w:val="002B1BFF"/>
    <w:rsid w:val="002B2712"/>
    <w:rsid w:val="002B3170"/>
    <w:rsid w:val="002B46F2"/>
    <w:rsid w:val="002B4C5E"/>
    <w:rsid w:val="002B792B"/>
    <w:rsid w:val="002C0D41"/>
    <w:rsid w:val="002C650E"/>
    <w:rsid w:val="002C6FFF"/>
    <w:rsid w:val="002C70B7"/>
    <w:rsid w:val="002C7CD3"/>
    <w:rsid w:val="002D0FFE"/>
    <w:rsid w:val="002D174B"/>
    <w:rsid w:val="002D1956"/>
    <w:rsid w:val="002D26CB"/>
    <w:rsid w:val="002D3B37"/>
    <w:rsid w:val="002D4914"/>
    <w:rsid w:val="002D4CE2"/>
    <w:rsid w:val="002D5141"/>
    <w:rsid w:val="002D573C"/>
    <w:rsid w:val="002D7D9C"/>
    <w:rsid w:val="002E033F"/>
    <w:rsid w:val="002E088F"/>
    <w:rsid w:val="002E18CA"/>
    <w:rsid w:val="002E215C"/>
    <w:rsid w:val="002E44DE"/>
    <w:rsid w:val="002F1469"/>
    <w:rsid w:val="002F1972"/>
    <w:rsid w:val="002F1ED9"/>
    <w:rsid w:val="002F3442"/>
    <w:rsid w:val="002F3A09"/>
    <w:rsid w:val="002F4342"/>
    <w:rsid w:val="002F61E7"/>
    <w:rsid w:val="002F7AA1"/>
    <w:rsid w:val="002F7EFF"/>
    <w:rsid w:val="00300CF3"/>
    <w:rsid w:val="003048FF"/>
    <w:rsid w:val="0030500E"/>
    <w:rsid w:val="0030509D"/>
    <w:rsid w:val="00305199"/>
    <w:rsid w:val="00305A7A"/>
    <w:rsid w:val="00307203"/>
    <w:rsid w:val="00311162"/>
    <w:rsid w:val="00312D25"/>
    <w:rsid w:val="003130CF"/>
    <w:rsid w:val="003137BE"/>
    <w:rsid w:val="00313C4D"/>
    <w:rsid w:val="00314338"/>
    <w:rsid w:val="003153DF"/>
    <w:rsid w:val="00315DDD"/>
    <w:rsid w:val="0031632A"/>
    <w:rsid w:val="00316B8B"/>
    <w:rsid w:val="00316D93"/>
    <w:rsid w:val="00320303"/>
    <w:rsid w:val="0032185F"/>
    <w:rsid w:val="00325367"/>
    <w:rsid w:val="00325DBC"/>
    <w:rsid w:val="003275A8"/>
    <w:rsid w:val="00331967"/>
    <w:rsid w:val="003334E5"/>
    <w:rsid w:val="00333F76"/>
    <w:rsid w:val="00334004"/>
    <w:rsid w:val="00334DD5"/>
    <w:rsid w:val="0033542C"/>
    <w:rsid w:val="003365A3"/>
    <w:rsid w:val="0033681B"/>
    <w:rsid w:val="00336F63"/>
    <w:rsid w:val="00337037"/>
    <w:rsid w:val="0033732D"/>
    <w:rsid w:val="00340E72"/>
    <w:rsid w:val="003417D3"/>
    <w:rsid w:val="0034275C"/>
    <w:rsid w:val="00342DBB"/>
    <w:rsid w:val="00343F48"/>
    <w:rsid w:val="00344520"/>
    <w:rsid w:val="0034566C"/>
    <w:rsid w:val="00345B2F"/>
    <w:rsid w:val="003463A2"/>
    <w:rsid w:val="00346853"/>
    <w:rsid w:val="00347CCB"/>
    <w:rsid w:val="00350BC4"/>
    <w:rsid w:val="003522DE"/>
    <w:rsid w:val="00352974"/>
    <w:rsid w:val="0035334B"/>
    <w:rsid w:val="003546AF"/>
    <w:rsid w:val="0035784E"/>
    <w:rsid w:val="0035792D"/>
    <w:rsid w:val="003601B2"/>
    <w:rsid w:val="00360FEA"/>
    <w:rsid w:val="00361F24"/>
    <w:rsid w:val="0036334B"/>
    <w:rsid w:val="003637F8"/>
    <w:rsid w:val="00363814"/>
    <w:rsid w:val="00370521"/>
    <w:rsid w:val="003712C6"/>
    <w:rsid w:val="00374E45"/>
    <w:rsid w:val="0037586B"/>
    <w:rsid w:val="00375B08"/>
    <w:rsid w:val="003776EA"/>
    <w:rsid w:val="003819A1"/>
    <w:rsid w:val="00382C7E"/>
    <w:rsid w:val="00383DC7"/>
    <w:rsid w:val="003847EE"/>
    <w:rsid w:val="00384AC2"/>
    <w:rsid w:val="00385283"/>
    <w:rsid w:val="00386627"/>
    <w:rsid w:val="00390D0B"/>
    <w:rsid w:val="003915F4"/>
    <w:rsid w:val="003922F2"/>
    <w:rsid w:val="00392B63"/>
    <w:rsid w:val="00392F38"/>
    <w:rsid w:val="00393C08"/>
    <w:rsid w:val="00395EEB"/>
    <w:rsid w:val="00397A9E"/>
    <w:rsid w:val="00397D29"/>
    <w:rsid w:val="003A06E5"/>
    <w:rsid w:val="003A5465"/>
    <w:rsid w:val="003A6B76"/>
    <w:rsid w:val="003B31D9"/>
    <w:rsid w:val="003B49C9"/>
    <w:rsid w:val="003B5A4A"/>
    <w:rsid w:val="003B6D08"/>
    <w:rsid w:val="003B70DA"/>
    <w:rsid w:val="003B7B9D"/>
    <w:rsid w:val="003C1999"/>
    <w:rsid w:val="003C29ED"/>
    <w:rsid w:val="003C3321"/>
    <w:rsid w:val="003C3CF5"/>
    <w:rsid w:val="003C41D3"/>
    <w:rsid w:val="003C7C76"/>
    <w:rsid w:val="003D3078"/>
    <w:rsid w:val="003D3150"/>
    <w:rsid w:val="003D3802"/>
    <w:rsid w:val="003D5D32"/>
    <w:rsid w:val="003D5F31"/>
    <w:rsid w:val="003D6D45"/>
    <w:rsid w:val="003D76BE"/>
    <w:rsid w:val="003D7ADF"/>
    <w:rsid w:val="003E1993"/>
    <w:rsid w:val="003E1A72"/>
    <w:rsid w:val="003E21BA"/>
    <w:rsid w:val="003E2E45"/>
    <w:rsid w:val="003E3263"/>
    <w:rsid w:val="003E3555"/>
    <w:rsid w:val="003E37AC"/>
    <w:rsid w:val="003E635F"/>
    <w:rsid w:val="003E63FC"/>
    <w:rsid w:val="003E7617"/>
    <w:rsid w:val="003F17CC"/>
    <w:rsid w:val="003F2B40"/>
    <w:rsid w:val="003F391E"/>
    <w:rsid w:val="003F3F47"/>
    <w:rsid w:val="003F4044"/>
    <w:rsid w:val="003F47C4"/>
    <w:rsid w:val="003F4D19"/>
    <w:rsid w:val="003F6607"/>
    <w:rsid w:val="003F78DB"/>
    <w:rsid w:val="003F7B00"/>
    <w:rsid w:val="00400114"/>
    <w:rsid w:val="0040053A"/>
    <w:rsid w:val="00400873"/>
    <w:rsid w:val="00401350"/>
    <w:rsid w:val="00401C01"/>
    <w:rsid w:val="00401D48"/>
    <w:rsid w:val="004029D2"/>
    <w:rsid w:val="00405240"/>
    <w:rsid w:val="004052E6"/>
    <w:rsid w:val="0041022F"/>
    <w:rsid w:val="00410296"/>
    <w:rsid w:val="00412121"/>
    <w:rsid w:val="00412C9B"/>
    <w:rsid w:val="00413365"/>
    <w:rsid w:val="004147C9"/>
    <w:rsid w:val="00415020"/>
    <w:rsid w:val="00416C4F"/>
    <w:rsid w:val="00423C88"/>
    <w:rsid w:val="004243AD"/>
    <w:rsid w:val="004251F7"/>
    <w:rsid w:val="0042713B"/>
    <w:rsid w:val="0042741F"/>
    <w:rsid w:val="004275BD"/>
    <w:rsid w:val="0043046D"/>
    <w:rsid w:val="00430519"/>
    <w:rsid w:val="004308D1"/>
    <w:rsid w:val="004309E8"/>
    <w:rsid w:val="004311F7"/>
    <w:rsid w:val="004336EB"/>
    <w:rsid w:val="00433D79"/>
    <w:rsid w:val="0043561E"/>
    <w:rsid w:val="0043595D"/>
    <w:rsid w:val="004363F9"/>
    <w:rsid w:val="004363FA"/>
    <w:rsid w:val="004367F2"/>
    <w:rsid w:val="0043723E"/>
    <w:rsid w:val="00437BF2"/>
    <w:rsid w:val="004409A0"/>
    <w:rsid w:val="00441302"/>
    <w:rsid w:val="00443858"/>
    <w:rsid w:val="0044495B"/>
    <w:rsid w:val="00447E1D"/>
    <w:rsid w:val="004500D9"/>
    <w:rsid w:val="004536D4"/>
    <w:rsid w:val="00453780"/>
    <w:rsid w:val="00453C3D"/>
    <w:rsid w:val="00454F2A"/>
    <w:rsid w:val="00455B18"/>
    <w:rsid w:val="00455E2C"/>
    <w:rsid w:val="00455F89"/>
    <w:rsid w:val="004605A3"/>
    <w:rsid w:val="00461650"/>
    <w:rsid w:val="00464C65"/>
    <w:rsid w:val="004668E2"/>
    <w:rsid w:val="00467061"/>
    <w:rsid w:val="00471075"/>
    <w:rsid w:val="00471367"/>
    <w:rsid w:val="00472EAD"/>
    <w:rsid w:val="004731FC"/>
    <w:rsid w:val="00474013"/>
    <w:rsid w:val="00476F90"/>
    <w:rsid w:val="0048084C"/>
    <w:rsid w:val="00481558"/>
    <w:rsid w:val="0048219C"/>
    <w:rsid w:val="00482416"/>
    <w:rsid w:val="00482FE1"/>
    <w:rsid w:val="00483F53"/>
    <w:rsid w:val="00487439"/>
    <w:rsid w:val="00487512"/>
    <w:rsid w:val="004901E7"/>
    <w:rsid w:val="00490E1D"/>
    <w:rsid w:val="00492AE0"/>
    <w:rsid w:val="004930E5"/>
    <w:rsid w:val="00493F61"/>
    <w:rsid w:val="00494BF3"/>
    <w:rsid w:val="00495CBB"/>
    <w:rsid w:val="00495E26"/>
    <w:rsid w:val="004964ED"/>
    <w:rsid w:val="004965CA"/>
    <w:rsid w:val="004A449C"/>
    <w:rsid w:val="004A4782"/>
    <w:rsid w:val="004A4FD3"/>
    <w:rsid w:val="004A768C"/>
    <w:rsid w:val="004B1B28"/>
    <w:rsid w:val="004B1D9E"/>
    <w:rsid w:val="004B7842"/>
    <w:rsid w:val="004B79CE"/>
    <w:rsid w:val="004C169B"/>
    <w:rsid w:val="004C1A96"/>
    <w:rsid w:val="004C35D4"/>
    <w:rsid w:val="004C4042"/>
    <w:rsid w:val="004C54CE"/>
    <w:rsid w:val="004D11BD"/>
    <w:rsid w:val="004D2475"/>
    <w:rsid w:val="004D29A4"/>
    <w:rsid w:val="004D3749"/>
    <w:rsid w:val="004D4145"/>
    <w:rsid w:val="004D4D00"/>
    <w:rsid w:val="004D5F09"/>
    <w:rsid w:val="004D66AA"/>
    <w:rsid w:val="004D76D0"/>
    <w:rsid w:val="004E0C21"/>
    <w:rsid w:val="004E1A79"/>
    <w:rsid w:val="004E1E91"/>
    <w:rsid w:val="004E2075"/>
    <w:rsid w:val="004E49F5"/>
    <w:rsid w:val="004E61F3"/>
    <w:rsid w:val="004E664C"/>
    <w:rsid w:val="004E6DD3"/>
    <w:rsid w:val="004F25E9"/>
    <w:rsid w:val="004F28AA"/>
    <w:rsid w:val="004F2D4F"/>
    <w:rsid w:val="004F2FD9"/>
    <w:rsid w:val="004F3560"/>
    <w:rsid w:val="004F3D0D"/>
    <w:rsid w:val="004F43BB"/>
    <w:rsid w:val="004F54FA"/>
    <w:rsid w:val="004F60EF"/>
    <w:rsid w:val="004F75B1"/>
    <w:rsid w:val="0050034A"/>
    <w:rsid w:val="00501B74"/>
    <w:rsid w:val="005029EF"/>
    <w:rsid w:val="0050321F"/>
    <w:rsid w:val="0050371E"/>
    <w:rsid w:val="005042F7"/>
    <w:rsid w:val="00505D94"/>
    <w:rsid w:val="00505ECA"/>
    <w:rsid w:val="00506FA9"/>
    <w:rsid w:val="0050733D"/>
    <w:rsid w:val="00507E4B"/>
    <w:rsid w:val="00510590"/>
    <w:rsid w:val="00510CBB"/>
    <w:rsid w:val="00514A17"/>
    <w:rsid w:val="00515743"/>
    <w:rsid w:val="00516572"/>
    <w:rsid w:val="00516D1E"/>
    <w:rsid w:val="00517DF3"/>
    <w:rsid w:val="00523017"/>
    <w:rsid w:val="00523DC4"/>
    <w:rsid w:val="005247F8"/>
    <w:rsid w:val="0052579A"/>
    <w:rsid w:val="00526F6D"/>
    <w:rsid w:val="00527DC1"/>
    <w:rsid w:val="00527E06"/>
    <w:rsid w:val="00533F15"/>
    <w:rsid w:val="005401C1"/>
    <w:rsid w:val="00542416"/>
    <w:rsid w:val="00542B0E"/>
    <w:rsid w:val="00543D33"/>
    <w:rsid w:val="005441AE"/>
    <w:rsid w:val="00544B2F"/>
    <w:rsid w:val="00544DC4"/>
    <w:rsid w:val="00546FEC"/>
    <w:rsid w:val="00547F78"/>
    <w:rsid w:val="005500F1"/>
    <w:rsid w:val="005521B1"/>
    <w:rsid w:val="005530B7"/>
    <w:rsid w:val="005531F4"/>
    <w:rsid w:val="00554507"/>
    <w:rsid w:val="005548B7"/>
    <w:rsid w:val="00554C95"/>
    <w:rsid w:val="00556F8D"/>
    <w:rsid w:val="0055757E"/>
    <w:rsid w:val="00557EFF"/>
    <w:rsid w:val="00560CA9"/>
    <w:rsid w:val="00561221"/>
    <w:rsid w:val="00561425"/>
    <w:rsid w:val="0056172C"/>
    <w:rsid w:val="005622B1"/>
    <w:rsid w:val="00562B2B"/>
    <w:rsid w:val="005632BE"/>
    <w:rsid w:val="00565B9C"/>
    <w:rsid w:val="00565E49"/>
    <w:rsid w:val="005661E2"/>
    <w:rsid w:val="00570BE7"/>
    <w:rsid w:val="00571E73"/>
    <w:rsid w:val="005737D8"/>
    <w:rsid w:val="00573A57"/>
    <w:rsid w:val="00573AF2"/>
    <w:rsid w:val="00573D7A"/>
    <w:rsid w:val="00573E2C"/>
    <w:rsid w:val="005756D0"/>
    <w:rsid w:val="00577C65"/>
    <w:rsid w:val="00577DEA"/>
    <w:rsid w:val="00580588"/>
    <w:rsid w:val="00580615"/>
    <w:rsid w:val="005816E2"/>
    <w:rsid w:val="0058217D"/>
    <w:rsid w:val="00582470"/>
    <w:rsid w:val="00582D15"/>
    <w:rsid w:val="00590332"/>
    <w:rsid w:val="00591C4C"/>
    <w:rsid w:val="00594ED1"/>
    <w:rsid w:val="005A0B3E"/>
    <w:rsid w:val="005A13B7"/>
    <w:rsid w:val="005A2A25"/>
    <w:rsid w:val="005A4778"/>
    <w:rsid w:val="005A4881"/>
    <w:rsid w:val="005A5308"/>
    <w:rsid w:val="005A6C9E"/>
    <w:rsid w:val="005B042D"/>
    <w:rsid w:val="005B1279"/>
    <w:rsid w:val="005B14A3"/>
    <w:rsid w:val="005B1E80"/>
    <w:rsid w:val="005B2915"/>
    <w:rsid w:val="005B3D5F"/>
    <w:rsid w:val="005B4076"/>
    <w:rsid w:val="005B40EA"/>
    <w:rsid w:val="005B4857"/>
    <w:rsid w:val="005B5528"/>
    <w:rsid w:val="005B6EB0"/>
    <w:rsid w:val="005B7A6E"/>
    <w:rsid w:val="005B7A9D"/>
    <w:rsid w:val="005C01F5"/>
    <w:rsid w:val="005C2528"/>
    <w:rsid w:val="005C3BA2"/>
    <w:rsid w:val="005C3BBC"/>
    <w:rsid w:val="005C56C2"/>
    <w:rsid w:val="005C5E51"/>
    <w:rsid w:val="005C5EFF"/>
    <w:rsid w:val="005C68B0"/>
    <w:rsid w:val="005C6B69"/>
    <w:rsid w:val="005C6BF8"/>
    <w:rsid w:val="005D01AE"/>
    <w:rsid w:val="005D3AA6"/>
    <w:rsid w:val="005D3BEE"/>
    <w:rsid w:val="005D420F"/>
    <w:rsid w:val="005D5AF8"/>
    <w:rsid w:val="005D7182"/>
    <w:rsid w:val="005E041F"/>
    <w:rsid w:val="005E167E"/>
    <w:rsid w:val="005E2A71"/>
    <w:rsid w:val="005E38EB"/>
    <w:rsid w:val="005E5485"/>
    <w:rsid w:val="005E679E"/>
    <w:rsid w:val="005F1354"/>
    <w:rsid w:val="005F3FE4"/>
    <w:rsid w:val="005F494A"/>
    <w:rsid w:val="005F4D92"/>
    <w:rsid w:val="005F77FD"/>
    <w:rsid w:val="00601085"/>
    <w:rsid w:val="006034D6"/>
    <w:rsid w:val="00603A31"/>
    <w:rsid w:val="006067A6"/>
    <w:rsid w:val="00606EED"/>
    <w:rsid w:val="00607860"/>
    <w:rsid w:val="00610203"/>
    <w:rsid w:val="00610967"/>
    <w:rsid w:val="00610F02"/>
    <w:rsid w:val="0061139B"/>
    <w:rsid w:val="00611976"/>
    <w:rsid w:val="00612546"/>
    <w:rsid w:val="006127AD"/>
    <w:rsid w:val="00612FE6"/>
    <w:rsid w:val="00615D8E"/>
    <w:rsid w:val="00616688"/>
    <w:rsid w:val="0062114E"/>
    <w:rsid w:val="00622A3C"/>
    <w:rsid w:val="00622CA6"/>
    <w:rsid w:val="0062571A"/>
    <w:rsid w:val="006264AB"/>
    <w:rsid w:val="006269DE"/>
    <w:rsid w:val="00626F5F"/>
    <w:rsid w:val="006270FD"/>
    <w:rsid w:val="00630201"/>
    <w:rsid w:val="00632521"/>
    <w:rsid w:val="006331E5"/>
    <w:rsid w:val="0063362E"/>
    <w:rsid w:val="00633F3B"/>
    <w:rsid w:val="00634901"/>
    <w:rsid w:val="00636BDA"/>
    <w:rsid w:val="00637208"/>
    <w:rsid w:val="00641819"/>
    <w:rsid w:val="00644A3F"/>
    <w:rsid w:val="00645A71"/>
    <w:rsid w:val="006465B9"/>
    <w:rsid w:val="006467C4"/>
    <w:rsid w:val="006476E6"/>
    <w:rsid w:val="0065048E"/>
    <w:rsid w:val="0065052D"/>
    <w:rsid w:val="006505B4"/>
    <w:rsid w:val="00650639"/>
    <w:rsid w:val="0065090C"/>
    <w:rsid w:val="00650BAF"/>
    <w:rsid w:val="00652150"/>
    <w:rsid w:val="00652949"/>
    <w:rsid w:val="00653238"/>
    <w:rsid w:val="00653350"/>
    <w:rsid w:val="0065401D"/>
    <w:rsid w:val="00654192"/>
    <w:rsid w:val="006549F1"/>
    <w:rsid w:val="00655C17"/>
    <w:rsid w:val="00655F00"/>
    <w:rsid w:val="0066106D"/>
    <w:rsid w:val="00662320"/>
    <w:rsid w:val="00662DFB"/>
    <w:rsid w:val="00663944"/>
    <w:rsid w:val="006640A9"/>
    <w:rsid w:val="0066491E"/>
    <w:rsid w:val="00667233"/>
    <w:rsid w:val="00670372"/>
    <w:rsid w:val="00670B4E"/>
    <w:rsid w:val="0067211C"/>
    <w:rsid w:val="00672582"/>
    <w:rsid w:val="00673BF9"/>
    <w:rsid w:val="006751A3"/>
    <w:rsid w:val="006775A2"/>
    <w:rsid w:val="00677A6A"/>
    <w:rsid w:val="006806F1"/>
    <w:rsid w:val="006811E5"/>
    <w:rsid w:val="006814F9"/>
    <w:rsid w:val="006839C5"/>
    <w:rsid w:val="00684CA3"/>
    <w:rsid w:val="00685340"/>
    <w:rsid w:val="00685FBD"/>
    <w:rsid w:val="006916DB"/>
    <w:rsid w:val="0069269A"/>
    <w:rsid w:val="006946F7"/>
    <w:rsid w:val="006963C0"/>
    <w:rsid w:val="00696E10"/>
    <w:rsid w:val="006A4CD0"/>
    <w:rsid w:val="006A60CF"/>
    <w:rsid w:val="006A6ABD"/>
    <w:rsid w:val="006A6C1B"/>
    <w:rsid w:val="006A775E"/>
    <w:rsid w:val="006A7AE9"/>
    <w:rsid w:val="006B1771"/>
    <w:rsid w:val="006B2C1D"/>
    <w:rsid w:val="006B3467"/>
    <w:rsid w:val="006B46AA"/>
    <w:rsid w:val="006B7F74"/>
    <w:rsid w:val="006C0770"/>
    <w:rsid w:val="006C1831"/>
    <w:rsid w:val="006C2D89"/>
    <w:rsid w:val="006C3082"/>
    <w:rsid w:val="006C45C3"/>
    <w:rsid w:val="006C4F48"/>
    <w:rsid w:val="006C54FD"/>
    <w:rsid w:val="006C56ED"/>
    <w:rsid w:val="006C5DCE"/>
    <w:rsid w:val="006D0404"/>
    <w:rsid w:val="006D0E64"/>
    <w:rsid w:val="006D14D4"/>
    <w:rsid w:val="006D215B"/>
    <w:rsid w:val="006D45A5"/>
    <w:rsid w:val="006D4660"/>
    <w:rsid w:val="006D62A3"/>
    <w:rsid w:val="006D764A"/>
    <w:rsid w:val="006E047E"/>
    <w:rsid w:val="006E2E16"/>
    <w:rsid w:val="006E57D6"/>
    <w:rsid w:val="006E58B7"/>
    <w:rsid w:val="006E7F8C"/>
    <w:rsid w:val="006F37E4"/>
    <w:rsid w:val="006F5115"/>
    <w:rsid w:val="006F52E1"/>
    <w:rsid w:val="006F52FB"/>
    <w:rsid w:val="006F75AB"/>
    <w:rsid w:val="006F789C"/>
    <w:rsid w:val="007013F2"/>
    <w:rsid w:val="007019FD"/>
    <w:rsid w:val="00702621"/>
    <w:rsid w:val="00702A06"/>
    <w:rsid w:val="00702D23"/>
    <w:rsid w:val="0070404C"/>
    <w:rsid w:val="0070413C"/>
    <w:rsid w:val="0070572D"/>
    <w:rsid w:val="00705AF0"/>
    <w:rsid w:val="00710998"/>
    <w:rsid w:val="00713B68"/>
    <w:rsid w:val="00713BE7"/>
    <w:rsid w:val="00713C2A"/>
    <w:rsid w:val="00714EC4"/>
    <w:rsid w:val="00717C89"/>
    <w:rsid w:val="00717F06"/>
    <w:rsid w:val="00720B51"/>
    <w:rsid w:val="00721349"/>
    <w:rsid w:val="00722161"/>
    <w:rsid w:val="00722758"/>
    <w:rsid w:val="00724686"/>
    <w:rsid w:val="00724BD8"/>
    <w:rsid w:val="00726B12"/>
    <w:rsid w:val="00727225"/>
    <w:rsid w:val="007278BD"/>
    <w:rsid w:val="0073118D"/>
    <w:rsid w:val="007315DE"/>
    <w:rsid w:val="007330BA"/>
    <w:rsid w:val="0073353C"/>
    <w:rsid w:val="0073431F"/>
    <w:rsid w:val="007349B8"/>
    <w:rsid w:val="0073500D"/>
    <w:rsid w:val="00735775"/>
    <w:rsid w:val="00736B2A"/>
    <w:rsid w:val="00737393"/>
    <w:rsid w:val="00737D29"/>
    <w:rsid w:val="007415D0"/>
    <w:rsid w:val="007416D8"/>
    <w:rsid w:val="00742C55"/>
    <w:rsid w:val="00743080"/>
    <w:rsid w:val="007431F4"/>
    <w:rsid w:val="007455D7"/>
    <w:rsid w:val="00746306"/>
    <w:rsid w:val="00746BBD"/>
    <w:rsid w:val="00746C09"/>
    <w:rsid w:val="007502B6"/>
    <w:rsid w:val="007505EF"/>
    <w:rsid w:val="00750C52"/>
    <w:rsid w:val="007511D1"/>
    <w:rsid w:val="0075158B"/>
    <w:rsid w:val="00753141"/>
    <w:rsid w:val="007546F0"/>
    <w:rsid w:val="007568EC"/>
    <w:rsid w:val="00756FAD"/>
    <w:rsid w:val="00760AEB"/>
    <w:rsid w:val="00762B9C"/>
    <w:rsid w:val="00763227"/>
    <w:rsid w:val="0076393C"/>
    <w:rsid w:val="00764E19"/>
    <w:rsid w:val="00765980"/>
    <w:rsid w:val="00766C3A"/>
    <w:rsid w:val="00767650"/>
    <w:rsid w:val="007711EB"/>
    <w:rsid w:val="00772BF0"/>
    <w:rsid w:val="00774722"/>
    <w:rsid w:val="00775459"/>
    <w:rsid w:val="00775A5E"/>
    <w:rsid w:val="00775E44"/>
    <w:rsid w:val="00776E6A"/>
    <w:rsid w:val="0077707A"/>
    <w:rsid w:val="00780AAB"/>
    <w:rsid w:val="00781959"/>
    <w:rsid w:val="00783B35"/>
    <w:rsid w:val="00785CDE"/>
    <w:rsid w:val="00787622"/>
    <w:rsid w:val="00790E61"/>
    <w:rsid w:val="0079112E"/>
    <w:rsid w:val="00792B4C"/>
    <w:rsid w:val="00793138"/>
    <w:rsid w:val="00795EA5"/>
    <w:rsid w:val="0079611E"/>
    <w:rsid w:val="00796E20"/>
    <w:rsid w:val="00796F7A"/>
    <w:rsid w:val="007971E1"/>
    <w:rsid w:val="00797E3A"/>
    <w:rsid w:val="007A0269"/>
    <w:rsid w:val="007A0F59"/>
    <w:rsid w:val="007A2649"/>
    <w:rsid w:val="007A27F2"/>
    <w:rsid w:val="007A434B"/>
    <w:rsid w:val="007A4AA8"/>
    <w:rsid w:val="007A4F4C"/>
    <w:rsid w:val="007A5184"/>
    <w:rsid w:val="007A5C93"/>
    <w:rsid w:val="007A68E3"/>
    <w:rsid w:val="007A6973"/>
    <w:rsid w:val="007A6C33"/>
    <w:rsid w:val="007B0237"/>
    <w:rsid w:val="007B20E2"/>
    <w:rsid w:val="007B4A65"/>
    <w:rsid w:val="007B6D1F"/>
    <w:rsid w:val="007B7128"/>
    <w:rsid w:val="007B74B8"/>
    <w:rsid w:val="007C0A81"/>
    <w:rsid w:val="007C1B0F"/>
    <w:rsid w:val="007C1D1C"/>
    <w:rsid w:val="007C3316"/>
    <w:rsid w:val="007C5B34"/>
    <w:rsid w:val="007C678D"/>
    <w:rsid w:val="007C7F89"/>
    <w:rsid w:val="007D1721"/>
    <w:rsid w:val="007D2003"/>
    <w:rsid w:val="007D30AD"/>
    <w:rsid w:val="007D5620"/>
    <w:rsid w:val="007D7A78"/>
    <w:rsid w:val="007D7C83"/>
    <w:rsid w:val="007E02E1"/>
    <w:rsid w:val="007E09DC"/>
    <w:rsid w:val="007E136A"/>
    <w:rsid w:val="007E176A"/>
    <w:rsid w:val="007E1831"/>
    <w:rsid w:val="007E6F78"/>
    <w:rsid w:val="007E71F0"/>
    <w:rsid w:val="007E7C78"/>
    <w:rsid w:val="007F064A"/>
    <w:rsid w:val="007F0867"/>
    <w:rsid w:val="007F0AA1"/>
    <w:rsid w:val="007F0CED"/>
    <w:rsid w:val="007F21EE"/>
    <w:rsid w:val="007F252D"/>
    <w:rsid w:val="007F2B5A"/>
    <w:rsid w:val="007F398E"/>
    <w:rsid w:val="007F3D03"/>
    <w:rsid w:val="007F3FB2"/>
    <w:rsid w:val="007F428E"/>
    <w:rsid w:val="007F6F1B"/>
    <w:rsid w:val="007F71C8"/>
    <w:rsid w:val="0080017A"/>
    <w:rsid w:val="00801556"/>
    <w:rsid w:val="00803B6B"/>
    <w:rsid w:val="0080668F"/>
    <w:rsid w:val="008066E1"/>
    <w:rsid w:val="00807C92"/>
    <w:rsid w:val="0081091A"/>
    <w:rsid w:val="0081211E"/>
    <w:rsid w:val="0081279D"/>
    <w:rsid w:val="00814349"/>
    <w:rsid w:val="008145FF"/>
    <w:rsid w:val="00814778"/>
    <w:rsid w:val="00814B96"/>
    <w:rsid w:val="00814BC8"/>
    <w:rsid w:val="00815A9B"/>
    <w:rsid w:val="008165C4"/>
    <w:rsid w:val="00816CB9"/>
    <w:rsid w:val="008173D1"/>
    <w:rsid w:val="00820E4B"/>
    <w:rsid w:val="008231CC"/>
    <w:rsid w:val="0082369B"/>
    <w:rsid w:val="00823CAD"/>
    <w:rsid w:val="00824070"/>
    <w:rsid w:val="00824869"/>
    <w:rsid w:val="00827BA6"/>
    <w:rsid w:val="00827FA5"/>
    <w:rsid w:val="00830332"/>
    <w:rsid w:val="0083054F"/>
    <w:rsid w:val="008305F4"/>
    <w:rsid w:val="00830849"/>
    <w:rsid w:val="00831EA1"/>
    <w:rsid w:val="00833A97"/>
    <w:rsid w:val="0083496C"/>
    <w:rsid w:val="008357E0"/>
    <w:rsid w:val="0083677E"/>
    <w:rsid w:val="008401A5"/>
    <w:rsid w:val="0084156B"/>
    <w:rsid w:val="0084524C"/>
    <w:rsid w:val="00846469"/>
    <w:rsid w:val="008465F2"/>
    <w:rsid w:val="00846DBE"/>
    <w:rsid w:val="00846DC6"/>
    <w:rsid w:val="008473BD"/>
    <w:rsid w:val="0084779D"/>
    <w:rsid w:val="008500A2"/>
    <w:rsid w:val="00855AFC"/>
    <w:rsid w:val="00855ECD"/>
    <w:rsid w:val="00856E41"/>
    <w:rsid w:val="00860A07"/>
    <w:rsid w:val="00861A24"/>
    <w:rsid w:val="00861DC2"/>
    <w:rsid w:val="008633E4"/>
    <w:rsid w:val="00863666"/>
    <w:rsid w:val="00864D19"/>
    <w:rsid w:val="00866394"/>
    <w:rsid w:val="008725BE"/>
    <w:rsid w:val="0087351A"/>
    <w:rsid w:val="008741F9"/>
    <w:rsid w:val="00874549"/>
    <w:rsid w:val="00875ADC"/>
    <w:rsid w:val="00877E4B"/>
    <w:rsid w:val="00880666"/>
    <w:rsid w:val="00881D9F"/>
    <w:rsid w:val="00882270"/>
    <w:rsid w:val="00883F01"/>
    <w:rsid w:val="00885E87"/>
    <w:rsid w:val="00886E3C"/>
    <w:rsid w:val="00887792"/>
    <w:rsid w:val="00890234"/>
    <w:rsid w:val="00891678"/>
    <w:rsid w:val="00891CBC"/>
    <w:rsid w:val="00892145"/>
    <w:rsid w:val="008938E6"/>
    <w:rsid w:val="0089397B"/>
    <w:rsid w:val="0089398C"/>
    <w:rsid w:val="00893DEE"/>
    <w:rsid w:val="00893F96"/>
    <w:rsid w:val="00894FDB"/>
    <w:rsid w:val="00896D65"/>
    <w:rsid w:val="00896EAB"/>
    <w:rsid w:val="0089759C"/>
    <w:rsid w:val="008A249F"/>
    <w:rsid w:val="008A7005"/>
    <w:rsid w:val="008A724E"/>
    <w:rsid w:val="008B1656"/>
    <w:rsid w:val="008B1FAF"/>
    <w:rsid w:val="008B2217"/>
    <w:rsid w:val="008B2338"/>
    <w:rsid w:val="008B2CA6"/>
    <w:rsid w:val="008B3C29"/>
    <w:rsid w:val="008B5D0E"/>
    <w:rsid w:val="008B6204"/>
    <w:rsid w:val="008B63F2"/>
    <w:rsid w:val="008C22F4"/>
    <w:rsid w:val="008C3261"/>
    <w:rsid w:val="008C4001"/>
    <w:rsid w:val="008C5B26"/>
    <w:rsid w:val="008C5D15"/>
    <w:rsid w:val="008C63CE"/>
    <w:rsid w:val="008C7A5E"/>
    <w:rsid w:val="008D0892"/>
    <w:rsid w:val="008D2E6C"/>
    <w:rsid w:val="008D3792"/>
    <w:rsid w:val="008D4219"/>
    <w:rsid w:val="008D534F"/>
    <w:rsid w:val="008D67F1"/>
    <w:rsid w:val="008D7C51"/>
    <w:rsid w:val="008D7CC1"/>
    <w:rsid w:val="008E0C96"/>
    <w:rsid w:val="008E0D00"/>
    <w:rsid w:val="008E274D"/>
    <w:rsid w:val="008E2934"/>
    <w:rsid w:val="008E617E"/>
    <w:rsid w:val="008E7922"/>
    <w:rsid w:val="008E7CE5"/>
    <w:rsid w:val="008F0346"/>
    <w:rsid w:val="008F187E"/>
    <w:rsid w:val="008F3159"/>
    <w:rsid w:val="008F3304"/>
    <w:rsid w:val="008F5BEC"/>
    <w:rsid w:val="008F660C"/>
    <w:rsid w:val="008F6AD3"/>
    <w:rsid w:val="008F715B"/>
    <w:rsid w:val="0090045B"/>
    <w:rsid w:val="00900EDD"/>
    <w:rsid w:val="009012D0"/>
    <w:rsid w:val="009016AE"/>
    <w:rsid w:val="0090202D"/>
    <w:rsid w:val="009032D0"/>
    <w:rsid w:val="009034F0"/>
    <w:rsid w:val="009037F9"/>
    <w:rsid w:val="00903ACF"/>
    <w:rsid w:val="009045FC"/>
    <w:rsid w:val="00904BBC"/>
    <w:rsid w:val="00905DBC"/>
    <w:rsid w:val="0091131D"/>
    <w:rsid w:val="009123CA"/>
    <w:rsid w:val="00912ACF"/>
    <w:rsid w:val="00913069"/>
    <w:rsid w:val="00913299"/>
    <w:rsid w:val="009167A1"/>
    <w:rsid w:val="0091795B"/>
    <w:rsid w:val="00921A96"/>
    <w:rsid w:val="00921ADC"/>
    <w:rsid w:val="00921EEE"/>
    <w:rsid w:val="0092202C"/>
    <w:rsid w:val="00923842"/>
    <w:rsid w:val="0092445D"/>
    <w:rsid w:val="00924E48"/>
    <w:rsid w:val="009252E0"/>
    <w:rsid w:val="0092543B"/>
    <w:rsid w:val="00926068"/>
    <w:rsid w:val="009278B2"/>
    <w:rsid w:val="00930038"/>
    <w:rsid w:val="00930328"/>
    <w:rsid w:val="0093090D"/>
    <w:rsid w:val="00930B5A"/>
    <w:rsid w:val="0093196F"/>
    <w:rsid w:val="009329EF"/>
    <w:rsid w:val="00934ED5"/>
    <w:rsid w:val="00936259"/>
    <w:rsid w:val="00936742"/>
    <w:rsid w:val="00937CFE"/>
    <w:rsid w:val="0094112F"/>
    <w:rsid w:val="0094205A"/>
    <w:rsid w:val="009421BB"/>
    <w:rsid w:val="00943043"/>
    <w:rsid w:val="00946077"/>
    <w:rsid w:val="00946D16"/>
    <w:rsid w:val="0095015E"/>
    <w:rsid w:val="0095282B"/>
    <w:rsid w:val="00953B0F"/>
    <w:rsid w:val="00953C80"/>
    <w:rsid w:val="0095534C"/>
    <w:rsid w:val="00955766"/>
    <w:rsid w:val="00955BEF"/>
    <w:rsid w:val="0095752D"/>
    <w:rsid w:val="0095775E"/>
    <w:rsid w:val="009605FE"/>
    <w:rsid w:val="00960609"/>
    <w:rsid w:val="00960BF7"/>
    <w:rsid w:val="00962407"/>
    <w:rsid w:val="009630AF"/>
    <w:rsid w:val="009647BC"/>
    <w:rsid w:val="00967AF5"/>
    <w:rsid w:val="009701E1"/>
    <w:rsid w:val="0097074A"/>
    <w:rsid w:val="00970C24"/>
    <w:rsid w:val="00971AEE"/>
    <w:rsid w:val="009749E2"/>
    <w:rsid w:val="00975219"/>
    <w:rsid w:val="00981EF2"/>
    <w:rsid w:val="009822A2"/>
    <w:rsid w:val="00983B57"/>
    <w:rsid w:val="0098712C"/>
    <w:rsid w:val="00987E1B"/>
    <w:rsid w:val="00990839"/>
    <w:rsid w:val="009908CC"/>
    <w:rsid w:val="009909EA"/>
    <w:rsid w:val="00990AB0"/>
    <w:rsid w:val="00990F5B"/>
    <w:rsid w:val="0099213E"/>
    <w:rsid w:val="00992E92"/>
    <w:rsid w:val="00995247"/>
    <w:rsid w:val="00996CB7"/>
    <w:rsid w:val="00997FBD"/>
    <w:rsid w:val="009A2618"/>
    <w:rsid w:val="009A2C6B"/>
    <w:rsid w:val="009A4A65"/>
    <w:rsid w:val="009A54A4"/>
    <w:rsid w:val="009A5726"/>
    <w:rsid w:val="009A7549"/>
    <w:rsid w:val="009B05BE"/>
    <w:rsid w:val="009B0B3C"/>
    <w:rsid w:val="009B1F54"/>
    <w:rsid w:val="009B3917"/>
    <w:rsid w:val="009B4016"/>
    <w:rsid w:val="009B4CBA"/>
    <w:rsid w:val="009B5247"/>
    <w:rsid w:val="009B52AB"/>
    <w:rsid w:val="009B5896"/>
    <w:rsid w:val="009B5A6D"/>
    <w:rsid w:val="009C05C4"/>
    <w:rsid w:val="009C0CE8"/>
    <w:rsid w:val="009C0D4B"/>
    <w:rsid w:val="009C1510"/>
    <w:rsid w:val="009C17B3"/>
    <w:rsid w:val="009C3839"/>
    <w:rsid w:val="009C3A79"/>
    <w:rsid w:val="009C5950"/>
    <w:rsid w:val="009C5B6D"/>
    <w:rsid w:val="009C6282"/>
    <w:rsid w:val="009C6F1A"/>
    <w:rsid w:val="009C703A"/>
    <w:rsid w:val="009C7A3E"/>
    <w:rsid w:val="009C7A67"/>
    <w:rsid w:val="009D0E52"/>
    <w:rsid w:val="009D0FB7"/>
    <w:rsid w:val="009D266B"/>
    <w:rsid w:val="009D2E46"/>
    <w:rsid w:val="009D32BD"/>
    <w:rsid w:val="009D38D5"/>
    <w:rsid w:val="009D3DD8"/>
    <w:rsid w:val="009D6F34"/>
    <w:rsid w:val="009D789B"/>
    <w:rsid w:val="009E0AD2"/>
    <w:rsid w:val="009E3A14"/>
    <w:rsid w:val="009E3AA7"/>
    <w:rsid w:val="009E4C2A"/>
    <w:rsid w:val="009E5268"/>
    <w:rsid w:val="009F03B8"/>
    <w:rsid w:val="009F195C"/>
    <w:rsid w:val="009F2ABE"/>
    <w:rsid w:val="009F2AFA"/>
    <w:rsid w:val="009F4B25"/>
    <w:rsid w:val="009F4F6C"/>
    <w:rsid w:val="009F50B6"/>
    <w:rsid w:val="009F5CFA"/>
    <w:rsid w:val="009F5E13"/>
    <w:rsid w:val="009F724D"/>
    <w:rsid w:val="00A00030"/>
    <w:rsid w:val="00A010A8"/>
    <w:rsid w:val="00A01ED8"/>
    <w:rsid w:val="00A02275"/>
    <w:rsid w:val="00A024CC"/>
    <w:rsid w:val="00A04AE9"/>
    <w:rsid w:val="00A056C9"/>
    <w:rsid w:val="00A068A6"/>
    <w:rsid w:val="00A0692D"/>
    <w:rsid w:val="00A072A5"/>
    <w:rsid w:val="00A1051E"/>
    <w:rsid w:val="00A12DC4"/>
    <w:rsid w:val="00A12F26"/>
    <w:rsid w:val="00A13502"/>
    <w:rsid w:val="00A1373B"/>
    <w:rsid w:val="00A14750"/>
    <w:rsid w:val="00A150D4"/>
    <w:rsid w:val="00A16813"/>
    <w:rsid w:val="00A2013C"/>
    <w:rsid w:val="00A22DBC"/>
    <w:rsid w:val="00A24B14"/>
    <w:rsid w:val="00A24F1E"/>
    <w:rsid w:val="00A279D0"/>
    <w:rsid w:val="00A3015F"/>
    <w:rsid w:val="00A35003"/>
    <w:rsid w:val="00A3593B"/>
    <w:rsid w:val="00A36141"/>
    <w:rsid w:val="00A3718F"/>
    <w:rsid w:val="00A37A4A"/>
    <w:rsid w:val="00A401A0"/>
    <w:rsid w:val="00A42382"/>
    <w:rsid w:val="00A44575"/>
    <w:rsid w:val="00A47DDB"/>
    <w:rsid w:val="00A47E5D"/>
    <w:rsid w:val="00A53011"/>
    <w:rsid w:val="00A54D8E"/>
    <w:rsid w:val="00A564BA"/>
    <w:rsid w:val="00A564BE"/>
    <w:rsid w:val="00A5759A"/>
    <w:rsid w:val="00A5781F"/>
    <w:rsid w:val="00A57990"/>
    <w:rsid w:val="00A579AC"/>
    <w:rsid w:val="00A6077D"/>
    <w:rsid w:val="00A64854"/>
    <w:rsid w:val="00A64CA0"/>
    <w:rsid w:val="00A64D41"/>
    <w:rsid w:val="00A64DF3"/>
    <w:rsid w:val="00A700D1"/>
    <w:rsid w:val="00A71A73"/>
    <w:rsid w:val="00A71BD6"/>
    <w:rsid w:val="00A71C19"/>
    <w:rsid w:val="00A72611"/>
    <w:rsid w:val="00A72666"/>
    <w:rsid w:val="00A73BDC"/>
    <w:rsid w:val="00A760B4"/>
    <w:rsid w:val="00A760DA"/>
    <w:rsid w:val="00A76513"/>
    <w:rsid w:val="00A77891"/>
    <w:rsid w:val="00A83C39"/>
    <w:rsid w:val="00A855F4"/>
    <w:rsid w:val="00A90924"/>
    <w:rsid w:val="00A91D5A"/>
    <w:rsid w:val="00A92371"/>
    <w:rsid w:val="00A923CE"/>
    <w:rsid w:val="00A92498"/>
    <w:rsid w:val="00A9320F"/>
    <w:rsid w:val="00A93CC3"/>
    <w:rsid w:val="00A93D24"/>
    <w:rsid w:val="00A955AE"/>
    <w:rsid w:val="00AA13DD"/>
    <w:rsid w:val="00AA1A08"/>
    <w:rsid w:val="00AA21A8"/>
    <w:rsid w:val="00AA3219"/>
    <w:rsid w:val="00AA4936"/>
    <w:rsid w:val="00AA5447"/>
    <w:rsid w:val="00AA544F"/>
    <w:rsid w:val="00AA5B80"/>
    <w:rsid w:val="00AA6094"/>
    <w:rsid w:val="00AA7575"/>
    <w:rsid w:val="00AA7956"/>
    <w:rsid w:val="00AB0215"/>
    <w:rsid w:val="00AB3C77"/>
    <w:rsid w:val="00AB4258"/>
    <w:rsid w:val="00AB42F9"/>
    <w:rsid w:val="00AC0732"/>
    <w:rsid w:val="00AC18A0"/>
    <w:rsid w:val="00AC3842"/>
    <w:rsid w:val="00AC3DF8"/>
    <w:rsid w:val="00AC4E62"/>
    <w:rsid w:val="00AC56C0"/>
    <w:rsid w:val="00AC5C4E"/>
    <w:rsid w:val="00AC66A1"/>
    <w:rsid w:val="00AC69D7"/>
    <w:rsid w:val="00AC7283"/>
    <w:rsid w:val="00AD0178"/>
    <w:rsid w:val="00AD0301"/>
    <w:rsid w:val="00AD07B3"/>
    <w:rsid w:val="00AD121C"/>
    <w:rsid w:val="00AD1D75"/>
    <w:rsid w:val="00AD1EC4"/>
    <w:rsid w:val="00AD5022"/>
    <w:rsid w:val="00AD568D"/>
    <w:rsid w:val="00AD7353"/>
    <w:rsid w:val="00AE0131"/>
    <w:rsid w:val="00AE1994"/>
    <w:rsid w:val="00AE1A40"/>
    <w:rsid w:val="00AE1ADA"/>
    <w:rsid w:val="00AE301A"/>
    <w:rsid w:val="00AE344F"/>
    <w:rsid w:val="00AE3B01"/>
    <w:rsid w:val="00AE466E"/>
    <w:rsid w:val="00AE5A02"/>
    <w:rsid w:val="00AE6A9F"/>
    <w:rsid w:val="00AE6C0E"/>
    <w:rsid w:val="00AE7975"/>
    <w:rsid w:val="00AF3101"/>
    <w:rsid w:val="00AF34F6"/>
    <w:rsid w:val="00AF3502"/>
    <w:rsid w:val="00AF35C8"/>
    <w:rsid w:val="00AF3F23"/>
    <w:rsid w:val="00AF4322"/>
    <w:rsid w:val="00AF64F8"/>
    <w:rsid w:val="00AF701B"/>
    <w:rsid w:val="00AF73F4"/>
    <w:rsid w:val="00B01E72"/>
    <w:rsid w:val="00B0231C"/>
    <w:rsid w:val="00B0273D"/>
    <w:rsid w:val="00B045D1"/>
    <w:rsid w:val="00B047A7"/>
    <w:rsid w:val="00B050D5"/>
    <w:rsid w:val="00B06651"/>
    <w:rsid w:val="00B079E0"/>
    <w:rsid w:val="00B1200A"/>
    <w:rsid w:val="00B12207"/>
    <w:rsid w:val="00B12364"/>
    <w:rsid w:val="00B124A3"/>
    <w:rsid w:val="00B130CC"/>
    <w:rsid w:val="00B13E9A"/>
    <w:rsid w:val="00B154A8"/>
    <w:rsid w:val="00B21EC2"/>
    <w:rsid w:val="00B22006"/>
    <w:rsid w:val="00B2257A"/>
    <w:rsid w:val="00B2376C"/>
    <w:rsid w:val="00B262BB"/>
    <w:rsid w:val="00B2710B"/>
    <w:rsid w:val="00B3092E"/>
    <w:rsid w:val="00B33B4B"/>
    <w:rsid w:val="00B35050"/>
    <w:rsid w:val="00B36BE1"/>
    <w:rsid w:val="00B37259"/>
    <w:rsid w:val="00B40A2A"/>
    <w:rsid w:val="00B40DBA"/>
    <w:rsid w:val="00B40F54"/>
    <w:rsid w:val="00B449A0"/>
    <w:rsid w:val="00B451BF"/>
    <w:rsid w:val="00B4598A"/>
    <w:rsid w:val="00B45CBD"/>
    <w:rsid w:val="00B45D23"/>
    <w:rsid w:val="00B465C8"/>
    <w:rsid w:val="00B46C95"/>
    <w:rsid w:val="00B474C9"/>
    <w:rsid w:val="00B47899"/>
    <w:rsid w:val="00B508AD"/>
    <w:rsid w:val="00B511A1"/>
    <w:rsid w:val="00B519E5"/>
    <w:rsid w:val="00B56395"/>
    <w:rsid w:val="00B57ED4"/>
    <w:rsid w:val="00B61B58"/>
    <w:rsid w:val="00B62176"/>
    <w:rsid w:val="00B62188"/>
    <w:rsid w:val="00B6306B"/>
    <w:rsid w:val="00B63B90"/>
    <w:rsid w:val="00B65AF5"/>
    <w:rsid w:val="00B670C1"/>
    <w:rsid w:val="00B6755B"/>
    <w:rsid w:val="00B716A3"/>
    <w:rsid w:val="00B73A33"/>
    <w:rsid w:val="00B73C94"/>
    <w:rsid w:val="00B73F6B"/>
    <w:rsid w:val="00B77DB5"/>
    <w:rsid w:val="00B815FB"/>
    <w:rsid w:val="00B83E3E"/>
    <w:rsid w:val="00B856D3"/>
    <w:rsid w:val="00B85E71"/>
    <w:rsid w:val="00B923CA"/>
    <w:rsid w:val="00B927C8"/>
    <w:rsid w:val="00B9467F"/>
    <w:rsid w:val="00BA0055"/>
    <w:rsid w:val="00BA217A"/>
    <w:rsid w:val="00BA2931"/>
    <w:rsid w:val="00BA2E13"/>
    <w:rsid w:val="00BA2E93"/>
    <w:rsid w:val="00BA3A68"/>
    <w:rsid w:val="00BA568F"/>
    <w:rsid w:val="00BA6723"/>
    <w:rsid w:val="00BA6EED"/>
    <w:rsid w:val="00BB0557"/>
    <w:rsid w:val="00BB171B"/>
    <w:rsid w:val="00BB3265"/>
    <w:rsid w:val="00BB3D50"/>
    <w:rsid w:val="00BB7411"/>
    <w:rsid w:val="00BC15E4"/>
    <w:rsid w:val="00BC1D14"/>
    <w:rsid w:val="00BC27A5"/>
    <w:rsid w:val="00BC3278"/>
    <w:rsid w:val="00BC36EC"/>
    <w:rsid w:val="00BC38A9"/>
    <w:rsid w:val="00BC451C"/>
    <w:rsid w:val="00BC5E8C"/>
    <w:rsid w:val="00BC6A6B"/>
    <w:rsid w:val="00BC6E58"/>
    <w:rsid w:val="00BC7B90"/>
    <w:rsid w:val="00BD173D"/>
    <w:rsid w:val="00BD17CB"/>
    <w:rsid w:val="00BD1D50"/>
    <w:rsid w:val="00BD26B3"/>
    <w:rsid w:val="00BD5BF8"/>
    <w:rsid w:val="00BD7406"/>
    <w:rsid w:val="00BD75AB"/>
    <w:rsid w:val="00BE27CD"/>
    <w:rsid w:val="00BE29B5"/>
    <w:rsid w:val="00BE2F4D"/>
    <w:rsid w:val="00BE45B2"/>
    <w:rsid w:val="00BE4715"/>
    <w:rsid w:val="00BE484E"/>
    <w:rsid w:val="00BE491B"/>
    <w:rsid w:val="00BE4ACD"/>
    <w:rsid w:val="00BE5279"/>
    <w:rsid w:val="00BE5EA6"/>
    <w:rsid w:val="00BE679B"/>
    <w:rsid w:val="00BE76E3"/>
    <w:rsid w:val="00BE793C"/>
    <w:rsid w:val="00BE7CF2"/>
    <w:rsid w:val="00BF0219"/>
    <w:rsid w:val="00BF0402"/>
    <w:rsid w:val="00BF0C2E"/>
    <w:rsid w:val="00BF314A"/>
    <w:rsid w:val="00BF35FE"/>
    <w:rsid w:val="00BF5D39"/>
    <w:rsid w:val="00BF6818"/>
    <w:rsid w:val="00BF7490"/>
    <w:rsid w:val="00BF7805"/>
    <w:rsid w:val="00BF7809"/>
    <w:rsid w:val="00C00A50"/>
    <w:rsid w:val="00C0235B"/>
    <w:rsid w:val="00C03089"/>
    <w:rsid w:val="00C03090"/>
    <w:rsid w:val="00C04082"/>
    <w:rsid w:val="00C05150"/>
    <w:rsid w:val="00C057A2"/>
    <w:rsid w:val="00C06181"/>
    <w:rsid w:val="00C07004"/>
    <w:rsid w:val="00C111B8"/>
    <w:rsid w:val="00C1305D"/>
    <w:rsid w:val="00C15F7A"/>
    <w:rsid w:val="00C20AC1"/>
    <w:rsid w:val="00C20B02"/>
    <w:rsid w:val="00C20B58"/>
    <w:rsid w:val="00C22D07"/>
    <w:rsid w:val="00C231F4"/>
    <w:rsid w:val="00C23BE5"/>
    <w:rsid w:val="00C2401E"/>
    <w:rsid w:val="00C2494A"/>
    <w:rsid w:val="00C249C7"/>
    <w:rsid w:val="00C25278"/>
    <w:rsid w:val="00C2645E"/>
    <w:rsid w:val="00C2664B"/>
    <w:rsid w:val="00C30392"/>
    <w:rsid w:val="00C308BC"/>
    <w:rsid w:val="00C32119"/>
    <w:rsid w:val="00C32480"/>
    <w:rsid w:val="00C3285D"/>
    <w:rsid w:val="00C32C4D"/>
    <w:rsid w:val="00C32E21"/>
    <w:rsid w:val="00C33F02"/>
    <w:rsid w:val="00C3463A"/>
    <w:rsid w:val="00C3592C"/>
    <w:rsid w:val="00C36C68"/>
    <w:rsid w:val="00C4096B"/>
    <w:rsid w:val="00C41AAB"/>
    <w:rsid w:val="00C41E14"/>
    <w:rsid w:val="00C42721"/>
    <w:rsid w:val="00C432B7"/>
    <w:rsid w:val="00C433BA"/>
    <w:rsid w:val="00C43E52"/>
    <w:rsid w:val="00C45312"/>
    <w:rsid w:val="00C4536C"/>
    <w:rsid w:val="00C50479"/>
    <w:rsid w:val="00C51AEA"/>
    <w:rsid w:val="00C53245"/>
    <w:rsid w:val="00C5492E"/>
    <w:rsid w:val="00C551AD"/>
    <w:rsid w:val="00C5625A"/>
    <w:rsid w:val="00C5702D"/>
    <w:rsid w:val="00C57063"/>
    <w:rsid w:val="00C60B5B"/>
    <w:rsid w:val="00C62CEE"/>
    <w:rsid w:val="00C63896"/>
    <w:rsid w:val="00C6425D"/>
    <w:rsid w:val="00C65122"/>
    <w:rsid w:val="00C673C2"/>
    <w:rsid w:val="00C721EC"/>
    <w:rsid w:val="00C734E1"/>
    <w:rsid w:val="00C75348"/>
    <w:rsid w:val="00C754CE"/>
    <w:rsid w:val="00C765F9"/>
    <w:rsid w:val="00C777B8"/>
    <w:rsid w:val="00C800E0"/>
    <w:rsid w:val="00C80926"/>
    <w:rsid w:val="00C80BDB"/>
    <w:rsid w:val="00C820D1"/>
    <w:rsid w:val="00C83141"/>
    <w:rsid w:val="00C856AE"/>
    <w:rsid w:val="00C8705D"/>
    <w:rsid w:val="00C87AC7"/>
    <w:rsid w:val="00C91B38"/>
    <w:rsid w:val="00C92DEB"/>
    <w:rsid w:val="00C92EA7"/>
    <w:rsid w:val="00C93D99"/>
    <w:rsid w:val="00C95C07"/>
    <w:rsid w:val="00C96363"/>
    <w:rsid w:val="00C971E2"/>
    <w:rsid w:val="00C97C01"/>
    <w:rsid w:val="00CA0C0E"/>
    <w:rsid w:val="00CA1FE0"/>
    <w:rsid w:val="00CA5047"/>
    <w:rsid w:val="00CA5F14"/>
    <w:rsid w:val="00CA6979"/>
    <w:rsid w:val="00CA6E8D"/>
    <w:rsid w:val="00CA7445"/>
    <w:rsid w:val="00CA7A9D"/>
    <w:rsid w:val="00CA7BA7"/>
    <w:rsid w:val="00CB1C76"/>
    <w:rsid w:val="00CB1CA1"/>
    <w:rsid w:val="00CB218C"/>
    <w:rsid w:val="00CB2285"/>
    <w:rsid w:val="00CB5175"/>
    <w:rsid w:val="00CB648F"/>
    <w:rsid w:val="00CB68DF"/>
    <w:rsid w:val="00CB6C5B"/>
    <w:rsid w:val="00CC12F3"/>
    <w:rsid w:val="00CC1FBE"/>
    <w:rsid w:val="00CC3300"/>
    <w:rsid w:val="00CC7B89"/>
    <w:rsid w:val="00CC7F5A"/>
    <w:rsid w:val="00CD679E"/>
    <w:rsid w:val="00CE2219"/>
    <w:rsid w:val="00CE26A6"/>
    <w:rsid w:val="00CE330D"/>
    <w:rsid w:val="00CE3DCB"/>
    <w:rsid w:val="00CE3EF3"/>
    <w:rsid w:val="00CE5A77"/>
    <w:rsid w:val="00CE6180"/>
    <w:rsid w:val="00CE6C85"/>
    <w:rsid w:val="00CE76AF"/>
    <w:rsid w:val="00CF0AAF"/>
    <w:rsid w:val="00CF2B06"/>
    <w:rsid w:val="00CF60E9"/>
    <w:rsid w:val="00CF7532"/>
    <w:rsid w:val="00CF7BB2"/>
    <w:rsid w:val="00D006D0"/>
    <w:rsid w:val="00D00E8B"/>
    <w:rsid w:val="00D0173C"/>
    <w:rsid w:val="00D01EC7"/>
    <w:rsid w:val="00D0257C"/>
    <w:rsid w:val="00D02E39"/>
    <w:rsid w:val="00D05166"/>
    <w:rsid w:val="00D06B93"/>
    <w:rsid w:val="00D07987"/>
    <w:rsid w:val="00D07EA0"/>
    <w:rsid w:val="00D12CF7"/>
    <w:rsid w:val="00D13164"/>
    <w:rsid w:val="00D145A5"/>
    <w:rsid w:val="00D146AB"/>
    <w:rsid w:val="00D15009"/>
    <w:rsid w:val="00D15A8D"/>
    <w:rsid w:val="00D20B50"/>
    <w:rsid w:val="00D20B98"/>
    <w:rsid w:val="00D21068"/>
    <w:rsid w:val="00D22520"/>
    <w:rsid w:val="00D2292B"/>
    <w:rsid w:val="00D22ABC"/>
    <w:rsid w:val="00D2363F"/>
    <w:rsid w:val="00D24731"/>
    <w:rsid w:val="00D24C33"/>
    <w:rsid w:val="00D26B55"/>
    <w:rsid w:val="00D30696"/>
    <w:rsid w:val="00D30B6E"/>
    <w:rsid w:val="00D30CF2"/>
    <w:rsid w:val="00D31F50"/>
    <w:rsid w:val="00D3310D"/>
    <w:rsid w:val="00D3399F"/>
    <w:rsid w:val="00D34321"/>
    <w:rsid w:val="00D35556"/>
    <w:rsid w:val="00D35D30"/>
    <w:rsid w:val="00D36A84"/>
    <w:rsid w:val="00D36C44"/>
    <w:rsid w:val="00D36DF0"/>
    <w:rsid w:val="00D37582"/>
    <w:rsid w:val="00D418E1"/>
    <w:rsid w:val="00D419A2"/>
    <w:rsid w:val="00D42A07"/>
    <w:rsid w:val="00D432D1"/>
    <w:rsid w:val="00D437AF"/>
    <w:rsid w:val="00D47895"/>
    <w:rsid w:val="00D5411C"/>
    <w:rsid w:val="00D5532D"/>
    <w:rsid w:val="00D55CFD"/>
    <w:rsid w:val="00D5628C"/>
    <w:rsid w:val="00D56F5B"/>
    <w:rsid w:val="00D5791E"/>
    <w:rsid w:val="00D60AD8"/>
    <w:rsid w:val="00D60D09"/>
    <w:rsid w:val="00D61B2A"/>
    <w:rsid w:val="00D61FC8"/>
    <w:rsid w:val="00D64CC8"/>
    <w:rsid w:val="00D6624E"/>
    <w:rsid w:val="00D66974"/>
    <w:rsid w:val="00D67664"/>
    <w:rsid w:val="00D67E65"/>
    <w:rsid w:val="00D700BF"/>
    <w:rsid w:val="00D70B46"/>
    <w:rsid w:val="00D72990"/>
    <w:rsid w:val="00D731A7"/>
    <w:rsid w:val="00D733B1"/>
    <w:rsid w:val="00D745A2"/>
    <w:rsid w:val="00D74B69"/>
    <w:rsid w:val="00D77BBF"/>
    <w:rsid w:val="00D808E1"/>
    <w:rsid w:val="00D809A3"/>
    <w:rsid w:val="00D827F5"/>
    <w:rsid w:val="00D83D51"/>
    <w:rsid w:val="00D83F60"/>
    <w:rsid w:val="00D84113"/>
    <w:rsid w:val="00D84AB1"/>
    <w:rsid w:val="00D84F48"/>
    <w:rsid w:val="00D86203"/>
    <w:rsid w:val="00D8622A"/>
    <w:rsid w:val="00D877DF"/>
    <w:rsid w:val="00D87B01"/>
    <w:rsid w:val="00D9197A"/>
    <w:rsid w:val="00D92643"/>
    <w:rsid w:val="00D92B5B"/>
    <w:rsid w:val="00D92F41"/>
    <w:rsid w:val="00D93627"/>
    <w:rsid w:val="00D93CEB"/>
    <w:rsid w:val="00DA0598"/>
    <w:rsid w:val="00DA08F7"/>
    <w:rsid w:val="00DA25EF"/>
    <w:rsid w:val="00DA3F4C"/>
    <w:rsid w:val="00DA5127"/>
    <w:rsid w:val="00DA5C16"/>
    <w:rsid w:val="00DA5E14"/>
    <w:rsid w:val="00DB14AF"/>
    <w:rsid w:val="00DB1BBC"/>
    <w:rsid w:val="00DB252E"/>
    <w:rsid w:val="00DB2D60"/>
    <w:rsid w:val="00DB4376"/>
    <w:rsid w:val="00DB4D82"/>
    <w:rsid w:val="00DB69E1"/>
    <w:rsid w:val="00DB7110"/>
    <w:rsid w:val="00DB7BCD"/>
    <w:rsid w:val="00DC07C9"/>
    <w:rsid w:val="00DC0972"/>
    <w:rsid w:val="00DC0ACD"/>
    <w:rsid w:val="00DC1999"/>
    <w:rsid w:val="00DC2D14"/>
    <w:rsid w:val="00DC2EF7"/>
    <w:rsid w:val="00DC3F1C"/>
    <w:rsid w:val="00DC5914"/>
    <w:rsid w:val="00DC5C1E"/>
    <w:rsid w:val="00DC69AF"/>
    <w:rsid w:val="00DC7309"/>
    <w:rsid w:val="00DD0333"/>
    <w:rsid w:val="00DD3E9B"/>
    <w:rsid w:val="00DD47AE"/>
    <w:rsid w:val="00DD5724"/>
    <w:rsid w:val="00DD5A66"/>
    <w:rsid w:val="00DD602B"/>
    <w:rsid w:val="00DD7758"/>
    <w:rsid w:val="00DE05AC"/>
    <w:rsid w:val="00DE1660"/>
    <w:rsid w:val="00DE1CFB"/>
    <w:rsid w:val="00DE31D5"/>
    <w:rsid w:val="00DE378C"/>
    <w:rsid w:val="00DE3BDB"/>
    <w:rsid w:val="00DE52DA"/>
    <w:rsid w:val="00DE569C"/>
    <w:rsid w:val="00DE5C18"/>
    <w:rsid w:val="00DE6EFF"/>
    <w:rsid w:val="00DE77E1"/>
    <w:rsid w:val="00DF0DAF"/>
    <w:rsid w:val="00DF0F1A"/>
    <w:rsid w:val="00DF10C8"/>
    <w:rsid w:val="00DF3AA9"/>
    <w:rsid w:val="00DF3EDF"/>
    <w:rsid w:val="00DF467B"/>
    <w:rsid w:val="00DF6D99"/>
    <w:rsid w:val="00DF7C45"/>
    <w:rsid w:val="00E0041C"/>
    <w:rsid w:val="00E01DB8"/>
    <w:rsid w:val="00E02E25"/>
    <w:rsid w:val="00E03F80"/>
    <w:rsid w:val="00E06435"/>
    <w:rsid w:val="00E067D2"/>
    <w:rsid w:val="00E06861"/>
    <w:rsid w:val="00E06F9E"/>
    <w:rsid w:val="00E074C2"/>
    <w:rsid w:val="00E10106"/>
    <w:rsid w:val="00E10901"/>
    <w:rsid w:val="00E11EE0"/>
    <w:rsid w:val="00E12D7E"/>
    <w:rsid w:val="00E1427A"/>
    <w:rsid w:val="00E14C94"/>
    <w:rsid w:val="00E162FA"/>
    <w:rsid w:val="00E165BA"/>
    <w:rsid w:val="00E16BA8"/>
    <w:rsid w:val="00E170BA"/>
    <w:rsid w:val="00E17D60"/>
    <w:rsid w:val="00E20184"/>
    <w:rsid w:val="00E20B18"/>
    <w:rsid w:val="00E21A9C"/>
    <w:rsid w:val="00E21C9B"/>
    <w:rsid w:val="00E2245C"/>
    <w:rsid w:val="00E22CB4"/>
    <w:rsid w:val="00E23236"/>
    <w:rsid w:val="00E23860"/>
    <w:rsid w:val="00E24CAE"/>
    <w:rsid w:val="00E312E1"/>
    <w:rsid w:val="00E31663"/>
    <w:rsid w:val="00E31A63"/>
    <w:rsid w:val="00E33086"/>
    <w:rsid w:val="00E332AA"/>
    <w:rsid w:val="00E33E66"/>
    <w:rsid w:val="00E3431D"/>
    <w:rsid w:val="00E34835"/>
    <w:rsid w:val="00E362C1"/>
    <w:rsid w:val="00E363E8"/>
    <w:rsid w:val="00E40044"/>
    <w:rsid w:val="00E41A01"/>
    <w:rsid w:val="00E41EB2"/>
    <w:rsid w:val="00E43EA7"/>
    <w:rsid w:val="00E4447A"/>
    <w:rsid w:val="00E44B14"/>
    <w:rsid w:val="00E44DDE"/>
    <w:rsid w:val="00E45B6A"/>
    <w:rsid w:val="00E45D48"/>
    <w:rsid w:val="00E45ED7"/>
    <w:rsid w:val="00E460EB"/>
    <w:rsid w:val="00E470F0"/>
    <w:rsid w:val="00E478C8"/>
    <w:rsid w:val="00E501A2"/>
    <w:rsid w:val="00E55C60"/>
    <w:rsid w:val="00E56B1E"/>
    <w:rsid w:val="00E60B9C"/>
    <w:rsid w:val="00E6203C"/>
    <w:rsid w:val="00E62113"/>
    <w:rsid w:val="00E63008"/>
    <w:rsid w:val="00E63BCC"/>
    <w:rsid w:val="00E65323"/>
    <w:rsid w:val="00E659D9"/>
    <w:rsid w:val="00E66746"/>
    <w:rsid w:val="00E66F65"/>
    <w:rsid w:val="00E70F2D"/>
    <w:rsid w:val="00E736A4"/>
    <w:rsid w:val="00E73AC7"/>
    <w:rsid w:val="00E73B96"/>
    <w:rsid w:val="00E7420F"/>
    <w:rsid w:val="00E74560"/>
    <w:rsid w:val="00E759F4"/>
    <w:rsid w:val="00E776BA"/>
    <w:rsid w:val="00E8198D"/>
    <w:rsid w:val="00E82116"/>
    <w:rsid w:val="00E82179"/>
    <w:rsid w:val="00E83344"/>
    <w:rsid w:val="00E8392D"/>
    <w:rsid w:val="00E85297"/>
    <w:rsid w:val="00E863C5"/>
    <w:rsid w:val="00E8687F"/>
    <w:rsid w:val="00E870DC"/>
    <w:rsid w:val="00E90D1D"/>
    <w:rsid w:val="00E91839"/>
    <w:rsid w:val="00E91F5B"/>
    <w:rsid w:val="00E92F60"/>
    <w:rsid w:val="00E9341D"/>
    <w:rsid w:val="00E939A2"/>
    <w:rsid w:val="00E93B80"/>
    <w:rsid w:val="00E95BED"/>
    <w:rsid w:val="00E97167"/>
    <w:rsid w:val="00E97271"/>
    <w:rsid w:val="00E9792B"/>
    <w:rsid w:val="00E97AA0"/>
    <w:rsid w:val="00EA0C01"/>
    <w:rsid w:val="00EA289D"/>
    <w:rsid w:val="00EA2D35"/>
    <w:rsid w:val="00EA44F4"/>
    <w:rsid w:val="00EA45C7"/>
    <w:rsid w:val="00EA5124"/>
    <w:rsid w:val="00EA5A8E"/>
    <w:rsid w:val="00EA6BFA"/>
    <w:rsid w:val="00EA7118"/>
    <w:rsid w:val="00EA76FD"/>
    <w:rsid w:val="00EB03B9"/>
    <w:rsid w:val="00EB0E48"/>
    <w:rsid w:val="00EB0FAB"/>
    <w:rsid w:val="00EB20BB"/>
    <w:rsid w:val="00EB5196"/>
    <w:rsid w:val="00EB55F8"/>
    <w:rsid w:val="00EB6ED8"/>
    <w:rsid w:val="00EB6FFF"/>
    <w:rsid w:val="00EC060C"/>
    <w:rsid w:val="00EC2AA0"/>
    <w:rsid w:val="00EC473D"/>
    <w:rsid w:val="00EC4C91"/>
    <w:rsid w:val="00EC4C9D"/>
    <w:rsid w:val="00EC4CA9"/>
    <w:rsid w:val="00EC7669"/>
    <w:rsid w:val="00ED0096"/>
    <w:rsid w:val="00ED0AED"/>
    <w:rsid w:val="00ED0DA8"/>
    <w:rsid w:val="00ED216E"/>
    <w:rsid w:val="00ED4859"/>
    <w:rsid w:val="00ED7131"/>
    <w:rsid w:val="00ED76B9"/>
    <w:rsid w:val="00EE0EB7"/>
    <w:rsid w:val="00EE1A36"/>
    <w:rsid w:val="00EE2A8B"/>
    <w:rsid w:val="00EE3098"/>
    <w:rsid w:val="00EE3B0C"/>
    <w:rsid w:val="00EE3CF1"/>
    <w:rsid w:val="00EE7199"/>
    <w:rsid w:val="00EE748A"/>
    <w:rsid w:val="00EF053A"/>
    <w:rsid w:val="00EF09FA"/>
    <w:rsid w:val="00EF1A4C"/>
    <w:rsid w:val="00EF485C"/>
    <w:rsid w:val="00EF515A"/>
    <w:rsid w:val="00EF5545"/>
    <w:rsid w:val="00EF7194"/>
    <w:rsid w:val="00F002D7"/>
    <w:rsid w:val="00F00D8B"/>
    <w:rsid w:val="00F01284"/>
    <w:rsid w:val="00F04C82"/>
    <w:rsid w:val="00F05055"/>
    <w:rsid w:val="00F06621"/>
    <w:rsid w:val="00F102BB"/>
    <w:rsid w:val="00F1200D"/>
    <w:rsid w:val="00F125BC"/>
    <w:rsid w:val="00F130D4"/>
    <w:rsid w:val="00F13690"/>
    <w:rsid w:val="00F140E1"/>
    <w:rsid w:val="00F14AA5"/>
    <w:rsid w:val="00F14C53"/>
    <w:rsid w:val="00F14EC0"/>
    <w:rsid w:val="00F15CBD"/>
    <w:rsid w:val="00F16210"/>
    <w:rsid w:val="00F16E84"/>
    <w:rsid w:val="00F17996"/>
    <w:rsid w:val="00F2119D"/>
    <w:rsid w:val="00F21CAA"/>
    <w:rsid w:val="00F22B6C"/>
    <w:rsid w:val="00F238AC"/>
    <w:rsid w:val="00F23A34"/>
    <w:rsid w:val="00F24750"/>
    <w:rsid w:val="00F25DB9"/>
    <w:rsid w:val="00F2698E"/>
    <w:rsid w:val="00F30546"/>
    <w:rsid w:val="00F31207"/>
    <w:rsid w:val="00F31720"/>
    <w:rsid w:val="00F333F3"/>
    <w:rsid w:val="00F34083"/>
    <w:rsid w:val="00F348D8"/>
    <w:rsid w:val="00F35520"/>
    <w:rsid w:val="00F361B4"/>
    <w:rsid w:val="00F37436"/>
    <w:rsid w:val="00F41696"/>
    <w:rsid w:val="00F432D2"/>
    <w:rsid w:val="00F448DA"/>
    <w:rsid w:val="00F44F86"/>
    <w:rsid w:val="00F46A89"/>
    <w:rsid w:val="00F47DA9"/>
    <w:rsid w:val="00F5293D"/>
    <w:rsid w:val="00F56C67"/>
    <w:rsid w:val="00F56E98"/>
    <w:rsid w:val="00F61041"/>
    <w:rsid w:val="00F613EA"/>
    <w:rsid w:val="00F61E1B"/>
    <w:rsid w:val="00F62951"/>
    <w:rsid w:val="00F631D6"/>
    <w:rsid w:val="00F66CE6"/>
    <w:rsid w:val="00F720F6"/>
    <w:rsid w:val="00F74263"/>
    <w:rsid w:val="00F75367"/>
    <w:rsid w:val="00F75E05"/>
    <w:rsid w:val="00F77B10"/>
    <w:rsid w:val="00F8062D"/>
    <w:rsid w:val="00F81AED"/>
    <w:rsid w:val="00F83497"/>
    <w:rsid w:val="00F86173"/>
    <w:rsid w:val="00F866CC"/>
    <w:rsid w:val="00F90E93"/>
    <w:rsid w:val="00F917BC"/>
    <w:rsid w:val="00F9241B"/>
    <w:rsid w:val="00F92EA3"/>
    <w:rsid w:val="00F94044"/>
    <w:rsid w:val="00F95675"/>
    <w:rsid w:val="00FA19A4"/>
    <w:rsid w:val="00FA1A65"/>
    <w:rsid w:val="00FA30C6"/>
    <w:rsid w:val="00FA5FDC"/>
    <w:rsid w:val="00FA6BC6"/>
    <w:rsid w:val="00FA796B"/>
    <w:rsid w:val="00FA799C"/>
    <w:rsid w:val="00FB1037"/>
    <w:rsid w:val="00FB437B"/>
    <w:rsid w:val="00FB4512"/>
    <w:rsid w:val="00FB526C"/>
    <w:rsid w:val="00FB5481"/>
    <w:rsid w:val="00FB5E1F"/>
    <w:rsid w:val="00FB5F4D"/>
    <w:rsid w:val="00FB6A5F"/>
    <w:rsid w:val="00FB75CC"/>
    <w:rsid w:val="00FC08C9"/>
    <w:rsid w:val="00FC1451"/>
    <w:rsid w:val="00FC1F9A"/>
    <w:rsid w:val="00FC2929"/>
    <w:rsid w:val="00FC3F37"/>
    <w:rsid w:val="00FC7684"/>
    <w:rsid w:val="00FD0345"/>
    <w:rsid w:val="00FD05B8"/>
    <w:rsid w:val="00FD20A8"/>
    <w:rsid w:val="00FD24AE"/>
    <w:rsid w:val="00FD3296"/>
    <w:rsid w:val="00FD3359"/>
    <w:rsid w:val="00FD55BF"/>
    <w:rsid w:val="00FD5CC8"/>
    <w:rsid w:val="00FD62CA"/>
    <w:rsid w:val="00FD6CD4"/>
    <w:rsid w:val="00FD7CB9"/>
    <w:rsid w:val="00FE1273"/>
    <w:rsid w:val="00FE59FF"/>
    <w:rsid w:val="00FE6370"/>
    <w:rsid w:val="00FE6DF8"/>
    <w:rsid w:val="00FF064D"/>
    <w:rsid w:val="00FF0997"/>
    <w:rsid w:val="00FF1090"/>
    <w:rsid w:val="00FF11C8"/>
    <w:rsid w:val="00FF21CC"/>
    <w:rsid w:val="00FF244F"/>
    <w:rsid w:val="00FF2AD9"/>
    <w:rsid w:val="00FF54E6"/>
    <w:rsid w:val="00FF69BD"/>
    <w:rsid w:val="00FF7466"/>
    <w:rsid w:val="00FF761A"/>
    <w:rsid w:val="00FF7794"/>
    <w:rsid w:val="00FF7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12BE3"/>
  <w15:chartTrackingRefBased/>
  <w15:docId w15:val="{48881625-CB91-4784-9222-056759575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B5B"/>
    <w:pPr>
      <w:spacing w:after="0" w:line="480" w:lineRule="auto"/>
      <w:ind w:firstLine="720"/>
      <w:jc w:val="both"/>
    </w:pPr>
    <w:rPr>
      <w:sz w:val="24"/>
    </w:rPr>
  </w:style>
  <w:style w:type="paragraph" w:styleId="Heading1">
    <w:name w:val="heading 1"/>
    <w:basedOn w:val="Normal"/>
    <w:next w:val="Normal"/>
    <w:link w:val="Heading1Char"/>
    <w:uiPriority w:val="9"/>
    <w:qFormat/>
    <w:rsid w:val="0041022F"/>
    <w:pPr>
      <w:keepNext/>
      <w:keepLines/>
      <w:spacing w:before="360" w:after="80"/>
      <w:ind w:firstLine="0"/>
      <w:outlineLvl w:val="0"/>
    </w:pPr>
    <w:rPr>
      <w:rFonts w:asciiTheme="majorHAnsi" w:eastAsiaTheme="majorEastAsia" w:hAnsiTheme="majorHAnsi" w:cstheme="majorBidi"/>
      <w:b/>
      <w:sz w:val="36"/>
      <w:szCs w:val="40"/>
    </w:rPr>
  </w:style>
  <w:style w:type="paragraph" w:styleId="Heading2">
    <w:name w:val="heading 2"/>
    <w:basedOn w:val="Normal"/>
    <w:next w:val="Normal"/>
    <w:link w:val="Heading2Char"/>
    <w:uiPriority w:val="9"/>
    <w:unhideWhenUsed/>
    <w:qFormat/>
    <w:rsid w:val="0041022F"/>
    <w:pPr>
      <w:keepNext/>
      <w:keepLines/>
      <w:spacing w:before="160" w:after="80"/>
      <w:ind w:firstLine="0"/>
      <w:outlineLvl w:val="1"/>
    </w:pPr>
    <w:rPr>
      <w:rFonts w:asciiTheme="majorHAnsi" w:eastAsiaTheme="majorEastAsia" w:hAnsiTheme="majorHAnsi" w:cstheme="majorBidi"/>
      <w:b/>
      <w:sz w:val="32"/>
      <w:szCs w:val="32"/>
    </w:rPr>
  </w:style>
  <w:style w:type="paragraph" w:styleId="Heading3">
    <w:name w:val="heading 3"/>
    <w:basedOn w:val="Normal"/>
    <w:next w:val="Normal"/>
    <w:link w:val="Heading3Char"/>
    <w:uiPriority w:val="9"/>
    <w:unhideWhenUsed/>
    <w:qFormat/>
    <w:rsid w:val="0041022F"/>
    <w:pPr>
      <w:keepNext/>
      <w:keepLines/>
      <w:spacing w:before="160" w:after="80"/>
      <w:ind w:firstLine="0"/>
      <w:outlineLvl w:val="2"/>
    </w:pPr>
    <w:rPr>
      <w:rFonts w:eastAsiaTheme="majorEastAsia" w:cstheme="majorBidi"/>
      <w:i/>
      <w:sz w:val="28"/>
      <w:szCs w:val="28"/>
    </w:rPr>
  </w:style>
  <w:style w:type="paragraph" w:styleId="Heading4">
    <w:name w:val="heading 4"/>
    <w:basedOn w:val="Normal"/>
    <w:next w:val="Normal"/>
    <w:link w:val="Heading4Char"/>
    <w:uiPriority w:val="9"/>
    <w:semiHidden/>
    <w:unhideWhenUsed/>
    <w:rsid w:val="004367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67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67F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67F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67F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67F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022F"/>
    <w:rPr>
      <w:rFonts w:asciiTheme="majorHAnsi" w:eastAsiaTheme="majorEastAsia" w:hAnsiTheme="majorHAnsi" w:cstheme="majorBidi"/>
      <w:b/>
      <w:sz w:val="36"/>
      <w:szCs w:val="40"/>
    </w:rPr>
  </w:style>
  <w:style w:type="character" w:customStyle="1" w:styleId="Heading2Char">
    <w:name w:val="Heading 2 Char"/>
    <w:basedOn w:val="DefaultParagraphFont"/>
    <w:link w:val="Heading2"/>
    <w:uiPriority w:val="9"/>
    <w:rsid w:val="0041022F"/>
    <w:rPr>
      <w:rFonts w:asciiTheme="majorHAnsi" w:eastAsiaTheme="majorEastAsia" w:hAnsiTheme="majorHAnsi" w:cstheme="majorBidi"/>
      <w:b/>
      <w:sz w:val="32"/>
      <w:szCs w:val="32"/>
    </w:rPr>
  </w:style>
  <w:style w:type="character" w:customStyle="1" w:styleId="Heading3Char">
    <w:name w:val="Heading 3 Char"/>
    <w:basedOn w:val="DefaultParagraphFont"/>
    <w:link w:val="Heading3"/>
    <w:uiPriority w:val="9"/>
    <w:rsid w:val="0041022F"/>
    <w:rPr>
      <w:rFonts w:eastAsiaTheme="majorEastAsia" w:cstheme="majorBidi"/>
      <w:i/>
      <w:sz w:val="28"/>
      <w:szCs w:val="28"/>
    </w:rPr>
  </w:style>
  <w:style w:type="character" w:customStyle="1" w:styleId="Heading4Char">
    <w:name w:val="Heading 4 Char"/>
    <w:basedOn w:val="DefaultParagraphFont"/>
    <w:link w:val="Heading4"/>
    <w:uiPriority w:val="9"/>
    <w:semiHidden/>
    <w:rsid w:val="004367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67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67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67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67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67F2"/>
    <w:rPr>
      <w:rFonts w:eastAsiaTheme="majorEastAsia" w:cstheme="majorBidi"/>
      <w:color w:val="272727" w:themeColor="text1" w:themeTint="D8"/>
    </w:rPr>
  </w:style>
  <w:style w:type="paragraph" w:styleId="Title">
    <w:name w:val="Title"/>
    <w:basedOn w:val="Normal"/>
    <w:next w:val="Normal"/>
    <w:link w:val="TitleChar"/>
    <w:uiPriority w:val="10"/>
    <w:qFormat/>
    <w:rsid w:val="004367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67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67F2"/>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67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67F2"/>
    <w:pPr>
      <w:spacing w:before="160"/>
      <w:jc w:val="center"/>
    </w:pPr>
    <w:rPr>
      <w:i/>
      <w:iCs/>
      <w:color w:val="404040" w:themeColor="text1" w:themeTint="BF"/>
    </w:rPr>
  </w:style>
  <w:style w:type="character" w:customStyle="1" w:styleId="QuoteChar">
    <w:name w:val="Quote Char"/>
    <w:basedOn w:val="DefaultParagraphFont"/>
    <w:link w:val="Quote"/>
    <w:uiPriority w:val="29"/>
    <w:rsid w:val="004367F2"/>
    <w:rPr>
      <w:i/>
      <w:iCs/>
      <w:color w:val="404040" w:themeColor="text1" w:themeTint="BF"/>
    </w:rPr>
  </w:style>
  <w:style w:type="paragraph" w:styleId="ListParagraph">
    <w:name w:val="List Paragraph"/>
    <w:basedOn w:val="Normal"/>
    <w:uiPriority w:val="34"/>
    <w:qFormat/>
    <w:rsid w:val="004367F2"/>
    <w:pPr>
      <w:ind w:left="720"/>
      <w:contextualSpacing/>
    </w:pPr>
  </w:style>
  <w:style w:type="character" w:styleId="IntenseEmphasis">
    <w:name w:val="Intense Emphasis"/>
    <w:basedOn w:val="DefaultParagraphFont"/>
    <w:uiPriority w:val="21"/>
    <w:qFormat/>
    <w:rsid w:val="004367F2"/>
    <w:rPr>
      <w:i/>
      <w:iCs/>
      <w:color w:val="0F4761" w:themeColor="accent1" w:themeShade="BF"/>
    </w:rPr>
  </w:style>
  <w:style w:type="paragraph" w:styleId="IntenseQuote">
    <w:name w:val="Intense Quote"/>
    <w:basedOn w:val="Normal"/>
    <w:next w:val="Normal"/>
    <w:link w:val="IntenseQuoteChar"/>
    <w:uiPriority w:val="30"/>
    <w:qFormat/>
    <w:rsid w:val="004367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67F2"/>
    <w:rPr>
      <w:i/>
      <w:iCs/>
      <w:color w:val="0F4761" w:themeColor="accent1" w:themeShade="BF"/>
    </w:rPr>
  </w:style>
  <w:style w:type="character" w:styleId="IntenseReference">
    <w:name w:val="Intense Reference"/>
    <w:basedOn w:val="DefaultParagraphFont"/>
    <w:uiPriority w:val="32"/>
    <w:qFormat/>
    <w:rsid w:val="004367F2"/>
    <w:rPr>
      <w:b/>
      <w:bCs/>
      <w:smallCaps/>
      <w:color w:val="0F4761" w:themeColor="accent1" w:themeShade="BF"/>
      <w:spacing w:val="5"/>
    </w:rPr>
  </w:style>
  <w:style w:type="paragraph" w:styleId="Header">
    <w:name w:val="header"/>
    <w:basedOn w:val="Normal"/>
    <w:link w:val="HeaderChar"/>
    <w:uiPriority w:val="99"/>
    <w:unhideWhenUsed/>
    <w:rsid w:val="00FC1F9A"/>
    <w:pPr>
      <w:tabs>
        <w:tab w:val="center" w:pos="4680"/>
        <w:tab w:val="right" w:pos="9360"/>
      </w:tabs>
      <w:spacing w:line="240" w:lineRule="auto"/>
    </w:pPr>
  </w:style>
  <w:style w:type="character" w:customStyle="1" w:styleId="HeaderChar">
    <w:name w:val="Header Char"/>
    <w:basedOn w:val="DefaultParagraphFont"/>
    <w:link w:val="Header"/>
    <w:uiPriority w:val="99"/>
    <w:rsid w:val="00FC1F9A"/>
  </w:style>
  <w:style w:type="paragraph" w:styleId="Footer">
    <w:name w:val="footer"/>
    <w:basedOn w:val="Normal"/>
    <w:link w:val="FooterChar"/>
    <w:uiPriority w:val="99"/>
    <w:unhideWhenUsed/>
    <w:rsid w:val="00FC1F9A"/>
    <w:pPr>
      <w:tabs>
        <w:tab w:val="center" w:pos="4680"/>
        <w:tab w:val="right" w:pos="9360"/>
      </w:tabs>
      <w:spacing w:line="240" w:lineRule="auto"/>
    </w:pPr>
  </w:style>
  <w:style w:type="character" w:customStyle="1" w:styleId="FooterChar">
    <w:name w:val="Footer Char"/>
    <w:basedOn w:val="DefaultParagraphFont"/>
    <w:link w:val="Footer"/>
    <w:uiPriority w:val="99"/>
    <w:rsid w:val="00FC1F9A"/>
  </w:style>
  <w:style w:type="paragraph" w:styleId="Caption">
    <w:name w:val="caption"/>
    <w:basedOn w:val="Normal"/>
    <w:next w:val="Normal"/>
    <w:uiPriority w:val="35"/>
    <w:unhideWhenUsed/>
    <w:qFormat/>
    <w:rsid w:val="00AD1EC4"/>
    <w:pPr>
      <w:spacing w:after="200" w:line="240" w:lineRule="auto"/>
      <w:jc w:val="center"/>
    </w:pPr>
    <w:rPr>
      <w:iCs/>
      <w:szCs w:val="18"/>
    </w:rPr>
  </w:style>
  <w:style w:type="character" w:styleId="PlaceholderText">
    <w:name w:val="Placeholder Text"/>
    <w:basedOn w:val="DefaultParagraphFont"/>
    <w:uiPriority w:val="99"/>
    <w:semiHidden/>
    <w:rsid w:val="00724686"/>
    <w:rPr>
      <w:color w:val="666666"/>
    </w:rPr>
  </w:style>
  <w:style w:type="paragraph" w:styleId="FootnoteText">
    <w:name w:val="footnote text"/>
    <w:basedOn w:val="Normal"/>
    <w:link w:val="FootnoteTextChar"/>
    <w:uiPriority w:val="99"/>
    <w:semiHidden/>
    <w:unhideWhenUsed/>
    <w:rsid w:val="002C650E"/>
    <w:pPr>
      <w:spacing w:line="240" w:lineRule="auto"/>
    </w:pPr>
    <w:rPr>
      <w:sz w:val="20"/>
      <w:szCs w:val="20"/>
    </w:rPr>
  </w:style>
  <w:style w:type="character" w:customStyle="1" w:styleId="FootnoteTextChar">
    <w:name w:val="Footnote Text Char"/>
    <w:basedOn w:val="DefaultParagraphFont"/>
    <w:link w:val="FootnoteText"/>
    <w:uiPriority w:val="99"/>
    <w:semiHidden/>
    <w:rsid w:val="002C650E"/>
    <w:rPr>
      <w:sz w:val="20"/>
      <w:szCs w:val="20"/>
    </w:rPr>
  </w:style>
  <w:style w:type="character" w:styleId="FootnoteReference">
    <w:name w:val="footnote reference"/>
    <w:basedOn w:val="DefaultParagraphFont"/>
    <w:uiPriority w:val="99"/>
    <w:semiHidden/>
    <w:unhideWhenUsed/>
    <w:rsid w:val="002C650E"/>
    <w:rPr>
      <w:vertAlign w:val="superscript"/>
    </w:rPr>
  </w:style>
  <w:style w:type="character" w:styleId="Hyperlink">
    <w:name w:val="Hyperlink"/>
    <w:basedOn w:val="DefaultParagraphFont"/>
    <w:uiPriority w:val="99"/>
    <w:unhideWhenUsed/>
    <w:rsid w:val="002C650E"/>
    <w:rPr>
      <w:color w:val="467886" w:themeColor="hyperlink"/>
      <w:u w:val="single"/>
    </w:rPr>
  </w:style>
  <w:style w:type="character" w:styleId="UnresolvedMention">
    <w:name w:val="Unresolved Mention"/>
    <w:basedOn w:val="DefaultParagraphFont"/>
    <w:uiPriority w:val="99"/>
    <w:semiHidden/>
    <w:unhideWhenUsed/>
    <w:rsid w:val="002C650E"/>
    <w:rPr>
      <w:color w:val="605E5C"/>
      <w:shd w:val="clear" w:color="auto" w:fill="E1DFDD"/>
    </w:rPr>
  </w:style>
  <w:style w:type="table" w:styleId="TableGrid">
    <w:name w:val="Table Grid"/>
    <w:basedOn w:val="TableNormal"/>
    <w:uiPriority w:val="39"/>
    <w:rsid w:val="00A7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154A8"/>
    <w:rPr>
      <w:sz w:val="16"/>
      <w:szCs w:val="16"/>
    </w:rPr>
  </w:style>
  <w:style w:type="paragraph" w:styleId="CommentText">
    <w:name w:val="annotation text"/>
    <w:basedOn w:val="Normal"/>
    <w:link w:val="CommentTextChar"/>
    <w:uiPriority w:val="99"/>
    <w:unhideWhenUsed/>
    <w:rsid w:val="00B154A8"/>
    <w:pPr>
      <w:spacing w:line="240" w:lineRule="auto"/>
    </w:pPr>
    <w:rPr>
      <w:sz w:val="20"/>
      <w:szCs w:val="20"/>
    </w:rPr>
  </w:style>
  <w:style w:type="character" w:customStyle="1" w:styleId="CommentTextChar">
    <w:name w:val="Comment Text Char"/>
    <w:basedOn w:val="DefaultParagraphFont"/>
    <w:link w:val="CommentText"/>
    <w:uiPriority w:val="99"/>
    <w:rsid w:val="00B154A8"/>
    <w:rPr>
      <w:sz w:val="20"/>
      <w:szCs w:val="20"/>
    </w:rPr>
  </w:style>
  <w:style w:type="paragraph" w:styleId="CommentSubject">
    <w:name w:val="annotation subject"/>
    <w:basedOn w:val="CommentText"/>
    <w:next w:val="CommentText"/>
    <w:link w:val="CommentSubjectChar"/>
    <w:uiPriority w:val="99"/>
    <w:semiHidden/>
    <w:unhideWhenUsed/>
    <w:rsid w:val="00B154A8"/>
    <w:rPr>
      <w:b/>
      <w:bCs/>
    </w:rPr>
  </w:style>
  <w:style w:type="character" w:customStyle="1" w:styleId="CommentSubjectChar">
    <w:name w:val="Comment Subject Char"/>
    <w:basedOn w:val="CommentTextChar"/>
    <w:link w:val="CommentSubject"/>
    <w:uiPriority w:val="99"/>
    <w:semiHidden/>
    <w:rsid w:val="00B154A8"/>
    <w:rPr>
      <w:b/>
      <w:bCs/>
      <w:sz w:val="20"/>
      <w:szCs w:val="20"/>
    </w:rPr>
  </w:style>
  <w:style w:type="character" w:styleId="EndnoteReference">
    <w:name w:val="endnote reference"/>
    <w:basedOn w:val="DefaultParagraphFont"/>
    <w:uiPriority w:val="99"/>
    <w:semiHidden/>
    <w:unhideWhenUsed/>
    <w:rsid w:val="008465F2"/>
    <w:rPr>
      <w:vertAlign w:val="superscript"/>
    </w:rPr>
  </w:style>
  <w:style w:type="paragraph" w:styleId="Bibliography">
    <w:name w:val="Bibliography"/>
    <w:basedOn w:val="Normal"/>
    <w:next w:val="Normal"/>
    <w:uiPriority w:val="37"/>
    <w:unhideWhenUsed/>
    <w:rsid w:val="006B46AA"/>
    <w:pPr>
      <w:tabs>
        <w:tab w:val="left" w:pos="504"/>
      </w:tabs>
      <w:spacing w:line="240" w:lineRule="auto"/>
      <w:ind w:left="504" w:hanging="504"/>
    </w:pPr>
  </w:style>
  <w:style w:type="paragraph" w:customStyle="1" w:styleId="Default">
    <w:name w:val="Default"/>
    <w:rsid w:val="0012282D"/>
    <w:pPr>
      <w:autoSpaceDE w:val="0"/>
      <w:autoSpaceDN w:val="0"/>
      <w:adjustRightInd w:val="0"/>
      <w:spacing w:after="0" w:line="240" w:lineRule="auto"/>
    </w:pPr>
    <w:rPr>
      <w:rFonts w:ascii="Arial" w:hAnsi="Arial" w:cs="Arial"/>
      <w:color w:val="000000"/>
      <w:kern w:val="0"/>
      <w:sz w:val="24"/>
      <w:szCs w:val="24"/>
    </w:rPr>
  </w:style>
  <w:style w:type="paragraph" w:styleId="TOCHeading">
    <w:name w:val="TOC Heading"/>
    <w:basedOn w:val="Heading1"/>
    <w:next w:val="Normal"/>
    <w:uiPriority w:val="39"/>
    <w:unhideWhenUsed/>
    <w:qFormat/>
    <w:rsid w:val="00E170BA"/>
    <w:pPr>
      <w:spacing w:before="240" w:after="0" w:line="259" w:lineRule="auto"/>
      <w:outlineLvl w:val="9"/>
    </w:pPr>
    <w:rPr>
      <w:b w:val="0"/>
      <w:color w:val="0F4761" w:themeColor="accent1" w:themeShade="BF"/>
      <w:kern w:val="0"/>
      <w:sz w:val="32"/>
      <w:szCs w:val="32"/>
      <w14:ligatures w14:val="none"/>
    </w:rPr>
  </w:style>
  <w:style w:type="paragraph" w:styleId="TOC1">
    <w:name w:val="toc 1"/>
    <w:basedOn w:val="Normal"/>
    <w:next w:val="Normal"/>
    <w:autoRedefine/>
    <w:uiPriority w:val="39"/>
    <w:unhideWhenUsed/>
    <w:rsid w:val="00E170BA"/>
    <w:pPr>
      <w:tabs>
        <w:tab w:val="right" w:leader="dot" w:pos="9350"/>
      </w:tabs>
      <w:spacing w:after="100" w:line="360" w:lineRule="auto"/>
    </w:pPr>
    <w:rPr>
      <w:rFonts w:ascii="Times New Roman" w:hAnsi="Times New Roman"/>
    </w:rPr>
  </w:style>
  <w:style w:type="paragraph" w:styleId="TOC2">
    <w:name w:val="toc 2"/>
    <w:basedOn w:val="Normal"/>
    <w:next w:val="Normal"/>
    <w:autoRedefine/>
    <w:uiPriority w:val="39"/>
    <w:unhideWhenUsed/>
    <w:rsid w:val="00E170BA"/>
    <w:pPr>
      <w:tabs>
        <w:tab w:val="right" w:leader="dot" w:pos="9350"/>
      </w:tabs>
      <w:spacing w:after="100" w:line="360" w:lineRule="auto"/>
      <w:ind w:left="240"/>
    </w:pPr>
    <w:rPr>
      <w:rFonts w:ascii="Times New Roman" w:hAnsi="Times New Roman"/>
    </w:rPr>
  </w:style>
  <w:style w:type="paragraph" w:styleId="Revision">
    <w:name w:val="Revision"/>
    <w:hidden/>
    <w:uiPriority w:val="99"/>
    <w:semiHidden/>
    <w:rsid w:val="00E170BA"/>
    <w:pPr>
      <w:spacing w:after="0" w:line="240" w:lineRule="auto"/>
    </w:pPr>
    <w:rPr>
      <w:rFonts w:ascii="Times New Roman" w:hAnsi="Times New Roman"/>
      <w:sz w:val="24"/>
    </w:rPr>
  </w:style>
  <w:style w:type="character" w:styleId="FollowedHyperlink">
    <w:name w:val="FollowedHyperlink"/>
    <w:basedOn w:val="DefaultParagraphFont"/>
    <w:uiPriority w:val="99"/>
    <w:semiHidden/>
    <w:unhideWhenUsed/>
    <w:rsid w:val="00A93D24"/>
    <w:rPr>
      <w:color w:val="96607D" w:themeColor="followedHyperlink"/>
      <w:u w:val="single"/>
    </w:rPr>
  </w:style>
  <w:style w:type="paragraph" w:styleId="NormalWeb">
    <w:name w:val="Normal (Web)"/>
    <w:basedOn w:val="Normal"/>
    <w:uiPriority w:val="99"/>
    <w:semiHidden/>
    <w:unhideWhenUsed/>
    <w:rsid w:val="00E97AA0"/>
    <w:pPr>
      <w:spacing w:before="100" w:beforeAutospacing="1" w:after="100" w:afterAutospacing="1" w:line="240" w:lineRule="auto"/>
      <w:ind w:firstLine="0"/>
    </w:pPr>
    <w:rPr>
      <w:rFonts w:ascii="Times New Roman" w:eastAsia="Times New Roman" w:hAnsi="Times New Roman" w:cs="Times New Roman"/>
      <w:kern w:val="0"/>
      <w:szCs w:val="24"/>
      <w14:ligatures w14:val="none"/>
    </w:rPr>
  </w:style>
  <w:style w:type="paragraph" w:styleId="TOC3">
    <w:name w:val="toc 3"/>
    <w:basedOn w:val="Normal"/>
    <w:next w:val="Normal"/>
    <w:autoRedefine/>
    <w:uiPriority w:val="39"/>
    <w:unhideWhenUsed/>
    <w:rsid w:val="00A01ED8"/>
    <w:pPr>
      <w:spacing w:after="100"/>
      <w:ind w:left="440"/>
    </w:pPr>
  </w:style>
  <w:style w:type="paragraph" w:styleId="TableofFigures">
    <w:name w:val="table of figures"/>
    <w:basedOn w:val="Normal"/>
    <w:next w:val="Normal"/>
    <w:uiPriority w:val="99"/>
    <w:unhideWhenUsed/>
    <w:rsid w:val="0079112E"/>
  </w:style>
  <w:style w:type="paragraph" w:styleId="TOC4">
    <w:name w:val="toc 4"/>
    <w:basedOn w:val="Normal"/>
    <w:next w:val="Normal"/>
    <w:autoRedefine/>
    <w:uiPriority w:val="39"/>
    <w:unhideWhenUsed/>
    <w:rsid w:val="00166431"/>
    <w:pPr>
      <w:spacing w:after="100" w:line="278" w:lineRule="auto"/>
      <w:ind w:left="720" w:firstLine="0"/>
      <w:jc w:val="left"/>
    </w:pPr>
    <w:rPr>
      <w:rFonts w:eastAsiaTheme="minorEastAsia"/>
      <w:szCs w:val="24"/>
    </w:rPr>
  </w:style>
  <w:style w:type="paragraph" w:styleId="TOC5">
    <w:name w:val="toc 5"/>
    <w:basedOn w:val="Normal"/>
    <w:next w:val="Normal"/>
    <w:autoRedefine/>
    <w:uiPriority w:val="39"/>
    <w:unhideWhenUsed/>
    <w:rsid w:val="00166431"/>
    <w:pPr>
      <w:spacing w:after="100" w:line="278" w:lineRule="auto"/>
      <w:ind w:left="960" w:firstLine="0"/>
      <w:jc w:val="left"/>
    </w:pPr>
    <w:rPr>
      <w:rFonts w:eastAsiaTheme="minorEastAsia"/>
      <w:szCs w:val="24"/>
    </w:rPr>
  </w:style>
  <w:style w:type="paragraph" w:styleId="TOC6">
    <w:name w:val="toc 6"/>
    <w:basedOn w:val="Normal"/>
    <w:next w:val="Normal"/>
    <w:autoRedefine/>
    <w:uiPriority w:val="39"/>
    <w:unhideWhenUsed/>
    <w:rsid w:val="00166431"/>
    <w:pPr>
      <w:spacing w:after="100" w:line="278" w:lineRule="auto"/>
      <w:ind w:left="1200" w:firstLine="0"/>
      <w:jc w:val="left"/>
    </w:pPr>
    <w:rPr>
      <w:rFonts w:eastAsiaTheme="minorEastAsia"/>
      <w:szCs w:val="24"/>
    </w:rPr>
  </w:style>
  <w:style w:type="paragraph" w:styleId="TOC7">
    <w:name w:val="toc 7"/>
    <w:basedOn w:val="Normal"/>
    <w:next w:val="Normal"/>
    <w:autoRedefine/>
    <w:uiPriority w:val="39"/>
    <w:unhideWhenUsed/>
    <w:rsid w:val="00166431"/>
    <w:pPr>
      <w:spacing w:after="100" w:line="278" w:lineRule="auto"/>
      <w:ind w:left="1440" w:firstLine="0"/>
      <w:jc w:val="left"/>
    </w:pPr>
    <w:rPr>
      <w:rFonts w:eastAsiaTheme="minorEastAsia"/>
      <w:szCs w:val="24"/>
    </w:rPr>
  </w:style>
  <w:style w:type="paragraph" w:styleId="TOC8">
    <w:name w:val="toc 8"/>
    <w:basedOn w:val="Normal"/>
    <w:next w:val="Normal"/>
    <w:autoRedefine/>
    <w:uiPriority w:val="39"/>
    <w:unhideWhenUsed/>
    <w:rsid w:val="00166431"/>
    <w:pPr>
      <w:spacing w:after="100" w:line="278" w:lineRule="auto"/>
      <w:ind w:left="1680" w:firstLine="0"/>
      <w:jc w:val="left"/>
    </w:pPr>
    <w:rPr>
      <w:rFonts w:eastAsiaTheme="minorEastAsia"/>
      <w:szCs w:val="24"/>
    </w:rPr>
  </w:style>
  <w:style w:type="paragraph" w:styleId="TOC9">
    <w:name w:val="toc 9"/>
    <w:basedOn w:val="Normal"/>
    <w:next w:val="Normal"/>
    <w:autoRedefine/>
    <w:uiPriority w:val="39"/>
    <w:unhideWhenUsed/>
    <w:rsid w:val="00166431"/>
    <w:pPr>
      <w:spacing w:after="100" w:line="278" w:lineRule="auto"/>
      <w:ind w:left="1920" w:firstLine="0"/>
      <w:jc w:val="left"/>
    </w:pPr>
    <w:rPr>
      <w:rFonts w:eastAsiaTheme="minorEastAsi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chart" Target="charts/chart2.xml"/><Relationship Id="rId26" Type="http://schemas.openxmlformats.org/officeDocument/2006/relationships/chart" Target="charts/chart7.xml"/><Relationship Id="rId39" Type="http://schemas.openxmlformats.org/officeDocument/2006/relationships/chart" Target="charts/chart20.xml"/><Relationship Id="rId21" Type="http://schemas.openxmlformats.org/officeDocument/2006/relationships/image" Target="media/image10.png"/><Relationship Id="rId34" Type="http://schemas.openxmlformats.org/officeDocument/2006/relationships/chart" Target="charts/chart15.xml"/><Relationship Id="rId42" Type="http://schemas.openxmlformats.org/officeDocument/2006/relationships/chart" Target="charts/chart22.xml"/><Relationship Id="rId47" Type="http://schemas.openxmlformats.org/officeDocument/2006/relationships/image" Target="cid:PBWKm6pEQWm9Dni9X8mh" TargetMode="External"/><Relationship Id="rId50" Type="http://schemas.openxmlformats.org/officeDocument/2006/relationships/chart" Target="charts/chart25.xml"/><Relationship Id="rId55" Type="http://schemas.openxmlformats.org/officeDocument/2006/relationships/chart" Target="charts/chart3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chart" Target="charts/chart10.xml"/><Relationship Id="rId11" Type="http://schemas.openxmlformats.org/officeDocument/2006/relationships/image" Target="media/image2.svg"/><Relationship Id="rId24" Type="http://schemas.openxmlformats.org/officeDocument/2006/relationships/chart" Target="charts/chart5.xml"/><Relationship Id="rId32" Type="http://schemas.openxmlformats.org/officeDocument/2006/relationships/chart" Target="charts/chart13.xml"/><Relationship Id="rId37" Type="http://schemas.openxmlformats.org/officeDocument/2006/relationships/chart" Target="charts/chart18.xml"/><Relationship Id="rId40" Type="http://schemas.openxmlformats.org/officeDocument/2006/relationships/image" Target="media/image11.png"/><Relationship Id="rId45" Type="http://schemas.openxmlformats.org/officeDocument/2006/relationships/image" Target="media/image13.png"/><Relationship Id="rId53" Type="http://schemas.openxmlformats.org/officeDocument/2006/relationships/chart" Target="charts/chart28.xml"/><Relationship Id="rId5" Type="http://schemas.openxmlformats.org/officeDocument/2006/relationships/webSettings" Target="webSettings.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1.xml"/><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 Id="rId43" Type="http://schemas.openxmlformats.org/officeDocument/2006/relationships/chart" Target="charts/chart23.xml"/><Relationship Id="rId48" Type="http://schemas.openxmlformats.org/officeDocument/2006/relationships/image" Target="media/image15.png"/><Relationship Id="rId5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chart" Target="charts/chart26.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chart" Target="charts/chart6.xml"/><Relationship Id="rId33" Type="http://schemas.openxmlformats.org/officeDocument/2006/relationships/chart" Target="charts/chart14.xml"/><Relationship Id="rId38" Type="http://schemas.openxmlformats.org/officeDocument/2006/relationships/chart" Target="charts/chart19.xml"/><Relationship Id="rId46" Type="http://schemas.openxmlformats.org/officeDocument/2006/relationships/image" Target="media/image14.png"/><Relationship Id="rId20" Type="http://schemas.openxmlformats.org/officeDocument/2006/relationships/image" Target="media/image9.png"/><Relationship Id="rId41" Type="http://schemas.openxmlformats.org/officeDocument/2006/relationships/chart" Target="charts/chart21.xml"/><Relationship Id="rId54" Type="http://schemas.openxmlformats.org/officeDocument/2006/relationships/chart" Target="charts/chart2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chart" Target="charts/chart17.xml"/><Relationship Id="rId49" Type="http://schemas.openxmlformats.org/officeDocument/2006/relationships/chart" Target="charts/chart24.xml"/><Relationship Id="rId57" Type="http://schemas.openxmlformats.org/officeDocument/2006/relationships/theme" Target="theme/theme1.xml"/><Relationship Id="rId10" Type="http://schemas.openxmlformats.org/officeDocument/2006/relationships/image" Target="media/image1.png"/><Relationship Id="rId31" Type="http://schemas.openxmlformats.org/officeDocument/2006/relationships/chart" Target="charts/chart12.xml"/><Relationship Id="rId44" Type="http://schemas.openxmlformats.org/officeDocument/2006/relationships/image" Target="media/image12.png"/><Relationship Id="rId52" Type="http://schemas.openxmlformats.org/officeDocument/2006/relationships/chart" Target="charts/chart27.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sooners-my.sharepoint.com/personal/jaden_norman_ou_edu/Documents/School/Kazempoor/PCFC%20Modeling/EES/Results/30%25conv,700C.CSV.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https://sooners-my.sharepoint.com/personal/jaden_norman_ou_edu/Documents/School/Kazempoor/PCFC%20Modeling/EES/Results/1L-gcat-h%20-%20Parametric%20Study.xlsx" TargetMode="External"/><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https://sooners-my.sharepoint.com/personal/jaden_norman_ou_edu/Documents/School/Kazempoor/PCFC%20Modeling/EES/Results/1L-gcat-h%20-%20Parametric%20Study.xlsx"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https://sooners-my.sharepoint.com/personal/jaden_norman_ou_edu/Documents/School/Kazempoor/PCFC%20Modeling/EES/Results/1L-gcat-h%20-%20Parametric%20Study.xlsx"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embeddings/oleObject2.bin"/></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embeddings/oleObject3.bin"/></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embeddings/oleObject4.bin"/></Relationships>
</file>

<file path=word/charts/_rels/chart17.xml.rels><?xml version="1.0" encoding="UTF-8" standalone="yes"?>
<Relationships xmlns="http://schemas.openxmlformats.org/package/2006/relationships"><Relationship Id="rId3" Type="http://schemas.openxmlformats.org/officeDocument/2006/relationships/oleObject" Target="https://sooners-my.sharepoint.com/personal/jaden_norman_ou_edu/Documents/School/Kazempoor/PCFC%20Modeling/EES/Results/1L-gcat-h%20-%20Parametric%20Study.xlsx" TargetMode="External"/><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embeddings/oleObject5.bin"/></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embeddings/oleObject6.bin"/></Relationships>
</file>

<file path=word/charts/_rels/chart2.xml.rels><?xml version="1.0" encoding="UTF-8" standalone="yes"?>
<Relationships xmlns="http://schemas.openxmlformats.org/package/2006/relationships"><Relationship Id="rId3" Type="http://schemas.openxmlformats.org/officeDocument/2006/relationships/oleObject" Target="https://sooners-my.sharepoint.com/personal/jaden_norman_ou_edu/Documents/School/Kazempoor/InkScape%20Graphics/Reference%20Graphics/Morejudo%202016%20-%20FBR%20vs%20PCEC.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embeddings/oleObject7.bin"/></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embeddings/oleObject8.bin"/></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embeddings/oleObject9.bin"/></Relationships>
</file>

<file path=word/charts/_rels/chart23.xml.rels><?xml version="1.0" encoding="UTF-8" standalone="yes"?>
<Relationships xmlns="http://schemas.openxmlformats.org/package/2006/relationships"><Relationship Id="rId3" Type="http://schemas.openxmlformats.org/officeDocument/2006/relationships/oleObject" Target="https://sooners-my.sharepoint.com/personal/jaden_norman_ou_edu/Documents/School/Kazempoor/PCFC%20Modeling/EES/Results/1L-gcat-h%20-%20Parametric%20Study.xlsx" TargetMode="External"/><Relationship Id="rId2" Type="http://schemas.microsoft.com/office/2011/relationships/chartColorStyle" Target="colors22.xml"/><Relationship Id="rId1" Type="http://schemas.microsoft.com/office/2011/relationships/chartStyle" Target="style22.xm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1.xlsx"/></Relationships>
</file>

<file path=word/charts/_rels/chart25.xml.rels><?xml version="1.0" encoding="UTF-8" standalone="yes"?>
<Relationships xmlns="http://schemas.openxmlformats.org/package/2006/relationships"><Relationship Id="rId3" Type="http://schemas.openxmlformats.org/officeDocument/2006/relationships/oleObject" Target="file:///C:\Users\Soone\Downloads\generator_costs_2020.xlsx" TargetMode="External"/><Relationship Id="rId2" Type="http://schemas.microsoft.com/office/2011/relationships/chartColorStyle" Target="colors24.xml"/><Relationship Id="rId1" Type="http://schemas.microsoft.com/office/2011/relationships/chartStyle" Target="style24.xm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2.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3.xlsx"/></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package" Target="../embeddings/Microsoft_Excel_Worksheet4.xlsx"/></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_Worksheet5.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xlsx"/></Relationships>
</file>

<file path=word/charts/_rels/chart30.xml.rels><?xml version="1.0" encoding="UTF-8" standalone="yes"?>
<Relationships xmlns="http://schemas.openxmlformats.org/package/2006/relationships"><Relationship Id="rId3" Type="http://schemas.openxmlformats.org/officeDocument/2006/relationships/oleObject" Target="https://sooners-my.sharepoint.com/personal/jaden_norman_ou_edu/Documents/School/Kazempoor/Graphics/TEA.xlsx" TargetMode="External"/><Relationship Id="rId2" Type="http://schemas.microsoft.com/office/2011/relationships/chartColorStyle" Target="colors29.xml"/><Relationship Id="rId1" Type="http://schemas.microsoft.com/office/2011/relationships/chartStyle" Target="style29.xml"/></Relationships>
</file>

<file path=word/charts/_rels/chart4.xml.rels><?xml version="1.0" encoding="UTF-8" standalone="yes"?>
<Relationships xmlns="http://schemas.openxmlformats.org/package/2006/relationships"><Relationship Id="rId3" Type="http://schemas.openxmlformats.org/officeDocument/2006/relationships/oleObject" Target="https://sooners-my.sharepoint.com/personal/jaden_norman_ou_edu/Documents/School/Kazempoor/Graphics/IVP%20Curve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sooners-my.sharepoint.com/personal/jaden_norman_ou_edu/Documents/School/Kazempoor/PCFC%20Modeling/EES/Results/30%25conv,700C.CSV.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sooners-my.sharepoint.com/personal/jaden_norman_ou_edu/Documents/School/Kazempoor/PCFC%20Modeling/EES/Results/30%25conv,700C.CSV.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1" Type="http://schemas.openxmlformats.org/officeDocument/2006/relationships/oleObject" Target="https://sooners-my.sharepoint.com/personal/jaden_norman_ou_edu/Documents/School/Kazempoor/PCFC%20Modeling/EES/Results/30%25conv,700C.CSV.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https://sooners-my.sharepoint.com/personal/jaden_norman_ou_edu/Documents/School/Kazempoor/PCFC%20Modeling/EES/Results/30%25conv,700C.CSV.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https://sooners-my.sharepoint.com/personal/jaden_norman_ou_edu/Documents/School/Kazempoor/PCFC%20Modeling/EES/Results/30%25conv,700C.CSV.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2"/>
              </a:solidFill>
              <a:prstDash val="solid"/>
              <a:round/>
            </a:ln>
            <a:effectLst/>
          </c:spPr>
          <c:marker>
            <c:symbol val="none"/>
          </c:marker>
          <c:cat>
            <c:numRef>
              <c:f>'[MDA research graphic.xlsx]Sheet1'!$A$2:$A$32</c:f>
              <c:numCache>
                <c:formatCode>General</c:formatCode>
                <c:ptCount val="31"/>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pt idx="26">
                  <c:v>2019</c:v>
                </c:pt>
                <c:pt idx="27">
                  <c:v>2020</c:v>
                </c:pt>
                <c:pt idx="28">
                  <c:v>2021</c:v>
                </c:pt>
                <c:pt idx="29">
                  <c:v>2022</c:v>
                </c:pt>
                <c:pt idx="30">
                  <c:v>2023</c:v>
                </c:pt>
              </c:numCache>
            </c:numRef>
          </c:cat>
          <c:val>
            <c:numRef>
              <c:f>'[MDA research graphic.xlsx]Sheet1'!$B$2:$B$32</c:f>
              <c:numCache>
                <c:formatCode>General</c:formatCode>
                <c:ptCount val="31"/>
                <c:pt idx="0">
                  <c:v>2</c:v>
                </c:pt>
                <c:pt idx="1">
                  <c:v>4</c:v>
                </c:pt>
                <c:pt idx="2">
                  <c:v>1</c:v>
                </c:pt>
                <c:pt idx="3">
                  <c:v>5</c:v>
                </c:pt>
                <c:pt idx="4">
                  <c:v>2</c:v>
                </c:pt>
                <c:pt idx="5">
                  <c:v>6</c:v>
                </c:pt>
                <c:pt idx="6">
                  <c:v>3</c:v>
                </c:pt>
                <c:pt idx="7">
                  <c:v>14</c:v>
                </c:pt>
                <c:pt idx="8">
                  <c:v>20</c:v>
                </c:pt>
                <c:pt idx="9">
                  <c:v>13</c:v>
                </c:pt>
                <c:pt idx="10">
                  <c:v>27</c:v>
                </c:pt>
                <c:pt idx="11">
                  <c:v>36</c:v>
                </c:pt>
                <c:pt idx="12">
                  <c:v>29</c:v>
                </c:pt>
                <c:pt idx="13">
                  <c:v>33</c:v>
                </c:pt>
                <c:pt idx="14">
                  <c:v>31</c:v>
                </c:pt>
                <c:pt idx="15">
                  <c:v>28</c:v>
                </c:pt>
                <c:pt idx="16">
                  <c:v>40</c:v>
                </c:pt>
                <c:pt idx="17">
                  <c:v>40</c:v>
                </c:pt>
                <c:pt idx="18">
                  <c:v>50</c:v>
                </c:pt>
                <c:pt idx="19">
                  <c:v>51</c:v>
                </c:pt>
                <c:pt idx="20">
                  <c:v>68</c:v>
                </c:pt>
                <c:pt idx="21">
                  <c:v>84</c:v>
                </c:pt>
                <c:pt idx="22">
                  <c:v>91</c:v>
                </c:pt>
                <c:pt idx="23">
                  <c:v>114</c:v>
                </c:pt>
                <c:pt idx="24">
                  <c:v>152</c:v>
                </c:pt>
                <c:pt idx="25">
                  <c:v>177</c:v>
                </c:pt>
                <c:pt idx="26">
                  <c:v>217</c:v>
                </c:pt>
                <c:pt idx="27">
                  <c:v>317</c:v>
                </c:pt>
                <c:pt idx="28">
                  <c:v>335</c:v>
                </c:pt>
                <c:pt idx="29">
                  <c:v>363</c:v>
                </c:pt>
                <c:pt idx="30">
                  <c:v>418</c:v>
                </c:pt>
              </c:numCache>
            </c:numRef>
          </c:val>
          <c:smooth val="0"/>
          <c:extLst>
            <c:ext xmlns:c16="http://schemas.microsoft.com/office/drawing/2014/chart" uri="{C3380CC4-5D6E-409C-BE32-E72D297353CC}">
              <c16:uniqueId val="{00000000-C29B-48D7-A0A5-3D32B61419A5}"/>
            </c:ext>
          </c:extLst>
        </c:ser>
        <c:dLbls>
          <c:showLegendKey val="0"/>
          <c:showVal val="0"/>
          <c:showCatName val="0"/>
          <c:showSerName val="0"/>
          <c:showPercent val="0"/>
          <c:showBubbleSize val="0"/>
        </c:dLbls>
        <c:smooth val="0"/>
        <c:axId val="177110816"/>
        <c:axId val="177111296"/>
      </c:lineChart>
      <c:catAx>
        <c:axId val="17711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111296"/>
        <c:crosses val="autoZero"/>
        <c:auto val="1"/>
        <c:lblAlgn val="ctr"/>
        <c:lblOffset val="100"/>
        <c:tickLblSkip val="5"/>
        <c:noMultiLvlLbl val="0"/>
      </c:catAx>
      <c:valAx>
        <c:axId val="17711129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Publications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1108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a:t>
            </a:r>
          </a:p>
        </c:rich>
      </c:tx>
      <c:layout>
        <c:manualLayout>
          <c:xMode val="edge"/>
          <c:yMode val="edge"/>
          <c:x val="6.9262175561388156E-5"/>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1811509672402064E-2"/>
          <c:y val="3.5808080808080824E-2"/>
          <c:w val="0.85939219403130163"/>
          <c:h val="0.62480593334924039"/>
        </c:manualLayout>
      </c:layout>
      <c:scatterChart>
        <c:scatterStyle val="smoothMarker"/>
        <c:varyColors val="0"/>
        <c:ser>
          <c:idx val="0"/>
          <c:order val="0"/>
          <c:tx>
            <c:strRef>
              <c:f>'[30%conv,700C.CSV.xlsx]Vary F_U'!$E$3</c:f>
              <c:strCache>
                <c:ptCount val="1"/>
                <c:pt idx="0">
                  <c:v>C2H4</c:v>
                </c:pt>
              </c:strCache>
            </c:strRef>
          </c:tx>
          <c:spPr>
            <a:ln w="19050" cap="rnd">
              <a:solidFill>
                <a:schemeClr val="accent6"/>
              </a:solidFill>
              <a:round/>
            </a:ln>
            <a:effectLst/>
          </c:spPr>
          <c:marker>
            <c:symbol val="none"/>
          </c:marker>
          <c:xVal>
            <c:numRef>
              <c:f>'[30%conv,700C.CSV.xlsx]Vary F_U'!$A$4:$A$55</c:f>
              <c:numCache>
                <c:formatCode>General</c:formatCode>
                <c:ptCount val="52"/>
                <c:pt idx="0">
                  <c:v>55</c:v>
                </c:pt>
                <c:pt idx="1">
                  <c:v>54</c:v>
                </c:pt>
                <c:pt idx="2">
                  <c:v>53</c:v>
                </c:pt>
                <c:pt idx="3">
                  <c:v>52</c:v>
                </c:pt>
                <c:pt idx="4">
                  <c:v>51</c:v>
                </c:pt>
                <c:pt idx="5">
                  <c:v>50</c:v>
                </c:pt>
                <c:pt idx="6">
                  <c:v>49</c:v>
                </c:pt>
                <c:pt idx="7">
                  <c:v>48</c:v>
                </c:pt>
                <c:pt idx="8">
                  <c:v>47</c:v>
                </c:pt>
                <c:pt idx="9">
                  <c:v>46</c:v>
                </c:pt>
                <c:pt idx="10">
                  <c:v>45</c:v>
                </c:pt>
                <c:pt idx="11">
                  <c:v>44</c:v>
                </c:pt>
                <c:pt idx="12">
                  <c:v>43</c:v>
                </c:pt>
                <c:pt idx="13">
                  <c:v>42</c:v>
                </c:pt>
                <c:pt idx="14">
                  <c:v>41</c:v>
                </c:pt>
                <c:pt idx="15">
                  <c:v>40</c:v>
                </c:pt>
                <c:pt idx="16">
                  <c:v>39</c:v>
                </c:pt>
                <c:pt idx="17">
                  <c:v>38</c:v>
                </c:pt>
                <c:pt idx="18">
                  <c:v>37</c:v>
                </c:pt>
                <c:pt idx="19">
                  <c:v>36</c:v>
                </c:pt>
                <c:pt idx="20">
                  <c:v>35</c:v>
                </c:pt>
                <c:pt idx="21">
                  <c:v>34</c:v>
                </c:pt>
                <c:pt idx="22">
                  <c:v>33</c:v>
                </c:pt>
                <c:pt idx="23">
                  <c:v>32</c:v>
                </c:pt>
                <c:pt idx="24">
                  <c:v>31</c:v>
                </c:pt>
                <c:pt idx="25">
                  <c:v>30</c:v>
                </c:pt>
                <c:pt idx="26">
                  <c:v>29</c:v>
                </c:pt>
                <c:pt idx="27">
                  <c:v>28</c:v>
                </c:pt>
                <c:pt idx="28">
                  <c:v>27</c:v>
                </c:pt>
                <c:pt idx="29">
                  <c:v>26</c:v>
                </c:pt>
                <c:pt idx="30">
                  <c:v>25</c:v>
                </c:pt>
                <c:pt idx="31">
                  <c:v>24</c:v>
                </c:pt>
                <c:pt idx="32">
                  <c:v>23</c:v>
                </c:pt>
                <c:pt idx="33">
                  <c:v>22</c:v>
                </c:pt>
                <c:pt idx="34">
                  <c:v>21</c:v>
                </c:pt>
                <c:pt idx="35">
                  <c:v>20</c:v>
                </c:pt>
                <c:pt idx="36">
                  <c:v>19</c:v>
                </c:pt>
                <c:pt idx="37">
                  <c:v>18</c:v>
                </c:pt>
                <c:pt idx="38">
                  <c:v>17</c:v>
                </c:pt>
                <c:pt idx="39">
                  <c:v>16</c:v>
                </c:pt>
                <c:pt idx="40">
                  <c:v>15</c:v>
                </c:pt>
                <c:pt idx="41">
                  <c:v>14</c:v>
                </c:pt>
                <c:pt idx="42">
                  <c:v>13</c:v>
                </c:pt>
                <c:pt idx="43">
                  <c:v>12</c:v>
                </c:pt>
                <c:pt idx="44">
                  <c:v>11</c:v>
                </c:pt>
                <c:pt idx="45">
                  <c:v>10</c:v>
                </c:pt>
                <c:pt idx="46">
                  <c:v>9</c:v>
                </c:pt>
                <c:pt idx="47">
                  <c:v>8</c:v>
                </c:pt>
                <c:pt idx="48">
                  <c:v>7</c:v>
                </c:pt>
                <c:pt idx="49">
                  <c:v>6</c:v>
                </c:pt>
                <c:pt idx="50">
                  <c:v>5</c:v>
                </c:pt>
                <c:pt idx="51">
                  <c:v>4</c:v>
                </c:pt>
              </c:numCache>
            </c:numRef>
          </c:xVal>
          <c:yVal>
            <c:numRef>
              <c:f>'[30%conv,700C.CSV.xlsx]Vary F_U'!$E$4:$E$55</c:f>
              <c:numCache>
                <c:formatCode>General</c:formatCode>
                <c:ptCount val="52"/>
                <c:pt idx="0">
                  <c:v>3.069</c:v>
                </c:pt>
                <c:pt idx="1">
                  <c:v>3.1829999999999998</c:v>
                </c:pt>
                <c:pt idx="2">
                  <c:v>3.3010000000000002</c:v>
                </c:pt>
                <c:pt idx="3">
                  <c:v>3.423</c:v>
                </c:pt>
                <c:pt idx="4">
                  <c:v>3.5510000000000002</c:v>
                </c:pt>
                <c:pt idx="5">
                  <c:v>3.6829999999999998</c:v>
                </c:pt>
                <c:pt idx="6">
                  <c:v>3.8220000000000001</c:v>
                </c:pt>
                <c:pt idx="7">
                  <c:v>3.9660000000000002</c:v>
                </c:pt>
                <c:pt idx="8">
                  <c:v>4.1159999999999997</c:v>
                </c:pt>
                <c:pt idx="9">
                  <c:v>4.2729999999999997</c:v>
                </c:pt>
                <c:pt idx="10">
                  <c:v>4.4370000000000003</c:v>
                </c:pt>
                <c:pt idx="11">
                  <c:v>4.6079999999999997</c:v>
                </c:pt>
                <c:pt idx="12">
                  <c:v>4.7880000000000003</c:v>
                </c:pt>
                <c:pt idx="13">
                  <c:v>4.976</c:v>
                </c:pt>
                <c:pt idx="14">
                  <c:v>5.173</c:v>
                </c:pt>
                <c:pt idx="15">
                  <c:v>5.3789999999999996</c:v>
                </c:pt>
                <c:pt idx="16">
                  <c:v>5.5970000000000004</c:v>
                </c:pt>
                <c:pt idx="17">
                  <c:v>5.8250000000000002</c:v>
                </c:pt>
                <c:pt idx="18">
                  <c:v>6.0659999999999998</c:v>
                </c:pt>
                <c:pt idx="19">
                  <c:v>6.3209999999999997</c:v>
                </c:pt>
                <c:pt idx="20">
                  <c:v>6.5890000000000004</c:v>
                </c:pt>
                <c:pt idx="21">
                  <c:v>6.8730000000000002</c:v>
                </c:pt>
                <c:pt idx="22">
                  <c:v>7.1749999999999998</c:v>
                </c:pt>
                <c:pt idx="23">
                  <c:v>7.4950000000000001</c:v>
                </c:pt>
                <c:pt idx="24">
                  <c:v>7.835</c:v>
                </c:pt>
                <c:pt idx="25">
                  <c:v>8.1980000000000004</c:v>
                </c:pt>
                <c:pt idx="26">
                  <c:v>8.5860000000000003</c:v>
                </c:pt>
                <c:pt idx="27">
                  <c:v>9.0009999999999994</c:v>
                </c:pt>
                <c:pt idx="28">
                  <c:v>9.4469999999999992</c:v>
                </c:pt>
                <c:pt idx="29">
                  <c:v>9.9260000000000002</c:v>
                </c:pt>
                <c:pt idx="30">
                  <c:v>10.44</c:v>
                </c:pt>
                <c:pt idx="31">
                  <c:v>11</c:v>
                </c:pt>
                <c:pt idx="32">
                  <c:v>11.61</c:v>
                </c:pt>
                <c:pt idx="33">
                  <c:v>12.28</c:v>
                </c:pt>
                <c:pt idx="34">
                  <c:v>13</c:v>
                </c:pt>
                <c:pt idx="35">
                  <c:v>13.8</c:v>
                </c:pt>
                <c:pt idx="36">
                  <c:v>14.69</c:v>
                </c:pt>
                <c:pt idx="37">
                  <c:v>15.67</c:v>
                </c:pt>
                <c:pt idx="38">
                  <c:v>16.760000000000002</c:v>
                </c:pt>
                <c:pt idx="39">
                  <c:v>17.989999999999998</c:v>
                </c:pt>
                <c:pt idx="40">
                  <c:v>19.38</c:v>
                </c:pt>
                <c:pt idx="41">
                  <c:v>20.96</c:v>
                </c:pt>
                <c:pt idx="42">
                  <c:v>22.78</c:v>
                </c:pt>
                <c:pt idx="43">
                  <c:v>24.89</c:v>
                </c:pt>
                <c:pt idx="44">
                  <c:v>27.33</c:v>
                </c:pt>
                <c:pt idx="45">
                  <c:v>30.17</c:v>
                </c:pt>
                <c:pt idx="46">
                  <c:v>33.409999999999997</c:v>
                </c:pt>
                <c:pt idx="47">
                  <c:v>36.96</c:v>
                </c:pt>
                <c:pt idx="48">
                  <c:v>40.33</c:v>
                </c:pt>
                <c:pt idx="49">
                  <c:v>42.28</c:v>
                </c:pt>
                <c:pt idx="50">
                  <c:v>40.47</c:v>
                </c:pt>
                <c:pt idx="51">
                  <c:v>32.01</c:v>
                </c:pt>
              </c:numCache>
            </c:numRef>
          </c:yVal>
          <c:smooth val="1"/>
          <c:extLst>
            <c:ext xmlns:c16="http://schemas.microsoft.com/office/drawing/2014/chart" uri="{C3380CC4-5D6E-409C-BE32-E72D297353CC}">
              <c16:uniqueId val="{00000000-D35B-43C9-A8B0-B919345C5EC7}"/>
            </c:ext>
          </c:extLst>
        </c:ser>
        <c:ser>
          <c:idx val="1"/>
          <c:order val="1"/>
          <c:tx>
            <c:strRef>
              <c:f>'[30%conv,700C.CSV.xlsx]Vary F_U'!$F$3</c:f>
              <c:strCache>
                <c:ptCount val="1"/>
                <c:pt idx="0">
                  <c:v>C6H6</c:v>
                </c:pt>
              </c:strCache>
            </c:strRef>
          </c:tx>
          <c:spPr>
            <a:ln w="19050" cap="rnd">
              <a:solidFill>
                <a:srgbClr val="C00000"/>
              </a:solidFill>
              <a:round/>
            </a:ln>
            <a:effectLst/>
          </c:spPr>
          <c:marker>
            <c:symbol val="none"/>
          </c:marker>
          <c:xVal>
            <c:numRef>
              <c:f>'[30%conv,700C.CSV.xlsx]Vary F_U'!$A$4:$A$55</c:f>
              <c:numCache>
                <c:formatCode>General</c:formatCode>
                <c:ptCount val="52"/>
                <c:pt idx="0">
                  <c:v>55</c:v>
                </c:pt>
                <c:pt idx="1">
                  <c:v>54</c:v>
                </c:pt>
                <c:pt idx="2">
                  <c:v>53</c:v>
                </c:pt>
                <c:pt idx="3">
                  <c:v>52</c:v>
                </c:pt>
                <c:pt idx="4">
                  <c:v>51</c:v>
                </c:pt>
                <c:pt idx="5">
                  <c:v>50</c:v>
                </c:pt>
                <c:pt idx="6">
                  <c:v>49</c:v>
                </c:pt>
                <c:pt idx="7">
                  <c:v>48</c:v>
                </c:pt>
                <c:pt idx="8">
                  <c:v>47</c:v>
                </c:pt>
                <c:pt idx="9">
                  <c:v>46</c:v>
                </c:pt>
                <c:pt idx="10">
                  <c:v>45</c:v>
                </c:pt>
                <c:pt idx="11">
                  <c:v>44</c:v>
                </c:pt>
                <c:pt idx="12">
                  <c:v>43</c:v>
                </c:pt>
                <c:pt idx="13">
                  <c:v>42</c:v>
                </c:pt>
                <c:pt idx="14">
                  <c:v>41</c:v>
                </c:pt>
                <c:pt idx="15">
                  <c:v>40</c:v>
                </c:pt>
                <c:pt idx="16">
                  <c:v>39</c:v>
                </c:pt>
                <c:pt idx="17">
                  <c:v>38</c:v>
                </c:pt>
                <c:pt idx="18">
                  <c:v>37</c:v>
                </c:pt>
                <c:pt idx="19">
                  <c:v>36</c:v>
                </c:pt>
                <c:pt idx="20">
                  <c:v>35</c:v>
                </c:pt>
                <c:pt idx="21">
                  <c:v>34</c:v>
                </c:pt>
                <c:pt idx="22">
                  <c:v>33</c:v>
                </c:pt>
                <c:pt idx="23">
                  <c:v>32</c:v>
                </c:pt>
                <c:pt idx="24">
                  <c:v>31</c:v>
                </c:pt>
                <c:pt idx="25">
                  <c:v>30</c:v>
                </c:pt>
                <c:pt idx="26">
                  <c:v>29</c:v>
                </c:pt>
                <c:pt idx="27">
                  <c:v>28</c:v>
                </c:pt>
                <c:pt idx="28">
                  <c:v>27</c:v>
                </c:pt>
                <c:pt idx="29">
                  <c:v>26</c:v>
                </c:pt>
                <c:pt idx="30">
                  <c:v>25</c:v>
                </c:pt>
                <c:pt idx="31">
                  <c:v>24</c:v>
                </c:pt>
                <c:pt idx="32">
                  <c:v>23</c:v>
                </c:pt>
                <c:pt idx="33">
                  <c:v>22</c:v>
                </c:pt>
                <c:pt idx="34">
                  <c:v>21</c:v>
                </c:pt>
                <c:pt idx="35">
                  <c:v>20</c:v>
                </c:pt>
                <c:pt idx="36">
                  <c:v>19</c:v>
                </c:pt>
                <c:pt idx="37">
                  <c:v>18</c:v>
                </c:pt>
                <c:pt idx="38">
                  <c:v>17</c:v>
                </c:pt>
                <c:pt idx="39">
                  <c:v>16</c:v>
                </c:pt>
                <c:pt idx="40">
                  <c:v>15</c:v>
                </c:pt>
                <c:pt idx="41">
                  <c:v>14</c:v>
                </c:pt>
                <c:pt idx="42">
                  <c:v>13</c:v>
                </c:pt>
                <c:pt idx="43">
                  <c:v>12</c:v>
                </c:pt>
                <c:pt idx="44">
                  <c:v>11</c:v>
                </c:pt>
                <c:pt idx="45">
                  <c:v>10</c:v>
                </c:pt>
                <c:pt idx="46">
                  <c:v>9</c:v>
                </c:pt>
                <c:pt idx="47">
                  <c:v>8</c:v>
                </c:pt>
                <c:pt idx="48">
                  <c:v>7</c:v>
                </c:pt>
                <c:pt idx="49">
                  <c:v>6</c:v>
                </c:pt>
                <c:pt idx="50">
                  <c:v>5</c:v>
                </c:pt>
                <c:pt idx="51">
                  <c:v>4</c:v>
                </c:pt>
              </c:numCache>
            </c:numRef>
          </c:xVal>
          <c:yVal>
            <c:numRef>
              <c:f>'[30%conv,700C.CSV.xlsx]Vary F_U'!$F$4:$F$55</c:f>
              <c:numCache>
                <c:formatCode>General</c:formatCode>
                <c:ptCount val="52"/>
                <c:pt idx="0">
                  <c:v>49.97</c:v>
                </c:pt>
                <c:pt idx="1">
                  <c:v>52.64</c:v>
                </c:pt>
                <c:pt idx="2">
                  <c:v>55.04</c:v>
                </c:pt>
                <c:pt idx="3">
                  <c:v>57.18</c:v>
                </c:pt>
                <c:pt idx="4">
                  <c:v>59.06</c:v>
                </c:pt>
                <c:pt idx="5">
                  <c:v>60.69</c:v>
                </c:pt>
                <c:pt idx="6">
                  <c:v>62.1</c:v>
                </c:pt>
                <c:pt idx="7">
                  <c:v>63.3</c:v>
                </c:pt>
                <c:pt idx="8">
                  <c:v>64.319999999999993</c:v>
                </c:pt>
                <c:pt idx="9">
                  <c:v>65.17</c:v>
                </c:pt>
                <c:pt idx="10">
                  <c:v>65.88</c:v>
                </c:pt>
                <c:pt idx="11">
                  <c:v>66.459999999999994</c:v>
                </c:pt>
                <c:pt idx="12">
                  <c:v>66.930000000000007</c:v>
                </c:pt>
                <c:pt idx="13">
                  <c:v>67.3</c:v>
                </c:pt>
                <c:pt idx="14">
                  <c:v>67.58</c:v>
                </c:pt>
                <c:pt idx="15">
                  <c:v>67.78</c:v>
                </c:pt>
                <c:pt idx="16">
                  <c:v>67.91</c:v>
                </c:pt>
                <c:pt idx="17">
                  <c:v>67.97</c:v>
                </c:pt>
                <c:pt idx="18">
                  <c:v>67.98</c:v>
                </c:pt>
                <c:pt idx="19">
                  <c:v>67.930000000000007</c:v>
                </c:pt>
                <c:pt idx="20">
                  <c:v>67.819999999999993</c:v>
                </c:pt>
                <c:pt idx="21">
                  <c:v>67.67</c:v>
                </c:pt>
                <c:pt idx="22">
                  <c:v>67.459999999999994</c:v>
                </c:pt>
                <c:pt idx="23">
                  <c:v>67.209999999999994</c:v>
                </c:pt>
                <c:pt idx="24">
                  <c:v>66.91</c:v>
                </c:pt>
                <c:pt idx="25">
                  <c:v>66.56</c:v>
                </c:pt>
                <c:pt idx="26">
                  <c:v>66.16</c:v>
                </c:pt>
                <c:pt idx="27">
                  <c:v>65.709999999999994</c:v>
                </c:pt>
                <c:pt idx="28">
                  <c:v>65.2</c:v>
                </c:pt>
                <c:pt idx="29">
                  <c:v>64.63</c:v>
                </c:pt>
                <c:pt idx="30">
                  <c:v>64</c:v>
                </c:pt>
                <c:pt idx="31">
                  <c:v>63.29</c:v>
                </c:pt>
                <c:pt idx="32">
                  <c:v>62.51</c:v>
                </c:pt>
                <c:pt idx="33">
                  <c:v>61.65</c:v>
                </c:pt>
                <c:pt idx="34">
                  <c:v>60.68</c:v>
                </c:pt>
                <c:pt idx="35">
                  <c:v>59.6</c:v>
                </c:pt>
                <c:pt idx="36">
                  <c:v>58.39</c:v>
                </c:pt>
                <c:pt idx="37">
                  <c:v>57.03</c:v>
                </c:pt>
                <c:pt idx="38">
                  <c:v>55.48</c:v>
                </c:pt>
                <c:pt idx="39">
                  <c:v>53.73</c:v>
                </c:pt>
                <c:pt idx="40">
                  <c:v>51.71</c:v>
                </c:pt>
                <c:pt idx="41">
                  <c:v>49.39</c:v>
                </c:pt>
                <c:pt idx="42">
                  <c:v>46.67</c:v>
                </c:pt>
                <c:pt idx="43">
                  <c:v>43.47</c:v>
                </c:pt>
                <c:pt idx="44">
                  <c:v>39.68</c:v>
                </c:pt>
                <c:pt idx="45">
                  <c:v>35.14</c:v>
                </c:pt>
                <c:pt idx="46">
                  <c:v>29.72</c:v>
                </c:pt>
                <c:pt idx="47">
                  <c:v>23.34</c:v>
                </c:pt>
                <c:pt idx="48">
                  <c:v>16.18</c:v>
                </c:pt>
                <c:pt idx="49">
                  <c:v>9.0210000000000008</c:v>
                </c:pt>
                <c:pt idx="50">
                  <c:v>3.391</c:v>
                </c:pt>
                <c:pt idx="51">
                  <c:v>0.58299999999999996</c:v>
                </c:pt>
              </c:numCache>
            </c:numRef>
          </c:yVal>
          <c:smooth val="1"/>
          <c:extLst>
            <c:ext xmlns:c16="http://schemas.microsoft.com/office/drawing/2014/chart" uri="{C3380CC4-5D6E-409C-BE32-E72D297353CC}">
              <c16:uniqueId val="{00000001-D35B-43C9-A8B0-B919345C5EC7}"/>
            </c:ext>
          </c:extLst>
        </c:ser>
        <c:ser>
          <c:idx val="2"/>
          <c:order val="2"/>
          <c:tx>
            <c:strRef>
              <c:f>'[30%conv,700C.CSV.xlsx]Vary F_U'!$G$3</c:f>
              <c:strCache>
                <c:ptCount val="1"/>
                <c:pt idx="0">
                  <c:v>C7H8</c:v>
                </c:pt>
              </c:strCache>
            </c:strRef>
          </c:tx>
          <c:spPr>
            <a:ln w="19050" cap="rnd">
              <a:solidFill>
                <a:srgbClr val="F4EE00"/>
              </a:solidFill>
              <a:round/>
            </a:ln>
            <a:effectLst/>
          </c:spPr>
          <c:marker>
            <c:symbol val="none"/>
          </c:marker>
          <c:xVal>
            <c:numRef>
              <c:f>'[30%conv,700C.CSV.xlsx]Vary F_U'!$A$4:$A$55</c:f>
              <c:numCache>
                <c:formatCode>General</c:formatCode>
                <c:ptCount val="52"/>
                <c:pt idx="0">
                  <c:v>55</c:v>
                </c:pt>
                <c:pt idx="1">
                  <c:v>54</c:v>
                </c:pt>
                <c:pt idx="2">
                  <c:v>53</c:v>
                </c:pt>
                <c:pt idx="3">
                  <c:v>52</c:v>
                </c:pt>
                <c:pt idx="4">
                  <c:v>51</c:v>
                </c:pt>
                <c:pt idx="5">
                  <c:v>50</c:v>
                </c:pt>
                <c:pt idx="6">
                  <c:v>49</c:v>
                </c:pt>
                <c:pt idx="7">
                  <c:v>48</c:v>
                </c:pt>
                <c:pt idx="8">
                  <c:v>47</c:v>
                </c:pt>
                <c:pt idx="9">
                  <c:v>46</c:v>
                </c:pt>
                <c:pt idx="10">
                  <c:v>45</c:v>
                </c:pt>
                <c:pt idx="11">
                  <c:v>44</c:v>
                </c:pt>
                <c:pt idx="12">
                  <c:v>43</c:v>
                </c:pt>
                <c:pt idx="13">
                  <c:v>42</c:v>
                </c:pt>
                <c:pt idx="14">
                  <c:v>41</c:v>
                </c:pt>
                <c:pt idx="15">
                  <c:v>40</c:v>
                </c:pt>
                <c:pt idx="16">
                  <c:v>39</c:v>
                </c:pt>
                <c:pt idx="17">
                  <c:v>38</c:v>
                </c:pt>
                <c:pt idx="18">
                  <c:v>37</c:v>
                </c:pt>
                <c:pt idx="19">
                  <c:v>36</c:v>
                </c:pt>
                <c:pt idx="20">
                  <c:v>35</c:v>
                </c:pt>
                <c:pt idx="21">
                  <c:v>34</c:v>
                </c:pt>
                <c:pt idx="22">
                  <c:v>33</c:v>
                </c:pt>
                <c:pt idx="23">
                  <c:v>32</c:v>
                </c:pt>
                <c:pt idx="24">
                  <c:v>31</c:v>
                </c:pt>
                <c:pt idx="25">
                  <c:v>30</c:v>
                </c:pt>
                <c:pt idx="26">
                  <c:v>29</c:v>
                </c:pt>
                <c:pt idx="27">
                  <c:v>28</c:v>
                </c:pt>
                <c:pt idx="28">
                  <c:v>27</c:v>
                </c:pt>
                <c:pt idx="29">
                  <c:v>26</c:v>
                </c:pt>
                <c:pt idx="30">
                  <c:v>25</c:v>
                </c:pt>
                <c:pt idx="31">
                  <c:v>24</c:v>
                </c:pt>
                <c:pt idx="32">
                  <c:v>23</c:v>
                </c:pt>
                <c:pt idx="33">
                  <c:v>22</c:v>
                </c:pt>
                <c:pt idx="34">
                  <c:v>21</c:v>
                </c:pt>
                <c:pt idx="35">
                  <c:v>20</c:v>
                </c:pt>
                <c:pt idx="36">
                  <c:v>19</c:v>
                </c:pt>
                <c:pt idx="37">
                  <c:v>18</c:v>
                </c:pt>
                <c:pt idx="38">
                  <c:v>17</c:v>
                </c:pt>
                <c:pt idx="39">
                  <c:v>16</c:v>
                </c:pt>
                <c:pt idx="40">
                  <c:v>15</c:v>
                </c:pt>
                <c:pt idx="41">
                  <c:v>14</c:v>
                </c:pt>
                <c:pt idx="42">
                  <c:v>13</c:v>
                </c:pt>
                <c:pt idx="43">
                  <c:v>12</c:v>
                </c:pt>
                <c:pt idx="44">
                  <c:v>11</c:v>
                </c:pt>
                <c:pt idx="45">
                  <c:v>10</c:v>
                </c:pt>
                <c:pt idx="46">
                  <c:v>9</c:v>
                </c:pt>
                <c:pt idx="47">
                  <c:v>8</c:v>
                </c:pt>
                <c:pt idx="48">
                  <c:v>7</c:v>
                </c:pt>
                <c:pt idx="49">
                  <c:v>6</c:v>
                </c:pt>
                <c:pt idx="50">
                  <c:v>5</c:v>
                </c:pt>
                <c:pt idx="51">
                  <c:v>4</c:v>
                </c:pt>
              </c:numCache>
            </c:numRef>
          </c:xVal>
          <c:yVal>
            <c:numRef>
              <c:f>'[30%conv,700C.CSV.xlsx]Vary F_U'!$G$4:$G$55</c:f>
              <c:numCache>
                <c:formatCode>General</c:formatCode>
                <c:ptCount val="52"/>
                <c:pt idx="0">
                  <c:v>33.090000000000003</c:v>
                </c:pt>
                <c:pt idx="1">
                  <c:v>30.18</c:v>
                </c:pt>
                <c:pt idx="2">
                  <c:v>27.53</c:v>
                </c:pt>
                <c:pt idx="3">
                  <c:v>25.14</c:v>
                </c:pt>
                <c:pt idx="4">
                  <c:v>23.01</c:v>
                </c:pt>
                <c:pt idx="5">
                  <c:v>21.11</c:v>
                </c:pt>
                <c:pt idx="6">
                  <c:v>19.43</c:v>
                </c:pt>
                <c:pt idx="7">
                  <c:v>17.95</c:v>
                </c:pt>
                <c:pt idx="8">
                  <c:v>16.649999999999999</c:v>
                </c:pt>
                <c:pt idx="9">
                  <c:v>15.5</c:v>
                </c:pt>
                <c:pt idx="10">
                  <c:v>14.49</c:v>
                </c:pt>
                <c:pt idx="11">
                  <c:v>13.59</c:v>
                </c:pt>
                <c:pt idx="12">
                  <c:v>12.8</c:v>
                </c:pt>
                <c:pt idx="13">
                  <c:v>12.09</c:v>
                </c:pt>
                <c:pt idx="14">
                  <c:v>11.45</c:v>
                </c:pt>
                <c:pt idx="15">
                  <c:v>10.88</c:v>
                </c:pt>
                <c:pt idx="16">
                  <c:v>10.37</c:v>
                </c:pt>
                <c:pt idx="17">
                  <c:v>9.8979999999999997</c:v>
                </c:pt>
                <c:pt idx="18">
                  <c:v>9.4689999999999994</c:v>
                </c:pt>
                <c:pt idx="19">
                  <c:v>9.0749999999999993</c:v>
                </c:pt>
                <c:pt idx="20">
                  <c:v>8.7100000000000009</c:v>
                </c:pt>
                <c:pt idx="21">
                  <c:v>8.3699999999999992</c:v>
                </c:pt>
                <c:pt idx="22">
                  <c:v>8.0519999999999996</c:v>
                </c:pt>
                <c:pt idx="23">
                  <c:v>7.7510000000000003</c:v>
                </c:pt>
                <c:pt idx="24">
                  <c:v>7.4649999999999999</c:v>
                </c:pt>
                <c:pt idx="25">
                  <c:v>7.19</c:v>
                </c:pt>
                <c:pt idx="26">
                  <c:v>6.9260000000000002</c:v>
                </c:pt>
                <c:pt idx="27">
                  <c:v>6.6680000000000001</c:v>
                </c:pt>
                <c:pt idx="28">
                  <c:v>6.415</c:v>
                </c:pt>
                <c:pt idx="29">
                  <c:v>6.165</c:v>
                </c:pt>
                <c:pt idx="30">
                  <c:v>5.9160000000000004</c:v>
                </c:pt>
                <c:pt idx="31">
                  <c:v>5.6660000000000004</c:v>
                </c:pt>
                <c:pt idx="32">
                  <c:v>5.4130000000000003</c:v>
                </c:pt>
                <c:pt idx="33">
                  <c:v>5.1550000000000002</c:v>
                </c:pt>
                <c:pt idx="34" formatCode="0.00E+00">
                  <c:v>4.891</c:v>
                </c:pt>
                <c:pt idx="35">
                  <c:v>4.6180000000000003</c:v>
                </c:pt>
                <c:pt idx="36">
                  <c:v>4.3360000000000003</c:v>
                </c:pt>
                <c:pt idx="37">
                  <c:v>4.0419999999999998</c:v>
                </c:pt>
                <c:pt idx="38">
                  <c:v>3.7349999999999999</c:v>
                </c:pt>
                <c:pt idx="39">
                  <c:v>3.4159999999999999</c:v>
                </c:pt>
                <c:pt idx="40">
                  <c:v>3.0819999999999999</c:v>
                </c:pt>
                <c:pt idx="41">
                  <c:v>2.734</c:v>
                </c:pt>
                <c:pt idx="42">
                  <c:v>2.3740000000000001</c:v>
                </c:pt>
                <c:pt idx="43">
                  <c:v>2.0030000000000001</c:v>
                </c:pt>
                <c:pt idx="44">
                  <c:v>1.6279999999999999</c:v>
                </c:pt>
                <c:pt idx="45">
                  <c:v>1.256</c:v>
                </c:pt>
                <c:pt idx="46">
                  <c:v>0.89959999999999996</c:v>
                </c:pt>
                <c:pt idx="47">
                  <c:v>0.57750000000000001</c:v>
                </c:pt>
                <c:pt idx="48">
                  <c:v>0.313</c:v>
                </c:pt>
                <c:pt idx="49">
                  <c:v>0.129</c:v>
                </c:pt>
                <c:pt idx="50">
                  <c:v>3.3210000000000003E-2</c:v>
                </c:pt>
                <c:pt idx="51">
                  <c:v>3.3540000000000002E-3</c:v>
                </c:pt>
              </c:numCache>
            </c:numRef>
          </c:yVal>
          <c:smooth val="1"/>
          <c:extLst>
            <c:ext xmlns:c16="http://schemas.microsoft.com/office/drawing/2014/chart" uri="{C3380CC4-5D6E-409C-BE32-E72D297353CC}">
              <c16:uniqueId val="{00000002-D35B-43C9-A8B0-B919345C5EC7}"/>
            </c:ext>
          </c:extLst>
        </c:ser>
        <c:ser>
          <c:idx val="5"/>
          <c:order val="3"/>
          <c:tx>
            <c:strRef>
              <c:f>'[30%conv,700C.CSV.xlsx]Vary F_U'!$J$3</c:f>
              <c:strCache>
                <c:ptCount val="1"/>
                <c:pt idx="0">
                  <c:v>Emissions</c:v>
                </c:pt>
              </c:strCache>
            </c:strRef>
          </c:tx>
          <c:spPr>
            <a:ln w="19050" cap="rnd">
              <a:solidFill>
                <a:schemeClr val="tx2"/>
              </a:solidFill>
              <a:round/>
            </a:ln>
            <a:effectLst/>
          </c:spPr>
          <c:marker>
            <c:symbol val="none"/>
          </c:marker>
          <c:xVal>
            <c:numRef>
              <c:f>'[30%conv,700C.CSV.xlsx]Vary F_U'!$A$4:$A$55</c:f>
              <c:numCache>
                <c:formatCode>General</c:formatCode>
                <c:ptCount val="52"/>
                <c:pt idx="0">
                  <c:v>55</c:v>
                </c:pt>
                <c:pt idx="1">
                  <c:v>54</c:v>
                </c:pt>
                <c:pt idx="2">
                  <c:v>53</c:v>
                </c:pt>
                <c:pt idx="3">
                  <c:v>52</c:v>
                </c:pt>
                <c:pt idx="4">
                  <c:v>51</c:v>
                </c:pt>
                <c:pt idx="5">
                  <c:v>50</c:v>
                </c:pt>
                <c:pt idx="6">
                  <c:v>49</c:v>
                </c:pt>
                <c:pt idx="7">
                  <c:v>48</c:v>
                </c:pt>
                <c:pt idx="8">
                  <c:v>47</c:v>
                </c:pt>
                <c:pt idx="9">
                  <c:v>46</c:v>
                </c:pt>
                <c:pt idx="10">
                  <c:v>45</c:v>
                </c:pt>
                <c:pt idx="11">
                  <c:v>44</c:v>
                </c:pt>
                <c:pt idx="12">
                  <c:v>43</c:v>
                </c:pt>
                <c:pt idx="13">
                  <c:v>42</c:v>
                </c:pt>
                <c:pt idx="14">
                  <c:v>41</c:v>
                </c:pt>
                <c:pt idx="15">
                  <c:v>40</c:v>
                </c:pt>
                <c:pt idx="16">
                  <c:v>39</c:v>
                </c:pt>
                <c:pt idx="17">
                  <c:v>38</c:v>
                </c:pt>
                <c:pt idx="18">
                  <c:v>37</c:v>
                </c:pt>
                <c:pt idx="19">
                  <c:v>36</c:v>
                </c:pt>
                <c:pt idx="20">
                  <c:v>35</c:v>
                </c:pt>
                <c:pt idx="21">
                  <c:v>34</c:v>
                </c:pt>
                <c:pt idx="22">
                  <c:v>33</c:v>
                </c:pt>
                <c:pt idx="23">
                  <c:v>32</c:v>
                </c:pt>
                <c:pt idx="24">
                  <c:v>31</c:v>
                </c:pt>
                <c:pt idx="25">
                  <c:v>30</c:v>
                </c:pt>
                <c:pt idx="26">
                  <c:v>29</c:v>
                </c:pt>
                <c:pt idx="27">
                  <c:v>28</c:v>
                </c:pt>
                <c:pt idx="28">
                  <c:v>27</c:v>
                </c:pt>
                <c:pt idx="29">
                  <c:v>26</c:v>
                </c:pt>
                <c:pt idx="30">
                  <c:v>25</c:v>
                </c:pt>
                <c:pt idx="31">
                  <c:v>24</c:v>
                </c:pt>
                <c:pt idx="32">
                  <c:v>23</c:v>
                </c:pt>
                <c:pt idx="33">
                  <c:v>22</c:v>
                </c:pt>
                <c:pt idx="34">
                  <c:v>21</c:v>
                </c:pt>
                <c:pt idx="35">
                  <c:v>20</c:v>
                </c:pt>
                <c:pt idx="36">
                  <c:v>19</c:v>
                </c:pt>
                <c:pt idx="37">
                  <c:v>18</c:v>
                </c:pt>
                <c:pt idx="38">
                  <c:v>17</c:v>
                </c:pt>
                <c:pt idx="39">
                  <c:v>16</c:v>
                </c:pt>
                <c:pt idx="40">
                  <c:v>15</c:v>
                </c:pt>
                <c:pt idx="41">
                  <c:v>14</c:v>
                </c:pt>
                <c:pt idx="42">
                  <c:v>13</c:v>
                </c:pt>
                <c:pt idx="43">
                  <c:v>12</c:v>
                </c:pt>
                <c:pt idx="44">
                  <c:v>11</c:v>
                </c:pt>
                <c:pt idx="45">
                  <c:v>10</c:v>
                </c:pt>
                <c:pt idx="46">
                  <c:v>9</c:v>
                </c:pt>
                <c:pt idx="47">
                  <c:v>8</c:v>
                </c:pt>
                <c:pt idx="48">
                  <c:v>7</c:v>
                </c:pt>
                <c:pt idx="49">
                  <c:v>6</c:v>
                </c:pt>
                <c:pt idx="50">
                  <c:v>5</c:v>
                </c:pt>
                <c:pt idx="51">
                  <c:v>4</c:v>
                </c:pt>
              </c:numCache>
            </c:numRef>
          </c:xVal>
          <c:yVal>
            <c:numRef>
              <c:f>'[30%conv,700C.CSV.xlsx]Vary F_U'!$J$4:$J$55</c:f>
              <c:numCache>
                <c:formatCode>General</c:formatCode>
                <c:ptCount val="52"/>
                <c:pt idx="0">
                  <c:v>13.872</c:v>
                </c:pt>
                <c:pt idx="1">
                  <c:v>13.998999999999999</c:v>
                </c:pt>
                <c:pt idx="2">
                  <c:v>14.128</c:v>
                </c:pt>
                <c:pt idx="3">
                  <c:v>14.257000000000001</c:v>
                </c:pt>
                <c:pt idx="4">
                  <c:v>14.387</c:v>
                </c:pt>
                <c:pt idx="5">
                  <c:v>14.518000000000001</c:v>
                </c:pt>
                <c:pt idx="6">
                  <c:v>14.649000000000001</c:v>
                </c:pt>
                <c:pt idx="7">
                  <c:v>14.782</c:v>
                </c:pt>
                <c:pt idx="8">
                  <c:v>14.917</c:v>
                </c:pt>
                <c:pt idx="9">
                  <c:v>15.055</c:v>
                </c:pt>
                <c:pt idx="10">
                  <c:v>15.195</c:v>
                </c:pt>
                <c:pt idx="11">
                  <c:v>15.339</c:v>
                </c:pt>
                <c:pt idx="12">
                  <c:v>15.488</c:v>
                </c:pt>
                <c:pt idx="13">
                  <c:v>15.638999999999999</c:v>
                </c:pt>
                <c:pt idx="14">
                  <c:v>15.795999999999999</c:v>
                </c:pt>
                <c:pt idx="15">
                  <c:v>15.959</c:v>
                </c:pt>
                <c:pt idx="16">
                  <c:v>16.129000000000001</c:v>
                </c:pt>
                <c:pt idx="17">
                  <c:v>16.304000000000002</c:v>
                </c:pt>
                <c:pt idx="18">
                  <c:v>16.486999999999998</c:v>
                </c:pt>
                <c:pt idx="19">
                  <c:v>16.678000000000001</c:v>
                </c:pt>
                <c:pt idx="20">
                  <c:v>16.879000000000001</c:v>
                </c:pt>
                <c:pt idx="21">
                  <c:v>17.088999999999999</c:v>
                </c:pt>
                <c:pt idx="22">
                  <c:v>17.309999999999999</c:v>
                </c:pt>
                <c:pt idx="23">
                  <c:v>17.542999999999999</c:v>
                </c:pt>
                <c:pt idx="24">
                  <c:v>17.789000000000001</c:v>
                </c:pt>
                <c:pt idx="25">
                  <c:v>18.049999999999997</c:v>
                </c:pt>
                <c:pt idx="26">
                  <c:v>18.328000000000003</c:v>
                </c:pt>
                <c:pt idx="27">
                  <c:v>18.622999999999998</c:v>
                </c:pt>
                <c:pt idx="28">
                  <c:v>18.939999999999998</c:v>
                </c:pt>
                <c:pt idx="29">
                  <c:v>19.277999999999999</c:v>
                </c:pt>
                <c:pt idx="30">
                  <c:v>19.642000000000003</c:v>
                </c:pt>
                <c:pt idx="31">
                  <c:v>20.033000000000001</c:v>
                </c:pt>
                <c:pt idx="32">
                  <c:v>20.462</c:v>
                </c:pt>
                <c:pt idx="33">
                  <c:v>20.919</c:v>
                </c:pt>
                <c:pt idx="34">
                  <c:v>21.423999999999999</c:v>
                </c:pt>
                <c:pt idx="35">
                  <c:v>21.975999999999999</c:v>
                </c:pt>
                <c:pt idx="36">
                  <c:v>22.594000000000001</c:v>
                </c:pt>
                <c:pt idx="37">
                  <c:v>23.268000000000001</c:v>
                </c:pt>
                <c:pt idx="38">
                  <c:v>24.018000000000001</c:v>
                </c:pt>
                <c:pt idx="39">
                  <c:v>24.862000000000002</c:v>
                </c:pt>
                <c:pt idx="40">
                  <c:v>25.82</c:v>
                </c:pt>
                <c:pt idx="41">
                  <c:v>26.911000000000001</c:v>
                </c:pt>
                <c:pt idx="42">
                  <c:v>28.172000000000001</c:v>
                </c:pt>
                <c:pt idx="43">
                  <c:v>29.640999999999998</c:v>
                </c:pt>
                <c:pt idx="44">
                  <c:v>31.364999999999998</c:v>
                </c:pt>
                <c:pt idx="45">
                  <c:v>33.44</c:v>
                </c:pt>
                <c:pt idx="46">
                  <c:v>35.968999999999994</c:v>
                </c:pt>
                <c:pt idx="47">
                  <c:v>39.120999999999995</c:v>
                </c:pt>
                <c:pt idx="48">
                  <c:v>43.173000000000002</c:v>
                </c:pt>
                <c:pt idx="49">
                  <c:v>48.566000000000003</c:v>
                </c:pt>
                <c:pt idx="50">
                  <c:v>56.115000000000002</c:v>
                </c:pt>
                <c:pt idx="51">
                  <c:v>67.400000000000006</c:v>
                </c:pt>
              </c:numCache>
            </c:numRef>
          </c:yVal>
          <c:smooth val="1"/>
          <c:extLst>
            <c:ext xmlns:c16="http://schemas.microsoft.com/office/drawing/2014/chart" uri="{C3380CC4-5D6E-409C-BE32-E72D297353CC}">
              <c16:uniqueId val="{00000003-D35B-43C9-A8B0-B919345C5EC7}"/>
            </c:ext>
          </c:extLst>
        </c:ser>
        <c:ser>
          <c:idx val="3"/>
          <c:order val="4"/>
          <c:tx>
            <c:strRef>
              <c:f>'[30%conv,700C.CSV.xlsx]Vary F_U'!$K$3</c:f>
              <c:strCache>
                <c:ptCount val="1"/>
                <c:pt idx="0">
                  <c:v>Total Aromatics</c:v>
                </c:pt>
              </c:strCache>
            </c:strRef>
          </c:tx>
          <c:spPr>
            <a:ln w="19050" cap="rnd">
              <a:solidFill>
                <a:srgbClr val="FFC000"/>
              </a:solidFill>
              <a:round/>
            </a:ln>
            <a:effectLst/>
          </c:spPr>
          <c:marker>
            <c:symbol val="none"/>
          </c:marker>
          <c:xVal>
            <c:numRef>
              <c:f>'[30%conv,700C.CSV.xlsx]Vary F_U'!$A$4:$A$55</c:f>
              <c:numCache>
                <c:formatCode>General</c:formatCode>
                <c:ptCount val="52"/>
                <c:pt idx="0">
                  <c:v>55</c:v>
                </c:pt>
                <c:pt idx="1">
                  <c:v>54</c:v>
                </c:pt>
                <c:pt idx="2">
                  <c:v>53</c:v>
                </c:pt>
                <c:pt idx="3">
                  <c:v>52</c:v>
                </c:pt>
                <c:pt idx="4">
                  <c:v>51</c:v>
                </c:pt>
                <c:pt idx="5">
                  <c:v>50</c:v>
                </c:pt>
                <c:pt idx="6">
                  <c:v>49</c:v>
                </c:pt>
                <c:pt idx="7">
                  <c:v>48</c:v>
                </c:pt>
                <c:pt idx="8">
                  <c:v>47</c:v>
                </c:pt>
                <c:pt idx="9">
                  <c:v>46</c:v>
                </c:pt>
                <c:pt idx="10">
                  <c:v>45</c:v>
                </c:pt>
                <c:pt idx="11">
                  <c:v>44</c:v>
                </c:pt>
                <c:pt idx="12">
                  <c:v>43</c:v>
                </c:pt>
                <c:pt idx="13">
                  <c:v>42</c:v>
                </c:pt>
                <c:pt idx="14">
                  <c:v>41</c:v>
                </c:pt>
                <c:pt idx="15">
                  <c:v>40</c:v>
                </c:pt>
                <c:pt idx="16">
                  <c:v>39</c:v>
                </c:pt>
                <c:pt idx="17">
                  <c:v>38</c:v>
                </c:pt>
                <c:pt idx="18">
                  <c:v>37</c:v>
                </c:pt>
                <c:pt idx="19">
                  <c:v>36</c:v>
                </c:pt>
                <c:pt idx="20">
                  <c:v>35</c:v>
                </c:pt>
                <c:pt idx="21">
                  <c:v>34</c:v>
                </c:pt>
                <c:pt idx="22">
                  <c:v>33</c:v>
                </c:pt>
                <c:pt idx="23">
                  <c:v>32</c:v>
                </c:pt>
                <c:pt idx="24">
                  <c:v>31</c:v>
                </c:pt>
                <c:pt idx="25">
                  <c:v>30</c:v>
                </c:pt>
                <c:pt idx="26">
                  <c:v>29</c:v>
                </c:pt>
                <c:pt idx="27">
                  <c:v>28</c:v>
                </c:pt>
                <c:pt idx="28">
                  <c:v>27</c:v>
                </c:pt>
                <c:pt idx="29">
                  <c:v>26</c:v>
                </c:pt>
                <c:pt idx="30">
                  <c:v>25</c:v>
                </c:pt>
                <c:pt idx="31">
                  <c:v>24</c:v>
                </c:pt>
                <c:pt idx="32">
                  <c:v>23</c:v>
                </c:pt>
                <c:pt idx="33">
                  <c:v>22</c:v>
                </c:pt>
                <c:pt idx="34">
                  <c:v>21</c:v>
                </c:pt>
                <c:pt idx="35">
                  <c:v>20</c:v>
                </c:pt>
                <c:pt idx="36">
                  <c:v>19</c:v>
                </c:pt>
                <c:pt idx="37">
                  <c:v>18</c:v>
                </c:pt>
                <c:pt idx="38">
                  <c:v>17</c:v>
                </c:pt>
                <c:pt idx="39">
                  <c:v>16</c:v>
                </c:pt>
                <c:pt idx="40">
                  <c:v>15</c:v>
                </c:pt>
                <c:pt idx="41">
                  <c:v>14</c:v>
                </c:pt>
                <c:pt idx="42">
                  <c:v>13</c:v>
                </c:pt>
                <c:pt idx="43">
                  <c:v>12</c:v>
                </c:pt>
                <c:pt idx="44">
                  <c:v>11</c:v>
                </c:pt>
                <c:pt idx="45">
                  <c:v>10</c:v>
                </c:pt>
                <c:pt idx="46">
                  <c:v>9</c:v>
                </c:pt>
                <c:pt idx="47">
                  <c:v>8</c:v>
                </c:pt>
                <c:pt idx="48">
                  <c:v>7</c:v>
                </c:pt>
                <c:pt idx="49">
                  <c:v>6</c:v>
                </c:pt>
                <c:pt idx="50">
                  <c:v>5</c:v>
                </c:pt>
                <c:pt idx="51">
                  <c:v>4</c:v>
                </c:pt>
              </c:numCache>
            </c:numRef>
          </c:xVal>
          <c:yVal>
            <c:numRef>
              <c:f>'[30%conv,700C.CSV.xlsx]Vary F_U'!$K$4:$K$55</c:f>
              <c:numCache>
                <c:formatCode>General</c:formatCode>
                <c:ptCount val="52"/>
                <c:pt idx="0">
                  <c:v>83.06</c:v>
                </c:pt>
                <c:pt idx="1">
                  <c:v>82.82</c:v>
                </c:pt>
                <c:pt idx="2">
                  <c:v>82.57</c:v>
                </c:pt>
                <c:pt idx="3">
                  <c:v>82.32</c:v>
                </c:pt>
                <c:pt idx="4">
                  <c:v>82.070000000000007</c:v>
                </c:pt>
                <c:pt idx="5">
                  <c:v>81.8</c:v>
                </c:pt>
                <c:pt idx="6">
                  <c:v>81.53</c:v>
                </c:pt>
                <c:pt idx="7">
                  <c:v>81.25</c:v>
                </c:pt>
                <c:pt idx="8">
                  <c:v>80.97</c:v>
                </c:pt>
                <c:pt idx="9">
                  <c:v>80.67</c:v>
                </c:pt>
                <c:pt idx="10">
                  <c:v>80.36999999999999</c:v>
                </c:pt>
                <c:pt idx="11">
                  <c:v>80.05</c:v>
                </c:pt>
                <c:pt idx="12">
                  <c:v>79.73</c:v>
                </c:pt>
                <c:pt idx="13">
                  <c:v>79.39</c:v>
                </c:pt>
                <c:pt idx="14">
                  <c:v>79.03</c:v>
                </c:pt>
                <c:pt idx="15">
                  <c:v>78.66</c:v>
                </c:pt>
                <c:pt idx="16">
                  <c:v>78.28</c:v>
                </c:pt>
                <c:pt idx="17">
                  <c:v>77.867999999999995</c:v>
                </c:pt>
                <c:pt idx="18">
                  <c:v>77.448999999999998</c:v>
                </c:pt>
                <c:pt idx="19">
                  <c:v>77.00500000000001</c:v>
                </c:pt>
                <c:pt idx="20">
                  <c:v>76.53</c:v>
                </c:pt>
                <c:pt idx="21">
                  <c:v>76.040000000000006</c:v>
                </c:pt>
                <c:pt idx="22">
                  <c:v>75.512</c:v>
                </c:pt>
                <c:pt idx="23">
                  <c:v>74.960999999999999</c:v>
                </c:pt>
                <c:pt idx="24">
                  <c:v>74.375</c:v>
                </c:pt>
                <c:pt idx="25">
                  <c:v>73.75</c:v>
                </c:pt>
                <c:pt idx="26">
                  <c:v>73.085999999999999</c:v>
                </c:pt>
                <c:pt idx="27">
                  <c:v>72.378</c:v>
                </c:pt>
                <c:pt idx="28">
                  <c:v>71.615000000000009</c:v>
                </c:pt>
                <c:pt idx="29">
                  <c:v>70.795000000000002</c:v>
                </c:pt>
                <c:pt idx="30">
                  <c:v>69.915999999999997</c:v>
                </c:pt>
                <c:pt idx="31">
                  <c:v>68.956000000000003</c:v>
                </c:pt>
                <c:pt idx="32">
                  <c:v>67.923000000000002</c:v>
                </c:pt>
                <c:pt idx="33">
                  <c:v>66.804999999999993</c:v>
                </c:pt>
                <c:pt idx="34">
                  <c:v>65.570999999999998</c:v>
                </c:pt>
                <c:pt idx="35">
                  <c:v>64.218000000000004</c:v>
                </c:pt>
                <c:pt idx="36">
                  <c:v>62.725999999999999</c:v>
                </c:pt>
                <c:pt idx="37">
                  <c:v>61.072000000000003</c:v>
                </c:pt>
                <c:pt idx="38">
                  <c:v>59.214999999999996</c:v>
                </c:pt>
                <c:pt idx="39">
                  <c:v>57.145999999999994</c:v>
                </c:pt>
                <c:pt idx="40">
                  <c:v>54.792000000000002</c:v>
                </c:pt>
                <c:pt idx="41">
                  <c:v>52.124000000000002</c:v>
                </c:pt>
                <c:pt idx="42">
                  <c:v>49.044000000000004</c:v>
                </c:pt>
                <c:pt idx="43">
                  <c:v>45.472999999999999</c:v>
                </c:pt>
                <c:pt idx="44">
                  <c:v>41.308</c:v>
                </c:pt>
                <c:pt idx="45">
                  <c:v>36.396000000000001</c:v>
                </c:pt>
                <c:pt idx="46">
                  <c:v>30.619599999999998</c:v>
                </c:pt>
                <c:pt idx="47">
                  <c:v>23.9175</c:v>
                </c:pt>
                <c:pt idx="48">
                  <c:v>16.492999999999999</c:v>
                </c:pt>
                <c:pt idx="49">
                  <c:v>9.15</c:v>
                </c:pt>
                <c:pt idx="50">
                  <c:v>3.42421</c:v>
                </c:pt>
                <c:pt idx="51">
                  <c:v>0.58635399999999993</c:v>
                </c:pt>
              </c:numCache>
            </c:numRef>
          </c:yVal>
          <c:smooth val="1"/>
          <c:extLst>
            <c:ext xmlns:c16="http://schemas.microsoft.com/office/drawing/2014/chart" uri="{C3380CC4-5D6E-409C-BE32-E72D297353CC}">
              <c16:uniqueId val="{00000004-D35B-43C9-A8B0-B919345C5EC7}"/>
            </c:ext>
          </c:extLst>
        </c:ser>
        <c:dLbls>
          <c:showLegendKey val="0"/>
          <c:showVal val="0"/>
          <c:showCatName val="0"/>
          <c:showSerName val="0"/>
          <c:showPercent val="0"/>
          <c:showBubbleSize val="0"/>
        </c:dLbls>
        <c:axId val="738858191"/>
        <c:axId val="738859631"/>
      </c:scatterChart>
      <c:valAx>
        <c:axId val="738858191"/>
        <c:scaling>
          <c:orientation val="minMax"/>
          <c:max val="56"/>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Fuel Utilization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8859631"/>
        <c:crosses val="autoZero"/>
        <c:crossBetween val="midCat"/>
      </c:valAx>
      <c:valAx>
        <c:axId val="738859631"/>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Selectivity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8858191"/>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a:t>
            </a:r>
          </a:p>
        </c:rich>
      </c:tx>
      <c:layout>
        <c:manualLayout>
          <c:xMode val="edge"/>
          <c:yMode val="edge"/>
          <c:x val="3.8642288358023301E-3"/>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0823132701632635"/>
          <c:y val="8.2394801456269581E-2"/>
          <c:w val="0.76786908856609526"/>
          <c:h val="0.55938235543137749"/>
        </c:manualLayout>
      </c:layout>
      <c:scatterChart>
        <c:scatterStyle val="smoothMarker"/>
        <c:varyColors val="0"/>
        <c:ser>
          <c:idx val="0"/>
          <c:order val="0"/>
          <c:tx>
            <c:strRef>
              <c:f>'[1L-gcat-h - Parametric Study.xlsx]Temp'!$B$1</c:f>
              <c:strCache>
                <c:ptCount val="1"/>
                <c:pt idx="0">
                  <c:v>Air</c:v>
                </c:pt>
              </c:strCache>
            </c:strRef>
          </c:tx>
          <c:spPr>
            <a:ln w="28575" cap="rnd">
              <a:solidFill>
                <a:schemeClr val="accent1"/>
              </a:solidFill>
              <a:round/>
            </a:ln>
            <a:effectLst/>
          </c:spPr>
          <c:marker>
            <c:symbol val="none"/>
          </c:marker>
          <c:xVal>
            <c:numRef>
              <c:f>'[1L-gcat-h - Parametric Study.xlsx]Temp'!$A$2:$A$22</c:f>
              <c:numCache>
                <c:formatCode>General</c:formatCod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xVal>
          <c:yVal>
            <c:numRef>
              <c:f>'[1L-gcat-h - Parametric Study.xlsx]Temp'!$B$2:$B$22</c:f>
              <c:numCache>
                <c:formatCode>General</c:formatCode>
                <c:ptCount val="21"/>
                <c:pt idx="0">
                  <c:v>710.05000000000007</c:v>
                </c:pt>
                <c:pt idx="1">
                  <c:v>710.35</c:v>
                </c:pt>
                <c:pt idx="2">
                  <c:v>710.35</c:v>
                </c:pt>
                <c:pt idx="3">
                  <c:v>710.35</c:v>
                </c:pt>
                <c:pt idx="4">
                  <c:v>710.35</c:v>
                </c:pt>
                <c:pt idx="5">
                  <c:v>710.25</c:v>
                </c:pt>
                <c:pt idx="6">
                  <c:v>710.25</c:v>
                </c:pt>
                <c:pt idx="7">
                  <c:v>710.25</c:v>
                </c:pt>
                <c:pt idx="8">
                  <c:v>710.25</c:v>
                </c:pt>
                <c:pt idx="9">
                  <c:v>710.25</c:v>
                </c:pt>
                <c:pt idx="10">
                  <c:v>710.25</c:v>
                </c:pt>
                <c:pt idx="11">
                  <c:v>710.25</c:v>
                </c:pt>
                <c:pt idx="12">
                  <c:v>710.25</c:v>
                </c:pt>
                <c:pt idx="13">
                  <c:v>710.25</c:v>
                </c:pt>
                <c:pt idx="14">
                  <c:v>710.25</c:v>
                </c:pt>
                <c:pt idx="15">
                  <c:v>710.25</c:v>
                </c:pt>
                <c:pt idx="16">
                  <c:v>710.25</c:v>
                </c:pt>
                <c:pt idx="17">
                  <c:v>710.25</c:v>
                </c:pt>
                <c:pt idx="18">
                  <c:v>710.25</c:v>
                </c:pt>
                <c:pt idx="19">
                  <c:v>710.25</c:v>
                </c:pt>
                <c:pt idx="20">
                  <c:v>710.25</c:v>
                </c:pt>
              </c:numCache>
            </c:numRef>
          </c:yVal>
          <c:smooth val="1"/>
          <c:extLst>
            <c:ext xmlns:c16="http://schemas.microsoft.com/office/drawing/2014/chart" uri="{C3380CC4-5D6E-409C-BE32-E72D297353CC}">
              <c16:uniqueId val="{00000000-5F7C-427F-927C-0172699A50AB}"/>
            </c:ext>
          </c:extLst>
        </c:ser>
        <c:ser>
          <c:idx val="1"/>
          <c:order val="1"/>
          <c:tx>
            <c:strRef>
              <c:f>'[1L-gcat-h - Parametric Study.xlsx]Temp'!$C$1</c:f>
              <c:strCache>
                <c:ptCount val="1"/>
                <c:pt idx="0">
                  <c:v>Fuel</c:v>
                </c:pt>
              </c:strCache>
            </c:strRef>
          </c:tx>
          <c:spPr>
            <a:ln w="28575" cap="rnd">
              <a:solidFill>
                <a:schemeClr val="accent2"/>
              </a:solidFill>
              <a:round/>
            </a:ln>
            <a:effectLst/>
          </c:spPr>
          <c:marker>
            <c:symbol val="none"/>
          </c:marker>
          <c:xVal>
            <c:numRef>
              <c:f>'[1L-gcat-h - Parametric Study.xlsx]Temp'!$A$2:$A$22</c:f>
              <c:numCache>
                <c:formatCode>General</c:formatCod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xVal>
          <c:yVal>
            <c:numRef>
              <c:f>'[1L-gcat-h - Parametric Study.xlsx]Temp'!$C$2:$C$22</c:f>
              <c:numCache>
                <c:formatCode>General</c:formatCode>
                <c:ptCount val="21"/>
                <c:pt idx="0">
                  <c:v>710.05000000000007</c:v>
                </c:pt>
                <c:pt idx="1">
                  <c:v>733.85</c:v>
                </c:pt>
                <c:pt idx="2">
                  <c:v>715.45</c:v>
                </c:pt>
                <c:pt idx="3">
                  <c:v>711.25</c:v>
                </c:pt>
                <c:pt idx="4">
                  <c:v>710.35</c:v>
                </c:pt>
                <c:pt idx="5">
                  <c:v>710.25</c:v>
                </c:pt>
                <c:pt idx="6">
                  <c:v>710.25</c:v>
                </c:pt>
                <c:pt idx="7">
                  <c:v>710.25</c:v>
                </c:pt>
                <c:pt idx="8">
                  <c:v>710.25</c:v>
                </c:pt>
                <c:pt idx="9">
                  <c:v>710.25</c:v>
                </c:pt>
                <c:pt idx="10">
                  <c:v>710.25</c:v>
                </c:pt>
                <c:pt idx="11">
                  <c:v>710.25</c:v>
                </c:pt>
                <c:pt idx="12">
                  <c:v>710.25</c:v>
                </c:pt>
                <c:pt idx="13">
                  <c:v>710.25</c:v>
                </c:pt>
                <c:pt idx="14">
                  <c:v>710.25</c:v>
                </c:pt>
                <c:pt idx="15">
                  <c:v>710.25</c:v>
                </c:pt>
                <c:pt idx="16">
                  <c:v>710.25</c:v>
                </c:pt>
                <c:pt idx="17">
                  <c:v>710.25</c:v>
                </c:pt>
                <c:pt idx="18">
                  <c:v>710.25</c:v>
                </c:pt>
                <c:pt idx="19">
                  <c:v>710.25</c:v>
                </c:pt>
                <c:pt idx="20">
                  <c:v>710.25</c:v>
                </c:pt>
              </c:numCache>
            </c:numRef>
          </c:yVal>
          <c:smooth val="1"/>
          <c:extLst>
            <c:ext xmlns:c16="http://schemas.microsoft.com/office/drawing/2014/chart" uri="{C3380CC4-5D6E-409C-BE32-E72D297353CC}">
              <c16:uniqueId val="{00000001-5F7C-427F-927C-0172699A50AB}"/>
            </c:ext>
          </c:extLst>
        </c:ser>
        <c:ser>
          <c:idx val="2"/>
          <c:order val="2"/>
          <c:tx>
            <c:strRef>
              <c:f>'[1L-gcat-h - Parametric Study.xlsx]Temp'!$D$1</c:f>
              <c:strCache>
                <c:ptCount val="1"/>
                <c:pt idx="0">
                  <c:v>FDT</c:v>
                </c:pt>
              </c:strCache>
            </c:strRef>
          </c:tx>
          <c:spPr>
            <a:ln w="28575" cap="rnd">
              <a:solidFill>
                <a:schemeClr val="accent3"/>
              </a:solidFill>
              <a:round/>
            </a:ln>
            <a:effectLst/>
          </c:spPr>
          <c:marker>
            <c:symbol val="none"/>
          </c:marker>
          <c:xVal>
            <c:numRef>
              <c:f>'[1L-gcat-h - Parametric Study.xlsx]Temp'!$A$2:$A$22</c:f>
              <c:numCache>
                <c:formatCode>General</c:formatCod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xVal>
          <c:yVal>
            <c:numRef>
              <c:f>'[1L-gcat-h - Parametric Study.xlsx]Temp'!$D$2:$D$22</c:f>
              <c:numCache>
                <c:formatCode>General</c:formatCode>
                <c:ptCount val="21"/>
                <c:pt idx="0">
                  <c:v>710.05000000000007</c:v>
                </c:pt>
                <c:pt idx="1">
                  <c:v>710.05000000000007</c:v>
                </c:pt>
                <c:pt idx="2">
                  <c:v>710.05000000000007</c:v>
                </c:pt>
                <c:pt idx="3">
                  <c:v>710.05000000000007</c:v>
                </c:pt>
                <c:pt idx="4">
                  <c:v>710.05000000000007</c:v>
                </c:pt>
                <c:pt idx="5">
                  <c:v>710.05000000000007</c:v>
                </c:pt>
                <c:pt idx="6">
                  <c:v>710.15</c:v>
                </c:pt>
                <c:pt idx="7">
                  <c:v>710.15</c:v>
                </c:pt>
                <c:pt idx="8">
                  <c:v>710.15</c:v>
                </c:pt>
                <c:pt idx="9">
                  <c:v>710.15</c:v>
                </c:pt>
                <c:pt idx="10">
                  <c:v>710.15</c:v>
                </c:pt>
                <c:pt idx="11">
                  <c:v>710.15</c:v>
                </c:pt>
                <c:pt idx="12">
                  <c:v>710.15</c:v>
                </c:pt>
                <c:pt idx="13">
                  <c:v>710.15</c:v>
                </c:pt>
                <c:pt idx="14">
                  <c:v>710.15</c:v>
                </c:pt>
                <c:pt idx="15">
                  <c:v>710.15</c:v>
                </c:pt>
                <c:pt idx="16">
                  <c:v>710.15</c:v>
                </c:pt>
                <c:pt idx="17">
                  <c:v>710.15</c:v>
                </c:pt>
                <c:pt idx="18">
                  <c:v>710.15</c:v>
                </c:pt>
                <c:pt idx="19">
                  <c:v>710.15</c:v>
                </c:pt>
                <c:pt idx="20">
                  <c:v>710.15</c:v>
                </c:pt>
              </c:numCache>
            </c:numRef>
          </c:yVal>
          <c:smooth val="1"/>
          <c:extLst>
            <c:ext xmlns:c16="http://schemas.microsoft.com/office/drawing/2014/chart" uri="{C3380CC4-5D6E-409C-BE32-E72D297353CC}">
              <c16:uniqueId val="{00000002-5F7C-427F-927C-0172699A50AB}"/>
            </c:ext>
          </c:extLst>
        </c:ser>
        <c:ser>
          <c:idx val="3"/>
          <c:order val="3"/>
          <c:tx>
            <c:strRef>
              <c:f>'[1L-gcat-h - Parametric Study.xlsx]Temp'!$E$1</c:f>
              <c:strCache>
                <c:ptCount val="1"/>
                <c:pt idx="0">
                  <c:v>Interconnect</c:v>
                </c:pt>
              </c:strCache>
            </c:strRef>
          </c:tx>
          <c:spPr>
            <a:ln w="28575" cap="rnd">
              <a:solidFill>
                <a:schemeClr val="accent4"/>
              </a:solidFill>
              <a:round/>
            </a:ln>
            <a:effectLst/>
          </c:spPr>
          <c:marker>
            <c:symbol val="none"/>
          </c:marker>
          <c:xVal>
            <c:numRef>
              <c:f>'[1L-gcat-h - Parametric Study.xlsx]Temp'!$A$2:$A$22</c:f>
              <c:numCache>
                <c:formatCode>General</c:formatCod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xVal>
          <c:yVal>
            <c:numRef>
              <c:f>'[1L-gcat-h - Parametric Study.xlsx]Temp'!$E$2:$E$22</c:f>
              <c:numCache>
                <c:formatCode>General</c:formatCode>
                <c:ptCount val="21"/>
                <c:pt idx="0">
                  <c:v>710.05000000000007</c:v>
                </c:pt>
                <c:pt idx="1">
                  <c:v>710.35</c:v>
                </c:pt>
                <c:pt idx="2">
                  <c:v>710.35</c:v>
                </c:pt>
                <c:pt idx="3">
                  <c:v>710.35</c:v>
                </c:pt>
                <c:pt idx="4">
                  <c:v>710.25</c:v>
                </c:pt>
                <c:pt idx="5">
                  <c:v>710.25</c:v>
                </c:pt>
                <c:pt idx="6">
                  <c:v>710.25</c:v>
                </c:pt>
                <c:pt idx="7">
                  <c:v>710.25</c:v>
                </c:pt>
                <c:pt idx="8">
                  <c:v>710.25</c:v>
                </c:pt>
                <c:pt idx="9">
                  <c:v>710.25</c:v>
                </c:pt>
                <c:pt idx="10">
                  <c:v>710.25</c:v>
                </c:pt>
                <c:pt idx="11">
                  <c:v>710.25</c:v>
                </c:pt>
                <c:pt idx="12">
                  <c:v>710.25</c:v>
                </c:pt>
                <c:pt idx="13">
                  <c:v>710.25</c:v>
                </c:pt>
                <c:pt idx="14">
                  <c:v>710.25</c:v>
                </c:pt>
                <c:pt idx="15">
                  <c:v>710.25</c:v>
                </c:pt>
                <c:pt idx="16">
                  <c:v>710.25</c:v>
                </c:pt>
                <c:pt idx="17">
                  <c:v>710.25</c:v>
                </c:pt>
                <c:pt idx="18">
                  <c:v>710.25</c:v>
                </c:pt>
                <c:pt idx="19">
                  <c:v>710.25</c:v>
                </c:pt>
                <c:pt idx="20">
                  <c:v>710.25</c:v>
                </c:pt>
              </c:numCache>
            </c:numRef>
          </c:yVal>
          <c:smooth val="1"/>
          <c:extLst>
            <c:ext xmlns:c16="http://schemas.microsoft.com/office/drawing/2014/chart" uri="{C3380CC4-5D6E-409C-BE32-E72D297353CC}">
              <c16:uniqueId val="{00000003-5F7C-427F-927C-0172699A50AB}"/>
            </c:ext>
          </c:extLst>
        </c:ser>
        <c:ser>
          <c:idx val="5"/>
          <c:order val="4"/>
          <c:tx>
            <c:strRef>
              <c:f>'[1L-gcat-h - Parametric Study.xlsx]Temp'!$G$1</c:f>
              <c:strCache>
                <c:ptCount val="1"/>
                <c:pt idx="0">
                  <c:v>PEN</c:v>
                </c:pt>
              </c:strCache>
            </c:strRef>
          </c:tx>
          <c:spPr>
            <a:ln w="28575" cap="rnd">
              <a:solidFill>
                <a:schemeClr val="accent6"/>
              </a:solidFill>
              <a:round/>
            </a:ln>
            <a:effectLst/>
          </c:spPr>
          <c:marker>
            <c:symbol val="none"/>
          </c:marker>
          <c:xVal>
            <c:numRef>
              <c:f>'[1L-gcat-h - Parametric Study.xlsx]Temp'!$A$2:$A$22</c:f>
              <c:numCache>
                <c:formatCode>General</c:formatCod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xVal>
          <c:yVal>
            <c:numRef>
              <c:f>'[1L-gcat-h - Parametric Study.xlsx]Temp'!$G$2:$G$22</c:f>
              <c:numCache>
                <c:formatCode>General</c:formatCode>
                <c:ptCount val="21"/>
                <c:pt idx="0">
                  <c:v>710.05000000000007</c:v>
                </c:pt>
                <c:pt idx="1">
                  <c:v>710.75</c:v>
                </c:pt>
                <c:pt idx="2">
                  <c:v>710.45</c:v>
                </c:pt>
                <c:pt idx="3">
                  <c:v>710.35</c:v>
                </c:pt>
                <c:pt idx="4">
                  <c:v>710.25</c:v>
                </c:pt>
                <c:pt idx="5">
                  <c:v>710.25</c:v>
                </c:pt>
                <c:pt idx="6">
                  <c:v>710.25</c:v>
                </c:pt>
                <c:pt idx="7">
                  <c:v>710.25</c:v>
                </c:pt>
                <c:pt idx="8">
                  <c:v>710.25</c:v>
                </c:pt>
                <c:pt idx="9">
                  <c:v>710.25</c:v>
                </c:pt>
                <c:pt idx="10">
                  <c:v>710.25</c:v>
                </c:pt>
                <c:pt idx="11">
                  <c:v>710.25</c:v>
                </c:pt>
                <c:pt idx="12">
                  <c:v>710.25</c:v>
                </c:pt>
                <c:pt idx="13">
                  <c:v>710.25</c:v>
                </c:pt>
                <c:pt idx="14">
                  <c:v>710.25</c:v>
                </c:pt>
                <c:pt idx="15">
                  <c:v>710.25</c:v>
                </c:pt>
                <c:pt idx="16">
                  <c:v>710.25</c:v>
                </c:pt>
                <c:pt idx="17">
                  <c:v>710.25</c:v>
                </c:pt>
                <c:pt idx="18">
                  <c:v>710.25</c:v>
                </c:pt>
                <c:pt idx="19">
                  <c:v>710.25</c:v>
                </c:pt>
                <c:pt idx="20">
                  <c:v>710.25</c:v>
                </c:pt>
              </c:numCache>
            </c:numRef>
          </c:yVal>
          <c:smooth val="1"/>
          <c:extLst>
            <c:ext xmlns:c16="http://schemas.microsoft.com/office/drawing/2014/chart" uri="{C3380CC4-5D6E-409C-BE32-E72D297353CC}">
              <c16:uniqueId val="{00000004-5F7C-427F-927C-0172699A50AB}"/>
            </c:ext>
          </c:extLst>
        </c:ser>
        <c:ser>
          <c:idx val="6"/>
          <c:order val="5"/>
          <c:tx>
            <c:strRef>
              <c:f>'[1L-gcat-h - Parametric Study.xlsx]Temp'!$H$1</c:f>
              <c:strCache>
                <c:ptCount val="1"/>
                <c:pt idx="0">
                  <c:v>PreFuel</c:v>
                </c:pt>
              </c:strCache>
            </c:strRef>
          </c:tx>
          <c:spPr>
            <a:ln w="28575" cap="rnd">
              <a:solidFill>
                <a:schemeClr val="accent5"/>
              </a:solidFill>
              <a:round/>
            </a:ln>
            <a:effectLst/>
          </c:spPr>
          <c:marker>
            <c:symbol val="none"/>
          </c:marker>
          <c:xVal>
            <c:numRef>
              <c:f>'[1L-gcat-h - Parametric Study.xlsx]Temp'!$A$2:$A$22</c:f>
              <c:numCache>
                <c:formatCode>General</c:formatCod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xVal>
          <c:yVal>
            <c:numRef>
              <c:f>'[1L-gcat-h - Parametric Study.xlsx]Temp'!$H$2:$H$22</c:f>
              <c:numCache>
                <c:formatCode>General</c:formatCode>
                <c:ptCount val="21"/>
                <c:pt idx="0">
                  <c:v>710.05000000000007</c:v>
                </c:pt>
                <c:pt idx="1">
                  <c:v>710.05000000000007</c:v>
                </c:pt>
                <c:pt idx="2">
                  <c:v>710.05000000000007</c:v>
                </c:pt>
                <c:pt idx="3">
                  <c:v>710.05000000000007</c:v>
                </c:pt>
                <c:pt idx="4">
                  <c:v>710.05000000000007</c:v>
                </c:pt>
                <c:pt idx="5">
                  <c:v>710.15</c:v>
                </c:pt>
                <c:pt idx="6">
                  <c:v>710.15</c:v>
                </c:pt>
                <c:pt idx="7">
                  <c:v>710.15</c:v>
                </c:pt>
                <c:pt idx="8">
                  <c:v>710.15</c:v>
                </c:pt>
                <c:pt idx="9">
                  <c:v>710.15</c:v>
                </c:pt>
                <c:pt idx="10">
                  <c:v>710.15</c:v>
                </c:pt>
                <c:pt idx="11">
                  <c:v>710.15</c:v>
                </c:pt>
                <c:pt idx="12">
                  <c:v>710.15</c:v>
                </c:pt>
                <c:pt idx="13">
                  <c:v>710.15</c:v>
                </c:pt>
                <c:pt idx="14">
                  <c:v>710.15</c:v>
                </c:pt>
                <c:pt idx="15">
                  <c:v>710.15</c:v>
                </c:pt>
                <c:pt idx="16">
                  <c:v>710.15</c:v>
                </c:pt>
                <c:pt idx="17">
                  <c:v>710.15</c:v>
                </c:pt>
                <c:pt idx="18">
                  <c:v>710.25</c:v>
                </c:pt>
                <c:pt idx="19">
                  <c:v>710.05000000000007</c:v>
                </c:pt>
                <c:pt idx="20">
                  <c:v>710.05000000000007</c:v>
                </c:pt>
              </c:numCache>
            </c:numRef>
          </c:yVal>
          <c:smooth val="1"/>
          <c:extLst>
            <c:ext xmlns:c16="http://schemas.microsoft.com/office/drawing/2014/chart" uri="{C3380CC4-5D6E-409C-BE32-E72D297353CC}">
              <c16:uniqueId val="{00000005-5F7C-427F-927C-0172699A50AB}"/>
            </c:ext>
          </c:extLst>
        </c:ser>
        <c:dLbls>
          <c:showLegendKey val="0"/>
          <c:showVal val="0"/>
          <c:showCatName val="0"/>
          <c:showSerName val="0"/>
          <c:showPercent val="0"/>
          <c:showBubbleSize val="0"/>
        </c:dLbls>
        <c:axId val="667176991"/>
        <c:axId val="667149631"/>
      </c:scatterChart>
      <c:valAx>
        <c:axId val="667176991"/>
        <c:scaling>
          <c:orientation val="minMax"/>
          <c:max val="20"/>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Cell Elements</a:t>
                </a:r>
              </a:p>
            </c:rich>
          </c:tx>
          <c:layout>
            <c:manualLayout>
              <c:xMode val="edge"/>
              <c:yMode val="edge"/>
              <c:x val="0.4396179538929475"/>
              <c:y val="0.7010295487257641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out"/>
        <c:minorTickMark val="none"/>
        <c:tickLblPos val="nextTo"/>
        <c:crossAx val="667149631"/>
        <c:crosses val="autoZero"/>
        <c:crossBetween val="midCat"/>
      </c:valAx>
      <c:valAx>
        <c:axId val="667149631"/>
        <c:scaling>
          <c:orientation val="minMax"/>
          <c:min val="71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Temperature</a:t>
                </a:r>
                <a:r>
                  <a:rPr lang="en-US" baseline="0"/>
                  <a:t> (C)</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176991"/>
        <c:crosses val="autoZero"/>
        <c:crossBetween val="midCat"/>
      </c:valAx>
      <c:spPr>
        <a:noFill/>
        <a:ln>
          <a:noFill/>
        </a:ln>
        <a:effectLst/>
      </c:spPr>
    </c:plotArea>
    <c:legend>
      <c:legendPos val="b"/>
      <c:layout>
        <c:manualLayout>
          <c:xMode val="edge"/>
          <c:yMode val="edge"/>
          <c:x val="7.8449453746079575E-2"/>
          <c:y val="0.80577766488866298"/>
          <c:w val="0.86858940466376722"/>
          <c:h val="0.1565879265091863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a:t>
            </a:r>
          </a:p>
        </c:rich>
      </c:tx>
      <c:layout>
        <c:manualLayout>
          <c:xMode val="edge"/>
          <c:yMode val="edge"/>
          <c:x val="3.3539505333421353E-3"/>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9065207758121142"/>
          <c:y val="8.6505376344086019E-2"/>
          <c:w val="0.63594948358727887"/>
          <c:h val="0.56225594784522903"/>
        </c:manualLayout>
      </c:layout>
      <c:scatterChart>
        <c:scatterStyle val="smoothMarker"/>
        <c:varyColors val="0"/>
        <c:ser>
          <c:idx val="0"/>
          <c:order val="0"/>
          <c:tx>
            <c:strRef>
              <c:f>'[1L-gcat-h - Parametric Study.xlsx]Temp'!$B$27</c:f>
              <c:strCache>
                <c:ptCount val="1"/>
                <c:pt idx="0">
                  <c:v>Convection</c:v>
                </c:pt>
              </c:strCache>
            </c:strRef>
          </c:tx>
          <c:spPr>
            <a:ln w="19050" cap="rnd">
              <a:solidFill>
                <a:srgbClr val="7030A0"/>
              </a:solidFill>
              <a:round/>
            </a:ln>
            <a:effectLst/>
          </c:spPr>
          <c:marker>
            <c:symbol val="none"/>
          </c:marker>
          <c:xVal>
            <c:numRef>
              <c:f>'[1L-gcat-h - Parametric Study.xlsx]Temp'!$A$29:$A$47</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xVal>
          <c:yVal>
            <c:numRef>
              <c:f>'[1L-gcat-h - Parametric Study.xlsx]Temp'!$B$29:$B$47</c:f>
              <c:numCache>
                <c:formatCode>General</c:formatCode>
                <c:ptCount val="19"/>
                <c:pt idx="0">
                  <c:v>9.103E-3</c:v>
                </c:pt>
                <c:pt idx="1">
                  <c:v>1.9729999999999999E-3</c:v>
                </c:pt>
                <c:pt idx="2">
                  <c:v>3.745E-4</c:v>
                </c:pt>
                <c:pt idx="3">
                  <c:v>6.4739999999999993E-5</c:v>
                </c:pt>
                <c:pt idx="4">
                  <c:v>2.2680000000000001E-6</c:v>
                </c:pt>
                <c:pt idx="5">
                  <c:v>-1.2140000000000001E-5</c:v>
                </c:pt>
                <c:pt idx="6">
                  <c:v>-1.6390000000000001E-5</c:v>
                </c:pt>
                <c:pt idx="7">
                  <c:v>-1.804E-5</c:v>
                </c:pt>
                <c:pt idx="8">
                  <c:v>-1.8790000000000001E-5</c:v>
                </c:pt>
                <c:pt idx="9">
                  <c:v>-1.9110000000000002E-5</c:v>
                </c:pt>
                <c:pt idx="10">
                  <c:v>-1.9179999999999999E-5</c:v>
                </c:pt>
                <c:pt idx="11">
                  <c:v>-1.908E-5</c:v>
                </c:pt>
                <c:pt idx="12">
                  <c:v>-1.8879999999999999E-5</c:v>
                </c:pt>
                <c:pt idx="13">
                  <c:v>-1.8620000000000001E-5</c:v>
                </c:pt>
                <c:pt idx="14">
                  <c:v>-1.8309999999999999E-5</c:v>
                </c:pt>
                <c:pt idx="15">
                  <c:v>-1.7980000000000001E-5</c:v>
                </c:pt>
                <c:pt idx="16">
                  <c:v>-1.7640000000000001E-5</c:v>
                </c:pt>
                <c:pt idx="17">
                  <c:v>-1.7309999999999999E-5</c:v>
                </c:pt>
                <c:pt idx="18">
                  <c:v>-1.7039999999999999E-5</c:v>
                </c:pt>
              </c:numCache>
            </c:numRef>
          </c:yVal>
          <c:smooth val="1"/>
          <c:extLst>
            <c:ext xmlns:c16="http://schemas.microsoft.com/office/drawing/2014/chart" uri="{C3380CC4-5D6E-409C-BE32-E72D297353CC}">
              <c16:uniqueId val="{00000000-20DC-4C73-8F7F-AAB67D5C2CCF}"/>
            </c:ext>
          </c:extLst>
        </c:ser>
        <c:ser>
          <c:idx val="1"/>
          <c:order val="1"/>
          <c:tx>
            <c:strRef>
              <c:f>'[1L-gcat-h - Parametric Study.xlsx]Temp'!$C$27</c:f>
              <c:strCache>
                <c:ptCount val="1"/>
                <c:pt idx="0">
                  <c:v>Electric</c:v>
                </c:pt>
              </c:strCache>
            </c:strRef>
          </c:tx>
          <c:spPr>
            <a:ln w="19050" cap="rnd">
              <a:solidFill>
                <a:schemeClr val="accent4"/>
              </a:solidFill>
              <a:round/>
            </a:ln>
            <a:effectLst/>
          </c:spPr>
          <c:marker>
            <c:symbol val="none"/>
          </c:marker>
          <c:xVal>
            <c:numRef>
              <c:f>'[1L-gcat-h - Parametric Study.xlsx]Temp'!$A$29:$A$47</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xVal>
          <c:yVal>
            <c:numRef>
              <c:f>'[1L-gcat-h - Parametric Study.xlsx]Temp'!$C$29:$C$47</c:f>
              <c:numCache>
                <c:formatCode>General</c:formatCode>
                <c:ptCount val="19"/>
                <c:pt idx="0">
                  <c:v>-3.8260000000000002E-2</c:v>
                </c:pt>
                <c:pt idx="1">
                  <c:v>-8.9490000000000004E-3</c:v>
                </c:pt>
                <c:pt idx="2">
                  <c:v>-7.7920000000000003E-3</c:v>
                </c:pt>
                <c:pt idx="3">
                  <c:v>-8.0719999999999993E-3</c:v>
                </c:pt>
                <c:pt idx="4">
                  <c:v>-8.1960000000000002E-3</c:v>
                </c:pt>
                <c:pt idx="5">
                  <c:v>-8.1980000000000004E-3</c:v>
                </c:pt>
                <c:pt idx="6">
                  <c:v>-8.1410000000000007E-3</c:v>
                </c:pt>
                <c:pt idx="7">
                  <c:v>-8.0549999999999997E-3</c:v>
                </c:pt>
                <c:pt idx="8">
                  <c:v>-7.9570000000000005E-3</c:v>
                </c:pt>
                <c:pt idx="9">
                  <c:v>-7.8530000000000006E-3</c:v>
                </c:pt>
                <c:pt idx="10">
                  <c:v>-7.7460000000000003E-3</c:v>
                </c:pt>
                <c:pt idx="11">
                  <c:v>-7.6360000000000004E-3</c:v>
                </c:pt>
                <c:pt idx="12">
                  <c:v>-7.5259999999999997E-3</c:v>
                </c:pt>
                <c:pt idx="13">
                  <c:v>-7.4149999999999997E-3</c:v>
                </c:pt>
                <c:pt idx="14">
                  <c:v>-7.3039999999999997E-3</c:v>
                </c:pt>
                <c:pt idx="15">
                  <c:v>-7.1929999999999997E-3</c:v>
                </c:pt>
                <c:pt idx="16">
                  <c:v>-7.0819999999999998E-3</c:v>
                </c:pt>
                <c:pt idx="17">
                  <c:v>-6.973E-3</c:v>
                </c:pt>
                <c:pt idx="18">
                  <c:v>-6.8640000000000003E-3</c:v>
                </c:pt>
              </c:numCache>
            </c:numRef>
          </c:yVal>
          <c:smooth val="1"/>
          <c:extLst>
            <c:ext xmlns:c16="http://schemas.microsoft.com/office/drawing/2014/chart" uri="{C3380CC4-5D6E-409C-BE32-E72D297353CC}">
              <c16:uniqueId val="{00000001-20DC-4C73-8F7F-AAB67D5C2CCF}"/>
            </c:ext>
          </c:extLst>
        </c:ser>
        <c:ser>
          <c:idx val="2"/>
          <c:order val="2"/>
          <c:tx>
            <c:strRef>
              <c:f>'[1L-gcat-h - Parametric Study.xlsx]Temp'!$D$27</c:f>
              <c:strCache>
                <c:ptCount val="1"/>
                <c:pt idx="0">
                  <c:v>IC</c:v>
                </c:pt>
              </c:strCache>
            </c:strRef>
          </c:tx>
          <c:spPr>
            <a:ln w="19050" cap="rnd">
              <a:solidFill>
                <a:schemeClr val="bg2">
                  <a:lumMod val="90000"/>
                </a:schemeClr>
              </a:solidFill>
              <a:round/>
            </a:ln>
            <a:effectLst/>
          </c:spPr>
          <c:marker>
            <c:symbol val="none"/>
          </c:marker>
          <c:xVal>
            <c:numRef>
              <c:f>'[1L-gcat-h - Parametric Study.xlsx]Temp'!$A$29:$A$47</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xVal>
          <c:yVal>
            <c:numRef>
              <c:f>'[1L-gcat-h - Parametric Study.xlsx]Temp'!$D$29:$D$47</c:f>
              <c:numCache>
                <c:formatCode>General</c:formatCode>
                <c:ptCount val="19"/>
                <c:pt idx="0">
                  <c:v>-5.1330000000000004E-3</c:v>
                </c:pt>
                <c:pt idx="1">
                  <c:v>-1.428E-3</c:v>
                </c:pt>
                <c:pt idx="2">
                  <c:v>-8.933E-5</c:v>
                </c:pt>
                <c:pt idx="3">
                  <c:v>9.1219999999999997E-5</c:v>
                </c:pt>
                <c:pt idx="4">
                  <c:v>3.6189999999999997E-5</c:v>
                </c:pt>
                <c:pt idx="5">
                  <c:v>-2.887E-5</c:v>
                </c:pt>
                <c:pt idx="6">
                  <c:v>-7.2319999999999999E-5</c:v>
                </c:pt>
                <c:pt idx="7">
                  <c:v>-9.8540000000000002E-5</c:v>
                </c:pt>
                <c:pt idx="8">
                  <c:v>-1.142E-4</c:v>
                </c:pt>
                <c:pt idx="9">
                  <c:v>-1.2349999999999999E-4</c:v>
                </c:pt>
                <c:pt idx="10">
                  <c:v>-1.2909999999999999E-4</c:v>
                </c:pt>
                <c:pt idx="11">
                  <c:v>-1.3229999999999999E-4</c:v>
                </c:pt>
                <c:pt idx="12">
                  <c:v>-1.34E-4</c:v>
                </c:pt>
                <c:pt idx="13">
                  <c:v>-1.3459999999999999E-4</c:v>
                </c:pt>
                <c:pt idx="14">
                  <c:v>-1.3449999999999999E-4</c:v>
                </c:pt>
                <c:pt idx="15">
                  <c:v>-1.337E-4</c:v>
                </c:pt>
                <c:pt idx="16">
                  <c:v>-1.3239999999999999E-4</c:v>
                </c:pt>
                <c:pt idx="17">
                  <c:v>-1.306E-4</c:v>
                </c:pt>
                <c:pt idx="18">
                  <c:v>-1.2860000000000001E-4</c:v>
                </c:pt>
              </c:numCache>
            </c:numRef>
          </c:yVal>
          <c:smooth val="1"/>
          <c:extLst>
            <c:ext xmlns:c16="http://schemas.microsoft.com/office/drawing/2014/chart" uri="{C3380CC4-5D6E-409C-BE32-E72D297353CC}">
              <c16:uniqueId val="{00000002-20DC-4C73-8F7F-AAB67D5C2CCF}"/>
            </c:ext>
          </c:extLst>
        </c:ser>
        <c:ser>
          <c:idx val="5"/>
          <c:order val="5"/>
          <c:tx>
            <c:strRef>
              <c:f>'[1L-gcat-h - Parametric Study.xlsx]Temp'!$G$27</c:f>
              <c:strCache>
                <c:ptCount val="1"/>
                <c:pt idx="0">
                  <c:v>QinQout</c:v>
                </c:pt>
              </c:strCache>
            </c:strRef>
          </c:tx>
          <c:spPr>
            <a:ln w="19050" cap="rnd">
              <a:solidFill>
                <a:schemeClr val="accent6"/>
              </a:solidFill>
              <a:round/>
            </a:ln>
            <a:effectLst/>
          </c:spPr>
          <c:marker>
            <c:symbol val="none"/>
          </c:marker>
          <c:xVal>
            <c:numRef>
              <c:f>'[1L-gcat-h - Parametric Study.xlsx]Temp'!$A$29:$A$47</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xVal>
          <c:yVal>
            <c:numRef>
              <c:f>'[1L-gcat-h - Parametric Study.xlsx]Temp'!$G$29:$G$47</c:f>
              <c:numCache>
                <c:formatCode>General</c:formatCode>
                <c:ptCount val="19"/>
                <c:pt idx="0">
                  <c:v>-4.3829999999999997E-3</c:v>
                </c:pt>
                <c:pt idx="1">
                  <c:v>5.8390000000000004E-4</c:v>
                </c:pt>
                <c:pt idx="2">
                  <c:v>4.3409999999999998E-4</c:v>
                </c:pt>
                <c:pt idx="3">
                  <c:v>1.3660000000000001E-4</c:v>
                </c:pt>
                <c:pt idx="4">
                  <c:v>4.2410000000000002E-5</c:v>
                </c:pt>
                <c:pt idx="5">
                  <c:v>1.645E-5</c:v>
                </c:pt>
                <c:pt idx="6">
                  <c:v>8.0669999999999992E-6</c:v>
                </c:pt>
                <c:pt idx="7">
                  <c:v>4.2230000000000001E-6</c:v>
                </c:pt>
                <c:pt idx="8">
                  <c:v>1.883E-6</c:v>
                </c:pt>
                <c:pt idx="9" formatCode="0.00E+00">
                  <c:v>2.9560000000000003E-7</c:v>
                </c:pt>
                <c:pt idx="10" formatCode="0.00E+00">
                  <c:v>-7.9670000000000003E-7</c:v>
                </c:pt>
                <c:pt idx="11">
                  <c:v>-1.536E-6</c:v>
                </c:pt>
                <c:pt idx="12">
                  <c:v>-2.018E-6</c:v>
                </c:pt>
                <c:pt idx="13">
                  <c:v>-2.3130000000000001E-6</c:v>
                </c:pt>
                <c:pt idx="14">
                  <c:v>-2.464E-6</c:v>
                </c:pt>
                <c:pt idx="15">
                  <c:v>-2.4990000000000001E-6</c:v>
                </c:pt>
                <c:pt idx="16">
                  <c:v>-2.4099999999999998E-6</c:v>
                </c:pt>
                <c:pt idx="17">
                  <c:v>-2.119E-6</c:v>
                </c:pt>
                <c:pt idx="18">
                  <c:v>-1.0410000000000001E-6</c:v>
                </c:pt>
              </c:numCache>
            </c:numRef>
          </c:yVal>
          <c:smooth val="1"/>
          <c:extLst>
            <c:ext xmlns:c16="http://schemas.microsoft.com/office/drawing/2014/chart" uri="{C3380CC4-5D6E-409C-BE32-E72D297353CC}">
              <c16:uniqueId val="{00000003-20DC-4C73-8F7F-AAB67D5C2CCF}"/>
            </c:ext>
          </c:extLst>
        </c:ser>
        <c:ser>
          <c:idx val="7"/>
          <c:order val="7"/>
          <c:tx>
            <c:strRef>
              <c:f>'[1L-gcat-h - Parametric Study.xlsx]Temp'!$I$27</c:f>
              <c:strCache>
                <c:ptCount val="1"/>
                <c:pt idx="0">
                  <c:v>Radiation</c:v>
                </c:pt>
              </c:strCache>
            </c:strRef>
          </c:tx>
          <c:spPr>
            <a:ln w="19050" cap="rnd">
              <a:solidFill>
                <a:srgbClr val="C00000"/>
              </a:solidFill>
              <a:round/>
            </a:ln>
            <a:effectLst/>
          </c:spPr>
          <c:marker>
            <c:symbol val="none"/>
          </c:marker>
          <c:xVal>
            <c:numRef>
              <c:f>'[1L-gcat-h - Parametric Study.xlsx]Temp'!$A$29:$A$47</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xVal>
          <c:yVal>
            <c:numRef>
              <c:f>'[1L-gcat-h - Parametric Study.xlsx]Temp'!$I$29:$I$47</c:f>
              <c:numCache>
                <c:formatCode>General</c:formatCode>
                <c:ptCount val="19"/>
                <c:pt idx="0">
                  <c:v>-2.5530000000000001E-3</c:v>
                </c:pt>
                <c:pt idx="1">
                  <c:v>-1.457E-3</c:v>
                </c:pt>
                <c:pt idx="2">
                  <c:v>-8.7160000000000004E-4</c:v>
                </c:pt>
                <c:pt idx="3">
                  <c:v>-6.5979999999999999E-4</c:v>
                </c:pt>
                <c:pt idx="4">
                  <c:v>-5.6809999999999999E-4</c:v>
                </c:pt>
                <c:pt idx="5">
                  <c:v>-5.1630000000000003E-4</c:v>
                </c:pt>
                <c:pt idx="6">
                  <c:v>-4.819E-4</c:v>
                </c:pt>
                <c:pt idx="7">
                  <c:v>-4.5770000000000001E-4</c:v>
                </c:pt>
                <c:pt idx="8">
                  <c:v>-4.4020000000000002E-4</c:v>
                </c:pt>
                <c:pt idx="9">
                  <c:v>-4.2719999999999998E-4</c:v>
                </c:pt>
                <c:pt idx="10">
                  <c:v>-4.1750000000000001E-4</c:v>
                </c:pt>
                <c:pt idx="11">
                  <c:v>-4.0999999999999999E-4</c:v>
                </c:pt>
                <c:pt idx="12">
                  <c:v>-4.0390000000000001E-4</c:v>
                </c:pt>
                <c:pt idx="13">
                  <c:v>-3.9889999999999999E-4</c:v>
                </c:pt>
                <c:pt idx="14">
                  <c:v>-3.947E-4</c:v>
                </c:pt>
                <c:pt idx="15">
                  <c:v>-3.9110000000000002E-4</c:v>
                </c:pt>
                <c:pt idx="16">
                  <c:v>-3.881E-4</c:v>
                </c:pt>
                <c:pt idx="17">
                  <c:v>-3.857E-4</c:v>
                </c:pt>
                <c:pt idx="18">
                  <c:v>-3.8410000000000001E-4</c:v>
                </c:pt>
              </c:numCache>
            </c:numRef>
          </c:yVal>
          <c:smooth val="1"/>
          <c:extLst>
            <c:ext xmlns:c16="http://schemas.microsoft.com/office/drawing/2014/chart" uri="{C3380CC4-5D6E-409C-BE32-E72D297353CC}">
              <c16:uniqueId val="{00000004-20DC-4C73-8F7F-AAB67D5C2CCF}"/>
            </c:ext>
          </c:extLst>
        </c:ser>
        <c:ser>
          <c:idx val="8"/>
          <c:order val="8"/>
          <c:tx>
            <c:strRef>
              <c:f>'[1L-gcat-h - Parametric Study.xlsx]Temp'!$J$27</c:f>
              <c:strCache>
                <c:ptCount val="1"/>
                <c:pt idx="0">
                  <c:v>Reactions</c:v>
                </c:pt>
              </c:strCache>
            </c:strRef>
          </c:tx>
          <c:spPr>
            <a:ln w="19050" cap="rnd">
              <a:solidFill>
                <a:schemeClr val="accent2"/>
              </a:solidFill>
              <a:round/>
            </a:ln>
            <a:effectLst/>
          </c:spPr>
          <c:marker>
            <c:symbol val="none"/>
          </c:marker>
          <c:xVal>
            <c:numRef>
              <c:f>'[1L-gcat-h - Parametric Study.xlsx]Temp'!$A$29:$A$47</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xVal>
          <c:yVal>
            <c:numRef>
              <c:f>'[1L-gcat-h - Parametric Study.xlsx]Temp'!$J$29:$J$47</c:f>
              <c:numCache>
                <c:formatCode>General</c:formatCode>
                <c:ptCount val="19"/>
                <c:pt idx="0">
                  <c:v>4.1230000000000003E-2</c:v>
                </c:pt>
                <c:pt idx="1">
                  <c:v>9.2779999999999998E-3</c:v>
                </c:pt>
                <c:pt idx="2">
                  <c:v>7.9439999999999997E-3</c:v>
                </c:pt>
                <c:pt idx="3">
                  <c:v>8.4390000000000003E-3</c:v>
                </c:pt>
                <c:pt idx="4">
                  <c:v>8.6829999999999997E-3</c:v>
                </c:pt>
                <c:pt idx="5">
                  <c:v>8.7390000000000002E-3</c:v>
                </c:pt>
                <c:pt idx="6">
                  <c:v>8.7030000000000007E-3</c:v>
                </c:pt>
                <c:pt idx="7">
                  <c:v>8.6250000000000007E-3</c:v>
                </c:pt>
                <c:pt idx="8">
                  <c:v>8.5290000000000001E-3</c:v>
                </c:pt>
                <c:pt idx="9">
                  <c:v>8.4229999999999999E-3</c:v>
                </c:pt>
                <c:pt idx="10">
                  <c:v>8.3119999999999999E-3</c:v>
                </c:pt>
                <c:pt idx="11">
                  <c:v>8.1989999999999997E-3</c:v>
                </c:pt>
                <c:pt idx="12">
                  <c:v>8.0850000000000002E-3</c:v>
                </c:pt>
                <c:pt idx="13">
                  <c:v>7.9690000000000004E-3</c:v>
                </c:pt>
                <c:pt idx="14">
                  <c:v>7.8539999999999999E-3</c:v>
                </c:pt>
                <c:pt idx="15">
                  <c:v>7.7380000000000001E-3</c:v>
                </c:pt>
                <c:pt idx="16">
                  <c:v>7.6229999999999996E-3</c:v>
                </c:pt>
                <c:pt idx="17">
                  <c:v>7.5079999999999999E-3</c:v>
                </c:pt>
                <c:pt idx="18">
                  <c:v>7.3940000000000004E-3</c:v>
                </c:pt>
              </c:numCache>
            </c:numRef>
          </c:yVal>
          <c:smooth val="1"/>
          <c:extLst>
            <c:ext xmlns:c16="http://schemas.microsoft.com/office/drawing/2014/chart" uri="{C3380CC4-5D6E-409C-BE32-E72D297353CC}">
              <c16:uniqueId val="{00000005-20DC-4C73-8F7F-AAB67D5C2CCF}"/>
            </c:ext>
          </c:extLst>
        </c:ser>
        <c:dLbls>
          <c:showLegendKey val="0"/>
          <c:showVal val="0"/>
          <c:showCatName val="0"/>
          <c:showSerName val="0"/>
          <c:showPercent val="0"/>
          <c:showBubbleSize val="0"/>
        </c:dLbls>
        <c:axId val="641411583"/>
        <c:axId val="641383263"/>
        <c:extLst>
          <c:ext xmlns:c15="http://schemas.microsoft.com/office/drawing/2012/chart" uri="{02D57815-91ED-43cb-92C2-25804820EDAC}">
            <c15:filteredScatterSeries>
              <c15:ser>
                <c:idx val="3"/>
                <c:order val="3"/>
                <c:tx>
                  <c:strRef>
                    <c:extLst>
                      <c:ext uri="{02D57815-91ED-43cb-92C2-25804820EDAC}">
                        <c15:formulaRef>
                          <c15:sqref>'[1L-gcat-h - Parametric Study.xlsx]Temp'!$E$27</c15:sqref>
                        </c15:formulaRef>
                      </c:ext>
                    </c:extLst>
                    <c:strCache>
                      <c:ptCount val="1"/>
                      <c:pt idx="0">
                        <c:v>ICA</c:v>
                      </c:pt>
                    </c:strCache>
                  </c:strRef>
                </c:tx>
                <c:spPr>
                  <a:ln w="19050" cap="rnd">
                    <a:solidFill>
                      <a:schemeClr val="accent4"/>
                    </a:solidFill>
                    <a:round/>
                  </a:ln>
                  <a:effectLst/>
                </c:spPr>
                <c:marker>
                  <c:symbol val="none"/>
                </c:marker>
                <c:xVal>
                  <c:numRef>
                    <c:extLst>
                      <c:ext uri="{02D57815-91ED-43cb-92C2-25804820EDAC}">
                        <c15:formulaRef>
                          <c15:sqref>'[1L-gcat-h - Parametric Study.xlsx]Temp'!$A$29:$A$47</c15:sqref>
                        </c15:formulaRef>
                      </c:ext>
                    </c:extLst>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xVal>
                <c:yVal>
                  <c:numRef>
                    <c:extLst>
                      <c:ext uri="{02D57815-91ED-43cb-92C2-25804820EDAC}">
                        <c15:formulaRef>
                          <c15:sqref>'[1L-gcat-h - Parametric Study.xlsx]Temp'!$E$29:$E$47</c15:sqref>
                        </c15:formulaRef>
                      </c:ext>
                    </c:extLst>
                    <c:numCache>
                      <c:formatCode>General</c:formatCode>
                      <c:ptCount val="19"/>
                      <c:pt idx="0">
                        <c:v>-6.1980000000000004E-3</c:v>
                      </c:pt>
                      <c:pt idx="1">
                        <c:v>-1.7240000000000001E-3</c:v>
                      </c:pt>
                      <c:pt idx="2">
                        <c:v>-3.9919999999999997E-5</c:v>
                      </c:pt>
                      <c:pt idx="3">
                        <c:v>2.3489999999999999E-4</c:v>
                      </c:pt>
                      <c:pt idx="4">
                        <c:v>1.9799999999999999E-4</c:v>
                      </c:pt>
                      <c:pt idx="5">
                        <c:v>1.306E-4</c:v>
                      </c:pt>
                      <c:pt idx="6">
                        <c:v>8.0240000000000004E-5</c:v>
                      </c:pt>
                      <c:pt idx="7">
                        <c:v>4.6829999999999997E-5</c:v>
                      </c:pt>
                      <c:pt idx="8">
                        <c:v>2.499E-5</c:v>
                      </c:pt>
                      <c:pt idx="9">
                        <c:v>1.058E-5</c:v>
                      </c:pt>
                      <c:pt idx="10">
                        <c:v>1.0300000000000001E-6</c:v>
                      </c:pt>
                      <c:pt idx="11">
                        <c:v>-5.2730000000000002E-6</c:v>
                      </c:pt>
                      <c:pt idx="12">
                        <c:v>-9.3389999999999999E-6</c:v>
                      </c:pt>
                      <c:pt idx="13">
                        <c:v>-1.182E-5</c:v>
                      </c:pt>
                      <c:pt idx="14">
                        <c:v>-1.311E-5</c:v>
                      </c:pt>
                      <c:pt idx="15">
                        <c:v>-1.345E-5</c:v>
                      </c:pt>
                      <c:pt idx="16">
                        <c:v>-1.294E-5</c:v>
                      </c:pt>
                      <c:pt idx="17">
                        <c:v>-1.1610000000000001E-5</c:v>
                      </c:pt>
                      <c:pt idx="18">
                        <c:v>-9.7259999999999997E-6</c:v>
                      </c:pt>
                    </c:numCache>
                  </c:numRef>
                </c:yVal>
                <c:smooth val="1"/>
                <c:extLst>
                  <c:ext xmlns:c16="http://schemas.microsoft.com/office/drawing/2014/chart" uri="{C3380CC4-5D6E-409C-BE32-E72D297353CC}">
                    <c16:uniqueId val="{00000006-20DC-4C73-8F7F-AAB67D5C2CCF}"/>
                  </c:ext>
                </c:extLst>
              </c15:ser>
            </c15:filteredScatterSeries>
            <c15:filteredScatterSeries>
              <c15:ser>
                <c:idx val="4"/>
                <c:order val="4"/>
                <c:tx>
                  <c:strRef>
                    <c:extLst xmlns:c15="http://schemas.microsoft.com/office/drawing/2012/chart">
                      <c:ext xmlns:c15="http://schemas.microsoft.com/office/drawing/2012/chart" uri="{02D57815-91ED-43cb-92C2-25804820EDAC}">
                        <c15:formulaRef>
                          <c15:sqref>'[1L-gcat-h - Parametric Study.xlsx]Temp'!$F$27</c15:sqref>
                        </c15:formulaRef>
                      </c:ext>
                    </c:extLst>
                    <c:strCache>
                      <c:ptCount val="1"/>
                      <c:pt idx="0">
                        <c:v>IN</c:v>
                      </c:pt>
                    </c:strCache>
                  </c:strRef>
                </c:tx>
                <c:spPr>
                  <a:ln w="19050" cap="rnd">
                    <a:solidFill>
                      <a:schemeClr val="accent5"/>
                    </a:solidFill>
                    <a:round/>
                  </a:ln>
                  <a:effectLst/>
                </c:spPr>
                <c:marker>
                  <c:symbol val="none"/>
                </c:marker>
                <c:xVal>
                  <c:numRef>
                    <c:extLst xmlns:c15="http://schemas.microsoft.com/office/drawing/2012/chart">
                      <c:ext xmlns:c15="http://schemas.microsoft.com/office/drawing/2012/chart" uri="{02D57815-91ED-43cb-92C2-25804820EDAC}">
                        <c15:formulaRef>
                          <c15:sqref>'[1L-gcat-h - Parametric Study.xlsx]Temp'!$A$29:$A$47</c15:sqref>
                        </c15:formulaRef>
                      </c:ext>
                    </c:extLst>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xVal>
                <c:yVal>
                  <c:numRef>
                    <c:extLst xmlns:c15="http://schemas.microsoft.com/office/drawing/2012/chart">
                      <c:ext xmlns:c15="http://schemas.microsoft.com/office/drawing/2012/chart" uri="{02D57815-91ED-43cb-92C2-25804820EDAC}">
                        <c15:formulaRef>
                          <c15:sqref>'[1L-gcat-h - Parametric Study.xlsx]Temp'!$F$29:$F$47</c15:sqref>
                        </c15:formulaRef>
                      </c:ext>
                    </c:extLst>
                    <c:numCache>
                      <c:formatCode>General</c:formatCode>
                      <c:ptCount val="19"/>
                      <c:pt idx="0">
                        <c:v>-3.1719999999999999E-3</c:v>
                      </c:pt>
                      <c:pt idx="1">
                        <c:v>1.2110000000000001E-3</c:v>
                      </c:pt>
                      <c:pt idx="2">
                        <c:v>6.269E-4</c:v>
                      </c:pt>
                      <c:pt idx="3">
                        <c:v>1.9269999999999999E-4</c:v>
                      </c:pt>
                      <c:pt idx="4">
                        <c:v>5.6140000000000001E-5</c:v>
                      </c:pt>
                      <c:pt idx="5">
                        <c:v>1.3720000000000001E-5</c:v>
                      </c:pt>
                      <c:pt idx="6">
                        <c:v>-2.728E-6</c:v>
                      </c:pt>
                      <c:pt idx="7">
                        <c:v>-1.079E-5</c:v>
                      </c:pt>
                      <c:pt idx="8">
                        <c:v>-1.502E-5</c:v>
                      </c:pt>
                      <c:pt idx="9">
                        <c:v>-1.6900000000000001E-5</c:v>
                      </c:pt>
                      <c:pt idx="10">
                        <c:v>-1.7200000000000001E-5</c:v>
                      </c:pt>
                      <c:pt idx="11">
                        <c:v>-1.6399999999999999E-5</c:v>
                      </c:pt>
                      <c:pt idx="12">
                        <c:v>-1.486E-5</c:v>
                      </c:pt>
                      <c:pt idx="13">
                        <c:v>-1.2850000000000001E-5</c:v>
                      </c:pt>
                      <c:pt idx="14">
                        <c:v>-1.0530000000000001E-5</c:v>
                      </c:pt>
                      <c:pt idx="15">
                        <c:v>-8.0690000000000002E-6</c:v>
                      </c:pt>
                      <c:pt idx="16">
                        <c:v>-5.57E-6</c:v>
                      </c:pt>
                      <c:pt idx="17">
                        <c:v>-3.1599999999999998E-6</c:v>
                      </c:pt>
                      <c:pt idx="18">
                        <c:v>-1.0410000000000001E-6</c:v>
                      </c:pt>
                    </c:numCache>
                  </c:numRef>
                </c:yVal>
                <c:smooth val="1"/>
                <c:extLst xmlns:c15="http://schemas.microsoft.com/office/drawing/2012/chart">
                  <c:ext xmlns:c16="http://schemas.microsoft.com/office/drawing/2014/chart" uri="{C3380CC4-5D6E-409C-BE32-E72D297353CC}">
                    <c16:uniqueId val="{00000007-20DC-4C73-8F7F-AAB67D5C2CCF}"/>
                  </c:ext>
                </c:extLst>
              </c15:ser>
            </c15:filteredScatterSeries>
            <c15:filteredScatterSeries>
              <c15:ser>
                <c:idx val="6"/>
                <c:order val="6"/>
                <c:tx>
                  <c:strRef>
                    <c:extLst xmlns:c15="http://schemas.microsoft.com/office/drawing/2012/chart">
                      <c:ext xmlns:c15="http://schemas.microsoft.com/office/drawing/2012/chart" uri="{02D57815-91ED-43cb-92C2-25804820EDAC}">
                        <c15:formulaRef>
                          <c15:sqref>'[1L-gcat-h - Parametric Study.xlsx]Temp'!$H$27</c15:sqref>
                        </c15:formulaRef>
                      </c:ext>
                    </c:extLst>
                    <c:strCache>
                      <c:ptCount val="1"/>
                      <c:pt idx="0">
                        <c:v>Out</c:v>
                      </c:pt>
                    </c:strCache>
                  </c:strRef>
                </c:tx>
                <c:spPr>
                  <a:ln w="19050" cap="rnd">
                    <a:solidFill>
                      <a:schemeClr val="accent1">
                        <a:lumMod val="6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'[1L-gcat-h - Parametric Study.xlsx]Temp'!$A$29:$A$47</c15:sqref>
                        </c15:formulaRef>
                      </c:ext>
                    </c:extLst>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xVal>
                <c:yVal>
                  <c:numRef>
                    <c:extLst xmlns:c15="http://schemas.microsoft.com/office/drawing/2012/chart">
                      <c:ext xmlns:c15="http://schemas.microsoft.com/office/drawing/2012/chart" uri="{02D57815-91ED-43cb-92C2-25804820EDAC}">
                        <c15:formulaRef>
                          <c15:sqref>'[1L-gcat-h - Parametric Study.xlsx]Temp'!$H$29:$H$47</c15:sqref>
                        </c15:formulaRef>
                      </c:ext>
                    </c:extLst>
                    <c:numCache>
                      <c:formatCode>General</c:formatCode>
                      <c:ptCount val="19"/>
                      <c:pt idx="0">
                        <c:v>-1.2110000000000001E-3</c:v>
                      </c:pt>
                      <c:pt idx="1">
                        <c:v>-6.269E-4</c:v>
                      </c:pt>
                      <c:pt idx="2">
                        <c:v>-1.9269999999999999E-4</c:v>
                      </c:pt>
                      <c:pt idx="3">
                        <c:v>-5.6140000000000001E-5</c:v>
                      </c:pt>
                      <c:pt idx="4">
                        <c:v>-1.3720000000000001E-5</c:v>
                      </c:pt>
                      <c:pt idx="5">
                        <c:v>2.728E-6</c:v>
                      </c:pt>
                      <c:pt idx="6">
                        <c:v>1.079E-5</c:v>
                      </c:pt>
                      <c:pt idx="7">
                        <c:v>1.502E-5</c:v>
                      </c:pt>
                      <c:pt idx="8">
                        <c:v>1.6900000000000001E-5</c:v>
                      </c:pt>
                      <c:pt idx="9">
                        <c:v>1.7200000000000001E-5</c:v>
                      </c:pt>
                      <c:pt idx="10">
                        <c:v>1.6399999999999999E-5</c:v>
                      </c:pt>
                      <c:pt idx="11">
                        <c:v>1.486E-5</c:v>
                      </c:pt>
                      <c:pt idx="12">
                        <c:v>1.2850000000000001E-5</c:v>
                      </c:pt>
                      <c:pt idx="13">
                        <c:v>1.0530000000000001E-5</c:v>
                      </c:pt>
                      <c:pt idx="14">
                        <c:v>8.0690000000000002E-6</c:v>
                      </c:pt>
                      <c:pt idx="15">
                        <c:v>5.57E-6</c:v>
                      </c:pt>
                      <c:pt idx="16">
                        <c:v>3.1599999999999998E-6</c:v>
                      </c:pt>
                      <c:pt idx="17">
                        <c:v>1.0410000000000001E-6</c:v>
                      </c:pt>
                      <c:pt idx="18" formatCode="0.00E+00">
                        <c:v>-2.1710000000000001E-38</c:v>
                      </c:pt>
                    </c:numCache>
                  </c:numRef>
                </c:yVal>
                <c:smooth val="1"/>
                <c:extLst xmlns:c15="http://schemas.microsoft.com/office/drawing/2012/chart">
                  <c:ext xmlns:c16="http://schemas.microsoft.com/office/drawing/2014/chart" uri="{C3380CC4-5D6E-409C-BE32-E72D297353CC}">
                    <c16:uniqueId val="{00000008-20DC-4C73-8F7F-AAB67D5C2CCF}"/>
                  </c:ext>
                </c:extLst>
              </c15:ser>
            </c15:filteredScatterSeries>
          </c:ext>
        </c:extLst>
      </c:scatterChart>
      <c:valAx>
        <c:axId val="64141158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PEN Discretized</a:t>
                </a:r>
                <a:r>
                  <a:rPr lang="en-US" baseline="0"/>
                  <a:t> </a:t>
                </a:r>
                <a:r>
                  <a:rPr lang="en-US"/>
                  <a:t>Profile</a:t>
                </a:r>
              </a:p>
            </c:rich>
          </c:tx>
          <c:layout>
            <c:manualLayout>
              <c:xMode val="edge"/>
              <c:yMode val="edge"/>
              <c:x val="0.35388619598037713"/>
              <c:y val="0.691772076877487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1383263"/>
        <c:crosses val="autoZero"/>
        <c:crossBetween val="midCat"/>
      </c:valAx>
      <c:valAx>
        <c:axId val="64138326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Heat Transfer (W)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1411583"/>
        <c:crosses val="autoZero"/>
        <c:crossBetween val="midCat"/>
      </c:valAx>
      <c:spPr>
        <a:noFill/>
        <a:ln>
          <a:noFill/>
        </a:ln>
        <a:effectLst/>
      </c:spPr>
    </c:plotArea>
    <c:legend>
      <c:legendPos val="b"/>
      <c:layout>
        <c:manualLayout>
          <c:xMode val="edge"/>
          <c:yMode val="edge"/>
          <c:x val="0.15227630637079459"/>
          <c:y val="0.8058339683346033"/>
          <c:w val="0.84269318607901289"/>
          <c:h val="0.166021928710524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'[1L-gcat-h - Parametric Study.xlsx]Temp'!$B$51</c:f>
              <c:strCache>
                <c:ptCount val="1"/>
                <c:pt idx="0">
                  <c:v>Convection</c:v>
                </c:pt>
              </c:strCache>
            </c:strRef>
          </c:tx>
          <c:spPr>
            <a:ln w="28575" cap="rnd">
              <a:solidFill>
                <a:srgbClr val="7030A0"/>
              </a:solidFill>
              <a:round/>
            </a:ln>
            <a:effectLst/>
          </c:spPr>
          <c:marker>
            <c:symbol val="none"/>
          </c:marker>
          <c:yVal>
            <c:numRef>
              <c:f>'[1L-gcat-h - Parametric Study.xlsx]Temp'!$B$52:$B$71</c:f>
              <c:numCache>
                <c:formatCode>General</c:formatCode>
                <c:ptCount val="20"/>
                <c:pt idx="1">
                  <c:v>5.6099999999999997E-2</c:v>
                </c:pt>
                <c:pt idx="2">
                  <c:v>5.6140000000000002E-2</c:v>
                </c:pt>
                <c:pt idx="3">
                  <c:v>4.4819999999999999E-2</c:v>
                </c:pt>
                <c:pt idx="4">
                  <c:v>3.3020000000000001E-2</c:v>
                </c:pt>
                <c:pt idx="5">
                  <c:v>2.3470000000000001E-2</c:v>
                </c:pt>
                <c:pt idx="6">
                  <c:v>1.6420000000000001E-2</c:v>
                </c:pt>
                <c:pt idx="7">
                  <c:v>1.1480000000000001E-2</c:v>
                </c:pt>
                <c:pt idx="8">
                  <c:v>8.0809999999999996E-3</c:v>
                </c:pt>
                <c:pt idx="9">
                  <c:v>5.7819999999999998E-3</c:v>
                </c:pt>
                <c:pt idx="10">
                  <c:v>4.2310000000000004E-3</c:v>
                </c:pt>
                <c:pt idx="11">
                  <c:v>3.1819999999999999E-3</c:v>
                </c:pt>
                <c:pt idx="12">
                  <c:v>2.4659999999999999E-3</c:v>
                </c:pt>
                <c:pt idx="13">
                  <c:v>1.97E-3</c:v>
                </c:pt>
                <c:pt idx="14">
                  <c:v>1.619E-3</c:v>
                </c:pt>
                <c:pt idx="15">
                  <c:v>1.364E-3</c:v>
                </c:pt>
                <c:pt idx="16">
                  <c:v>1.1720000000000001E-3</c:v>
                </c:pt>
                <c:pt idx="17">
                  <c:v>1.0189999999999999E-3</c:v>
                </c:pt>
                <c:pt idx="18">
                  <c:v>8.9030000000000001E-4</c:v>
                </c:pt>
                <c:pt idx="19">
                  <c:v>7.716E-4</c:v>
                </c:pt>
              </c:numCache>
            </c:numRef>
          </c:yVal>
          <c:smooth val="1"/>
          <c:extLst>
            <c:ext xmlns:c16="http://schemas.microsoft.com/office/drawing/2014/chart" uri="{C3380CC4-5D6E-409C-BE32-E72D297353CC}">
              <c16:uniqueId val="{00000000-F53A-41DF-BA18-FCFA72451C15}"/>
            </c:ext>
          </c:extLst>
        </c:ser>
        <c:ser>
          <c:idx val="1"/>
          <c:order val="1"/>
          <c:tx>
            <c:strRef>
              <c:f>'[1L-gcat-h - Parametric Study.xlsx]Temp'!$C$51</c:f>
              <c:strCache>
                <c:ptCount val="1"/>
                <c:pt idx="0">
                  <c:v>Electric</c:v>
                </c:pt>
              </c:strCache>
            </c:strRef>
          </c:tx>
          <c:spPr>
            <a:ln w="28575" cap="rnd">
              <a:solidFill>
                <a:schemeClr val="accent4"/>
              </a:solidFill>
              <a:round/>
            </a:ln>
            <a:effectLst/>
          </c:spPr>
          <c:marker>
            <c:symbol val="none"/>
          </c:marker>
          <c:yVal>
            <c:numRef>
              <c:f>'[1L-gcat-h - Parametric Study.xlsx]Temp'!$C$52:$C$71</c:f>
              <c:numCache>
                <c:formatCode>General</c:formatCode>
                <c:ptCount val="20"/>
                <c:pt idx="1">
                  <c:v>-2.358E-2</c:v>
                </c:pt>
                <c:pt idx="2">
                  <c:v>-4.1250000000000002E-2</c:v>
                </c:pt>
                <c:pt idx="3">
                  <c:v>-3.6470000000000002E-2</c:v>
                </c:pt>
                <c:pt idx="4">
                  <c:v>-2.7400000000000001E-2</c:v>
                </c:pt>
                <c:pt idx="5">
                  <c:v>-1.9300000000000001E-2</c:v>
                </c:pt>
                <c:pt idx="6">
                  <c:v>-1.329E-2</c:v>
                </c:pt>
                <c:pt idx="7">
                  <c:v>-9.1680000000000008E-3</c:v>
                </c:pt>
                <c:pt idx="8">
                  <c:v>-6.4650000000000003E-3</c:v>
                </c:pt>
                <c:pt idx="9">
                  <c:v>-4.7330000000000002E-3</c:v>
                </c:pt>
                <c:pt idx="10">
                  <c:v>-3.6340000000000001E-3</c:v>
                </c:pt>
                <c:pt idx="11">
                  <c:v>-2.9380000000000001E-3</c:v>
                </c:pt>
                <c:pt idx="12">
                  <c:v>-2.4949999999999998E-3</c:v>
                </c:pt>
                <c:pt idx="13">
                  <c:v>-2.2100000000000002E-3</c:v>
                </c:pt>
                <c:pt idx="14">
                  <c:v>-2.0230000000000001E-3</c:v>
                </c:pt>
                <c:pt idx="15">
                  <c:v>-1.897E-3</c:v>
                </c:pt>
                <c:pt idx="16">
                  <c:v>-1.8109999999999999E-3</c:v>
                </c:pt>
                <c:pt idx="17">
                  <c:v>-1.75E-3</c:v>
                </c:pt>
                <c:pt idx="18">
                  <c:v>-1.704E-3</c:v>
                </c:pt>
                <c:pt idx="19">
                  <c:v>-1.668E-3</c:v>
                </c:pt>
              </c:numCache>
            </c:numRef>
          </c:yVal>
          <c:smooth val="1"/>
          <c:extLst>
            <c:ext xmlns:c16="http://schemas.microsoft.com/office/drawing/2014/chart" uri="{C3380CC4-5D6E-409C-BE32-E72D297353CC}">
              <c16:uniqueId val="{00000001-F53A-41DF-BA18-FCFA72451C15}"/>
            </c:ext>
          </c:extLst>
        </c:ser>
        <c:ser>
          <c:idx val="2"/>
          <c:order val="2"/>
          <c:tx>
            <c:strRef>
              <c:f>'[1L-gcat-h - Parametric Study.xlsx]Temp'!$D$51</c:f>
              <c:strCache>
                <c:ptCount val="1"/>
                <c:pt idx="0">
                  <c:v>IC</c:v>
                </c:pt>
              </c:strCache>
            </c:strRef>
          </c:tx>
          <c:spPr>
            <a:ln w="28575" cap="rnd">
              <a:solidFill>
                <a:schemeClr val="bg2">
                  <a:lumMod val="90000"/>
                </a:schemeClr>
              </a:solidFill>
              <a:round/>
            </a:ln>
            <a:effectLst/>
          </c:spPr>
          <c:marker>
            <c:symbol val="none"/>
          </c:marker>
          <c:yVal>
            <c:numRef>
              <c:f>'[1L-gcat-h - Parametric Study.xlsx]Temp'!$D$52:$D$71</c:f>
              <c:numCache>
                <c:formatCode>General</c:formatCode>
                <c:ptCount val="20"/>
                <c:pt idx="1">
                  <c:v>3.9E-2</c:v>
                </c:pt>
                <c:pt idx="2">
                  <c:v>9.6290000000000004E-3</c:v>
                </c:pt>
                <c:pt idx="3">
                  <c:v>-3.9610000000000001E-3</c:v>
                </c:pt>
                <c:pt idx="4">
                  <c:v>-6.4469999999999996E-3</c:v>
                </c:pt>
                <c:pt idx="5">
                  <c:v>-4.9329999999999999E-3</c:v>
                </c:pt>
                <c:pt idx="6">
                  <c:v>-2.7360000000000002E-3</c:v>
                </c:pt>
                <c:pt idx="7">
                  <c:v>-9.6750000000000004E-4</c:v>
                </c:pt>
                <c:pt idx="8">
                  <c:v>1.784E-4</c:v>
                </c:pt>
                <c:pt idx="9">
                  <c:v>8.1209999999999995E-4</c:v>
                </c:pt>
                <c:pt idx="10">
                  <c:v>1.1000000000000001E-3</c:v>
                </c:pt>
                <c:pt idx="11">
                  <c:v>1.181E-3</c:v>
                </c:pt>
                <c:pt idx="12">
                  <c:v>1.1540000000000001E-3</c:v>
                </c:pt>
                <c:pt idx="13">
                  <c:v>1.0809999999999999E-3</c:v>
                </c:pt>
                <c:pt idx="14">
                  <c:v>9.9700000000000006E-4</c:v>
                </c:pt>
                <c:pt idx="15">
                  <c:v>9.2219999999999997E-4</c:v>
                </c:pt>
                <c:pt idx="16">
                  <c:v>8.6640000000000003E-4</c:v>
                </c:pt>
                <c:pt idx="17">
                  <c:v>8.3540000000000003E-4</c:v>
                </c:pt>
                <c:pt idx="18">
                  <c:v>8.3250000000000002E-4</c:v>
                </c:pt>
                <c:pt idx="19">
                  <c:v>8.5490000000000002E-4</c:v>
                </c:pt>
              </c:numCache>
            </c:numRef>
          </c:yVal>
          <c:smooth val="1"/>
          <c:extLst>
            <c:ext xmlns:c16="http://schemas.microsoft.com/office/drawing/2014/chart" uri="{C3380CC4-5D6E-409C-BE32-E72D297353CC}">
              <c16:uniqueId val="{00000002-F53A-41DF-BA18-FCFA72451C15}"/>
            </c:ext>
          </c:extLst>
        </c:ser>
        <c:ser>
          <c:idx val="5"/>
          <c:order val="3"/>
          <c:tx>
            <c:strRef>
              <c:f>'[1L-gcat-h - Parametric Study.xlsx]Temp'!$G$51</c:f>
              <c:strCache>
                <c:ptCount val="1"/>
                <c:pt idx="0">
                  <c:v>QinQout</c:v>
                </c:pt>
              </c:strCache>
            </c:strRef>
          </c:tx>
          <c:spPr>
            <a:ln w="28575" cap="rnd">
              <a:solidFill>
                <a:schemeClr val="accent6"/>
              </a:solidFill>
              <a:round/>
            </a:ln>
            <a:effectLst/>
          </c:spPr>
          <c:marker>
            <c:symbol val="none"/>
          </c:marker>
          <c:yVal>
            <c:numRef>
              <c:f>'[1L-gcat-h - Parametric Study.xlsx]Temp'!$G$52:$G$71</c:f>
              <c:numCache>
                <c:formatCode>General</c:formatCode>
                <c:ptCount val="20"/>
                <c:pt idx="1">
                  <c:v>2.9080000000000002E-2</c:v>
                </c:pt>
                <c:pt idx="2">
                  <c:v>-6.2240000000000004E-3</c:v>
                </c:pt>
                <c:pt idx="3">
                  <c:v>-6.293E-3</c:v>
                </c:pt>
                <c:pt idx="4">
                  <c:v>-3.5860000000000002E-3</c:v>
                </c:pt>
                <c:pt idx="5">
                  <c:v>-1.701E-3</c:v>
                </c:pt>
                <c:pt idx="6">
                  <c:v>-6.4159999999999998E-4</c:v>
                </c:pt>
                <c:pt idx="7">
                  <c:v>-1.013E-4</c:v>
                </c:pt>
                <c:pt idx="8">
                  <c:v>1.4660000000000001E-4</c:v>
                </c:pt>
                <c:pt idx="9">
                  <c:v>2.3900000000000001E-4</c:v>
                </c:pt>
                <c:pt idx="10">
                  <c:v>2.5389999999999999E-4</c:v>
                </c:pt>
                <c:pt idx="11">
                  <c:v>2.3379999999999999E-4</c:v>
                </c:pt>
                <c:pt idx="12">
                  <c:v>2.0120000000000001E-4</c:v>
                </c:pt>
                <c:pt idx="13">
                  <c:v>1.673E-4</c:v>
                </c:pt>
                <c:pt idx="14">
                  <c:v>1.372E-4</c:v>
                </c:pt>
                <c:pt idx="15">
                  <c:v>1.1290000000000001E-4</c:v>
                </c:pt>
                <c:pt idx="16">
                  <c:v>9.5030000000000003E-5</c:v>
                </c:pt>
                <c:pt idx="17">
                  <c:v>8.4079999999999995E-5</c:v>
                </c:pt>
                <c:pt idx="18">
                  <c:v>8.2310000000000003E-5</c:v>
                </c:pt>
                <c:pt idx="19">
                  <c:v>1.0349999999999999E-4</c:v>
                </c:pt>
              </c:numCache>
            </c:numRef>
          </c:yVal>
          <c:smooth val="1"/>
          <c:extLst>
            <c:ext xmlns:c16="http://schemas.microsoft.com/office/drawing/2014/chart" uri="{C3380CC4-5D6E-409C-BE32-E72D297353CC}">
              <c16:uniqueId val="{00000003-F53A-41DF-BA18-FCFA72451C15}"/>
            </c:ext>
          </c:extLst>
        </c:ser>
        <c:ser>
          <c:idx val="7"/>
          <c:order val="4"/>
          <c:tx>
            <c:strRef>
              <c:f>'[1L-gcat-h - Parametric Study.xlsx]Temp'!$I$51</c:f>
              <c:strCache>
                <c:ptCount val="1"/>
                <c:pt idx="0">
                  <c:v>Radiation</c:v>
                </c:pt>
              </c:strCache>
            </c:strRef>
          </c:tx>
          <c:spPr>
            <a:ln w="28575" cap="rnd">
              <a:solidFill>
                <a:srgbClr val="C00000"/>
              </a:solidFill>
              <a:round/>
            </a:ln>
            <a:effectLst/>
          </c:spPr>
          <c:marker>
            <c:symbol val="none"/>
          </c:marker>
          <c:yVal>
            <c:numRef>
              <c:f>'[1L-gcat-h - Parametric Study.xlsx]Temp'!$I$52:$I$71</c:f>
              <c:numCache>
                <c:formatCode>General</c:formatCode>
                <c:ptCount val="20"/>
                <c:pt idx="1">
                  <c:v>1.1849999999999999E-2</c:v>
                </c:pt>
                <c:pt idx="2">
                  <c:v>-8.3319999999999998E-4</c:v>
                </c:pt>
                <c:pt idx="3">
                  <c:v>-8.5950000000000002E-3</c:v>
                </c:pt>
                <c:pt idx="4">
                  <c:v>-1.128E-2</c:v>
                </c:pt>
                <c:pt idx="5">
                  <c:v>-1.1129999999999999E-2</c:v>
                </c:pt>
                <c:pt idx="6">
                  <c:v>-9.7079999999999996E-3</c:v>
                </c:pt>
                <c:pt idx="7">
                  <c:v>-7.8879999999999992E-3</c:v>
                </c:pt>
                <c:pt idx="8">
                  <c:v>-6.0949999999999997E-3</c:v>
                </c:pt>
                <c:pt idx="9">
                  <c:v>-4.5120000000000004E-3</c:v>
                </c:pt>
                <c:pt idx="10">
                  <c:v>-3.1930000000000001E-3</c:v>
                </c:pt>
                <c:pt idx="11">
                  <c:v>-2.1329999999999999E-3</c:v>
                </c:pt>
                <c:pt idx="12">
                  <c:v>-1.3010000000000001E-3</c:v>
                </c:pt>
                <c:pt idx="13">
                  <c:v>-6.5760000000000005E-4</c:v>
                </c:pt>
                <c:pt idx="14">
                  <c:v>-1.663E-4</c:v>
                </c:pt>
                <c:pt idx="15">
                  <c:v>2.0469999999999999E-4</c:v>
                </c:pt>
                <c:pt idx="16">
                  <c:v>4.8089999999999998E-4</c:v>
                </c:pt>
                <c:pt idx="17">
                  <c:v>6.8099999999999996E-4</c:v>
                </c:pt>
                <c:pt idx="18">
                  <c:v>8.1709999999999997E-4</c:v>
                </c:pt>
                <c:pt idx="19">
                  <c:v>8.9329999999999998E-4</c:v>
                </c:pt>
              </c:numCache>
            </c:numRef>
          </c:yVal>
          <c:smooth val="1"/>
          <c:extLst>
            <c:ext xmlns:c16="http://schemas.microsoft.com/office/drawing/2014/chart" uri="{C3380CC4-5D6E-409C-BE32-E72D297353CC}">
              <c16:uniqueId val="{00000004-F53A-41DF-BA18-FCFA72451C15}"/>
            </c:ext>
          </c:extLst>
        </c:ser>
        <c:ser>
          <c:idx val="8"/>
          <c:order val="5"/>
          <c:tx>
            <c:strRef>
              <c:f>'[1L-gcat-h - Parametric Study.xlsx]Temp'!$J$51</c:f>
              <c:strCache>
                <c:ptCount val="1"/>
                <c:pt idx="0">
                  <c:v>Reactions</c:v>
                </c:pt>
              </c:strCache>
            </c:strRef>
          </c:tx>
          <c:spPr>
            <a:ln w="28575" cap="rnd">
              <a:solidFill>
                <a:schemeClr val="accent2"/>
              </a:solidFill>
              <a:round/>
            </a:ln>
            <a:effectLst/>
          </c:spPr>
          <c:marker>
            <c:symbol val="none"/>
          </c:marker>
          <c:yVal>
            <c:numRef>
              <c:f>'[1L-gcat-h - Parametric Study.xlsx]Temp'!$J$52:$J$71</c:f>
              <c:numCache>
                <c:formatCode>General</c:formatCode>
                <c:ptCount val="20"/>
                <c:pt idx="1">
                  <c:v>-0.1125</c:v>
                </c:pt>
                <c:pt idx="2">
                  <c:v>-1.746E-2</c:v>
                </c:pt>
                <c:pt idx="3">
                  <c:v>1.0489999999999999E-2</c:v>
                </c:pt>
                <c:pt idx="4">
                  <c:v>1.5689999999999999E-2</c:v>
                </c:pt>
                <c:pt idx="5">
                  <c:v>1.3599999999999999E-2</c:v>
                </c:pt>
                <c:pt idx="6">
                  <c:v>9.9489999999999995E-3</c:v>
                </c:pt>
                <c:pt idx="7">
                  <c:v>6.6499999999999997E-3</c:v>
                </c:pt>
                <c:pt idx="8">
                  <c:v>4.1539999999999997E-3</c:v>
                </c:pt>
                <c:pt idx="9">
                  <c:v>2.4109999999999999E-3</c:v>
                </c:pt>
                <c:pt idx="10">
                  <c:v>1.242E-3</c:v>
                </c:pt>
                <c:pt idx="11">
                  <c:v>4.75E-4</c:v>
                </c:pt>
                <c:pt idx="12">
                  <c:v>-2.463E-5</c:v>
                </c:pt>
                <c:pt idx="13">
                  <c:v>-3.5040000000000001E-4</c:v>
                </c:pt>
                <c:pt idx="14">
                  <c:v>-5.6439999999999995E-4</c:v>
                </c:pt>
                <c:pt idx="15">
                  <c:v>-7.0669999999999999E-4</c:v>
                </c:pt>
                <c:pt idx="16">
                  <c:v>-8.0320000000000001E-4</c:v>
                </c:pt>
                <c:pt idx="17">
                  <c:v>-8.7009999999999995E-4</c:v>
                </c:pt>
                <c:pt idx="18">
                  <c:v>-9.1830000000000004E-4</c:v>
                </c:pt>
                <c:pt idx="19">
                  <c:v>-9.5540000000000002E-4</c:v>
                </c:pt>
              </c:numCache>
            </c:numRef>
          </c:yVal>
          <c:smooth val="1"/>
          <c:extLst>
            <c:ext xmlns:c16="http://schemas.microsoft.com/office/drawing/2014/chart" uri="{C3380CC4-5D6E-409C-BE32-E72D297353CC}">
              <c16:uniqueId val="{00000005-F53A-41DF-BA18-FCFA72451C15}"/>
            </c:ext>
          </c:extLst>
        </c:ser>
        <c:dLbls>
          <c:showLegendKey val="0"/>
          <c:showVal val="0"/>
          <c:showCatName val="0"/>
          <c:showSerName val="0"/>
          <c:showPercent val="0"/>
          <c:showBubbleSize val="0"/>
        </c:dLbls>
        <c:axId val="2040333391"/>
        <c:axId val="2040334351"/>
      </c:scatterChart>
      <c:valAx>
        <c:axId val="2040333391"/>
        <c:scaling>
          <c:orientation val="minMax"/>
          <c:max val="20"/>
          <c:min val="1.5"/>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PEN Elements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2040334351"/>
        <c:crosses val="autoZero"/>
        <c:crossBetween val="midCat"/>
      </c:valAx>
      <c:valAx>
        <c:axId val="204033435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Heat Transfer (W)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out"/>
        <c:minorTickMark val="none"/>
        <c:tickLblPos val="nextTo"/>
        <c:spPr>
          <a:noFill/>
          <a:ln>
            <a:solidFill>
              <a:schemeClr val="bg2">
                <a:lumMod val="9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0333391"/>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'[1L-gcat-h - Parametric Study.xlsx]Ovepotential'!$B$3</c:f>
              <c:strCache>
                <c:ptCount val="1"/>
                <c:pt idx="0">
                  <c:v>Ohm, PEN</c:v>
                </c:pt>
              </c:strCache>
            </c:strRef>
          </c:tx>
          <c:spPr>
            <a:solidFill>
              <a:schemeClr val="accent1"/>
            </a:solidFill>
            <a:ln>
              <a:noFill/>
            </a:ln>
            <a:effectLst/>
          </c:spPr>
          <c:invertIfNegative val="0"/>
          <c:cat>
            <c:numRef>
              <c:f>'[1L-gcat-h - Parametric Study.xlsx]Ovepotential'!$A$5:$A$23</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cat>
          <c:val>
            <c:numRef>
              <c:f>'[1L-gcat-h - Parametric Study.xlsx]Ovepotential'!$B$5:$B$23</c:f>
              <c:numCache>
                <c:formatCode>General</c:formatCode>
                <c:ptCount val="19"/>
                <c:pt idx="0">
                  <c:v>9.2579999999999995E-4</c:v>
                </c:pt>
                <c:pt idx="1">
                  <c:v>2.154E-4</c:v>
                </c:pt>
                <c:pt idx="2">
                  <c:v>1.8770000000000001E-4</c:v>
                </c:pt>
                <c:pt idx="3">
                  <c:v>1.9469999999999999E-4</c:v>
                </c:pt>
                <c:pt idx="4">
                  <c:v>1.9790000000000001E-4</c:v>
                </c:pt>
                <c:pt idx="5">
                  <c:v>1.9799999999999999E-4</c:v>
                </c:pt>
                <c:pt idx="6">
                  <c:v>1.9670000000000001E-4</c:v>
                </c:pt>
                <c:pt idx="7">
                  <c:v>1.9459999999999999E-4</c:v>
                </c:pt>
                <c:pt idx="8">
                  <c:v>1.9230000000000001E-4</c:v>
                </c:pt>
                <c:pt idx="9">
                  <c:v>1.8980000000000001E-4</c:v>
                </c:pt>
                <c:pt idx="10">
                  <c:v>1.872E-4</c:v>
                </c:pt>
                <c:pt idx="11">
                  <c:v>1.8459999999999999E-4</c:v>
                </c:pt>
                <c:pt idx="12">
                  <c:v>1.819E-4</c:v>
                </c:pt>
                <c:pt idx="13">
                  <c:v>1.7929999999999999E-4</c:v>
                </c:pt>
                <c:pt idx="14">
                  <c:v>1.7660000000000001E-4</c:v>
                </c:pt>
                <c:pt idx="15">
                  <c:v>1.739E-4</c:v>
                </c:pt>
                <c:pt idx="16">
                  <c:v>1.7129999999999999E-4</c:v>
                </c:pt>
                <c:pt idx="17">
                  <c:v>1.6860000000000001E-4</c:v>
                </c:pt>
                <c:pt idx="18">
                  <c:v>1.66E-4</c:v>
                </c:pt>
              </c:numCache>
            </c:numRef>
          </c:val>
          <c:extLst>
            <c:ext xmlns:c16="http://schemas.microsoft.com/office/drawing/2014/chart" uri="{C3380CC4-5D6E-409C-BE32-E72D297353CC}">
              <c16:uniqueId val="{00000000-825D-4266-98D2-AF84CBABBD24}"/>
            </c:ext>
          </c:extLst>
        </c:ser>
        <c:ser>
          <c:idx val="1"/>
          <c:order val="1"/>
          <c:tx>
            <c:strRef>
              <c:f>'[1L-gcat-h - Parametric Study.xlsx]Ovepotential'!$C$3</c:f>
              <c:strCache>
                <c:ptCount val="1"/>
                <c:pt idx="0">
                  <c:v>Ohm, IC</c:v>
                </c:pt>
              </c:strCache>
            </c:strRef>
          </c:tx>
          <c:spPr>
            <a:solidFill>
              <a:schemeClr val="accent2"/>
            </a:solidFill>
            <a:ln>
              <a:noFill/>
            </a:ln>
            <a:effectLst/>
          </c:spPr>
          <c:invertIfNegative val="0"/>
          <c:cat>
            <c:numRef>
              <c:f>'[1L-gcat-h - Parametric Study.xlsx]Ovepotential'!$A$5:$A$23</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cat>
          <c:val>
            <c:numRef>
              <c:f>'[1L-gcat-h - Parametric Study.xlsx]Ovepotential'!$C$5:$C$23</c:f>
              <c:numCache>
                <c:formatCode>General</c:formatCode>
                <c:ptCount val="19"/>
                <c:pt idx="0">
                  <c:v>5.41E-5</c:v>
                </c:pt>
                <c:pt idx="1">
                  <c:v>1.259E-5</c:v>
                </c:pt>
                <c:pt idx="2">
                  <c:v>1.097E-5</c:v>
                </c:pt>
                <c:pt idx="3">
                  <c:v>1.1379999999999999E-5</c:v>
                </c:pt>
                <c:pt idx="4">
                  <c:v>1.1559999999999999E-5</c:v>
                </c:pt>
                <c:pt idx="5">
                  <c:v>1.1569999999999999E-5</c:v>
                </c:pt>
                <c:pt idx="6">
                  <c:v>1.149E-5</c:v>
                </c:pt>
                <c:pt idx="7">
                  <c:v>1.137E-5</c:v>
                </c:pt>
                <c:pt idx="8">
                  <c:v>1.1240000000000001E-5</c:v>
                </c:pt>
                <c:pt idx="9">
                  <c:v>1.1090000000000001E-5</c:v>
                </c:pt>
                <c:pt idx="10">
                  <c:v>1.094E-5</c:v>
                </c:pt>
                <c:pt idx="11">
                  <c:v>1.079E-5</c:v>
                </c:pt>
                <c:pt idx="12">
                  <c:v>1.063E-5</c:v>
                </c:pt>
                <c:pt idx="13">
                  <c:v>1.048E-5</c:v>
                </c:pt>
                <c:pt idx="14">
                  <c:v>1.0319999999999999E-5</c:v>
                </c:pt>
                <c:pt idx="15">
                  <c:v>1.0159999999999999E-5</c:v>
                </c:pt>
                <c:pt idx="16">
                  <c:v>1.0010000000000001E-5</c:v>
                </c:pt>
                <c:pt idx="17">
                  <c:v>9.8549999999999997E-6</c:v>
                </c:pt>
                <c:pt idx="18">
                  <c:v>9.7019999999999996E-6</c:v>
                </c:pt>
              </c:numCache>
            </c:numRef>
          </c:val>
          <c:extLst>
            <c:ext xmlns:c16="http://schemas.microsoft.com/office/drawing/2014/chart" uri="{C3380CC4-5D6E-409C-BE32-E72D297353CC}">
              <c16:uniqueId val="{00000001-825D-4266-98D2-AF84CBABBD24}"/>
            </c:ext>
          </c:extLst>
        </c:ser>
        <c:ser>
          <c:idx val="2"/>
          <c:order val="2"/>
          <c:tx>
            <c:strRef>
              <c:f>'[1L-gcat-h - Parametric Study.xlsx]Ovepotential'!$D$3</c:f>
              <c:strCache>
                <c:ptCount val="1"/>
                <c:pt idx="0">
                  <c:v>Act, An</c:v>
                </c:pt>
              </c:strCache>
            </c:strRef>
          </c:tx>
          <c:spPr>
            <a:solidFill>
              <a:schemeClr val="accent3"/>
            </a:solidFill>
            <a:ln>
              <a:noFill/>
            </a:ln>
            <a:effectLst/>
          </c:spPr>
          <c:invertIfNegative val="0"/>
          <c:cat>
            <c:numRef>
              <c:f>'[1L-gcat-h - Parametric Study.xlsx]Ovepotential'!$A$5:$A$23</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cat>
          <c:val>
            <c:numRef>
              <c:f>'[1L-gcat-h - Parametric Study.xlsx]Ovepotential'!$D$5:$D$23</c:f>
              <c:numCache>
                <c:formatCode>General</c:formatCode>
                <c:ptCount val="19"/>
                <c:pt idx="0">
                  <c:v>6.5470000000000003E-4</c:v>
                </c:pt>
                <c:pt idx="1">
                  <c:v>1.5210000000000001E-4</c:v>
                </c:pt>
                <c:pt idx="2">
                  <c:v>1.326E-4</c:v>
                </c:pt>
                <c:pt idx="3">
                  <c:v>1.3750000000000001E-4</c:v>
                </c:pt>
                <c:pt idx="4">
                  <c:v>1.3980000000000001E-4</c:v>
                </c:pt>
                <c:pt idx="5">
                  <c:v>1.3990000000000001E-4</c:v>
                </c:pt>
                <c:pt idx="6">
                  <c:v>1.3889999999999999E-4</c:v>
                </c:pt>
                <c:pt idx="7">
                  <c:v>1.3750000000000001E-4</c:v>
                </c:pt>
                <c:pt idx="8">
                  <c:v>1.3579999999999999E-4</c:v>
                </c:pt>
                <c:pt idx="9">
                  <c:v>1.34E-4</c:v>
                </c:pt>
                <c:pt idx="10">
                  <c:v>1.3219999999999999E-4</c:v>
                </c:pt>
                <c:pt idx="11">
                  <c:v>1.304E-4</c:v>
                </c:pt>
                <c:pt idx="12">
                  <c:v>1.2850000000000001E-4</c:v>
                </c:pt>
                <c:pt idx="13">
                  <c:v>1.2659999999999999E-4</c:v>
                </c:pt>
                <c:pt idx="14">
                  <c:v>1.247E-4</c:v>
                </c:pt>
                <c:pt idx="15">
                  <c:v>1.228E-4</c:v>
                </c:pt>
                <c:pt idx="16">
                  <c:v>1.21E-4</c:v>
                </c:pt>
                <c:pt idx="17">
                  <c:v>1.1909999999999999E-4</c:v>
                </c:pt>
                <c:pt idx="18">
                  <c:v>1.1730000000000001E-4</c:v>
                </c:pt>
              </c:numCache>
            </c:numRef>
          </c:val>
          <c:extLst>
            <c:ext xmlns:c16="http://schemas.microsoft.com/office/drawing/2014/chart" uri="{C3380CC4-5D6E-409C-BE32-E72D297353CC}">
              <c16:uniqueId val="{00000002-825D-4266-98D2-AF84CBABBD24}"/>
            </c:ext>
          </c:extLst>
        </c:ser>
        <c:ser>
          <c:idx val="3"/>
          <c:order val="3"/>
          <c:tx>
            <c:strRef>
              <c:f>'[1L-gcat-h - Parametric Study.xlsx]Ovepotential'!$E$3</c:f>
              <c:strCache>
                <c:ptCount val="1"/>
                <c:pt idx="0">
                  <c:v>Act, Ca</c:v>
                </c:pt>
              </c:strCache>
            </c:strRef>
          </c:tx>
          <c:spPr>
            <a:solidFill>
              <a:schemeClr val="accent4"/>
            </a:solidFill>
            <a:ln>
              <a:noFill/>
            </a:ln>
            <a:effectLst/>
          </c:spPr>
          <c:invertIfNegative val="0"/>
          <c:cat>
            <c:numRef>
              <c:f>'[1L-gcat-h - Parametric Study.xlsx]Ovepotential'!$A$5:$A$23</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cat>
          <c:val>
            <c:numRef>
              <c:f>'[1L-gcat-h - Parametric Study.xlsx]Ovepotential'!$E$5:$E$23</c:f>
              <c:numCache>
                <c:formatCode>0.00E+00</c:formatCode>
                <c:ptCount val="19"/>
                <c:pt idx="0">
                  <c:v>5.5609999999999996E-7</c:v>
                </c:pt>
                <c:pt idx="1">
                  <c:v>1.2940000000000001E-7</c:v>
                </c:pt>
                <c:pt idx="2">
                  <c:v>1.127E-7</c:v>
                </c:pt>
                <c:pt idx="3">
                  <c:v>1.17E-7</c:v>
                </c:pt>
                <c:pt idx="4">
                  <c:v>1.189E-7</c:v>
                </c:pt>
                <c:pt idx="5">
                  <c:v>1.189E-7</c:v>
                </c:pt>
                <c:pt idx="6">
                  <c:v>1.1810000000000001E-7</c:v>
                </c:pt>
                <c:pt idx="7">
                  <c:v>1.1689999999999999E-7</c:v>
                </c:pt>
                <c:pt idx="8">
                  <c:v>1.155E-7</c:v>
                </c:pt>
                <c:pt idx="9">
                  <c:v>1.14E-7</c:v>
                </c:pt>
                <c:pt idx="10">
                  <c:v>1.124E-7</c:v>
                </c:pt>
                <c:pt idx="11">
                  <c:v>1.1089999999999999E-7</c:v>
                </c:pt>
                <c:pt idx="12">
                  <c:v>1.0930000000000001E-7</c:v>
                </c:pt>
                <c:pt idx="13">
                  <c:v>1.077E-7</c:v>
                </c:pt>
                <c:pt idx="14">
                  <c:v>1.061E-7</c:v>
                </c:pt>
                <c:pt idx="15">
                  <c:v>1.045E-7</c:v>
                </c:pt>
                <c:pt idx="16">
                  <c:v>1.029E-7</c:v>
                </c:pt>
                <c:pt idx="17">
                  <c:v>1.013E-7</c:v>
                </c:pt>
                <c:pt idx="18">
                  <c:v>9.9719999999999996E-8</c:v>
                </c:pt>
              </c:numCache>
            </c:numRef>
          </c:val>
          <c:extLst>
            <c:ext xmlns:c16="http://schemas.microsoft.com/office/drawing/2014/chart" uri="{C3380CC4-5D6E-409C-BE32-E72D297353CC}">
              <c16:uniqueId val="{00000003-825D-4266-98D2-AF84CBABBD24}"/>
            </c:ext>
          </c:extLst>
        </c:ser>
        <c:ser>
          <c:idx val="4"/>
          <c:order val="4"/>
          <c:tx>
            <c:strRef>
              <c:f>'[1L-gcat-h - Parametric Study.xlsx]Ovepotential'!$F$3</c:f>
              <c:strCache>
                <c:ptCount val="1"/>
                <c:pt idx="0">
                  <c:v>Conc</c:v>
                </c:pt>
              </c:strCache>
            </c:strRef>
          </c:tx>
          <c:spPr>
            <a:solidFill>
              <a:schemeClr val="accent5"/>
            </a:solidFill>
            <a:ln>
              <a:noFill/>
            </a:ln>
            <a:effectLst/>
          </c:spPr>
          <c:invertIfNegative val="0"/>
          <c:cat>
            <c:numRef>
              <c:f>'[1L-gcat-h - Parametric Study.xlsx]Ovepotential'!$A$5:$A$23</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cat>
          <c:val>
            <c:numRef>
              <c:f>'[1L-gcat-h - Parametric Study.xlsx]Ovepotential'!$F$5:$F$23</c:f>
              <c:numCache>
                <c:formatCode>General</c:formatCode>
                <c:ptCount val="19"/>
                <c:pt idx="0">
                  <c:v>7.6499999999999997E-3</c:v>
                </c:pt>
                <c:pt idx="1">
                  <c:v>1.6119999999999999E-3</c:v>
                </c:pt>
                <c:pt idx="2">
                  <c:v>1.222E-3</c:v>
                </c:pt>
                <c:pt idx="3">
                  <c:v>1.1130000000000001E-3</c:v>
                </c:pt>
                <c:pt idx="4">
                  <c:v>1.0059999999999999E-3</c:v>
                </c:pt>
                <c:pt idx="5">
                  <c:v>9.054E-4</c:v>
                </c:pt>
                <c:pt idx="6">
                  <c:v>8.1740000000000003E-4</c:v>
                </c:pt>
                <c:pt idx="7">
                  <c:v>7.4169999999999998E-4</c:v>
                </c:pt>
                <c:pt idx="8">
                  <c:v>6.7690000000000003E-4</c:v>
                </c:pt>
                <c:pt idx="9">
                  <c:v>6.2100000000000002E-4</c:v>
                </c:pt>
                <c:pt idx="10">
                  <c:v>5.7260000000000004E-4</c:v>
                </c:pt>
                <c:pt idx="11">
                  <c:v>5.3019999999999999E-4</c:v>
                </c:pt>
                <c:pt idx="12">
                  <c:v>4.9280000000000005E-4</c:v>
                </c:pt>
                <c:pt idx="13">
                  <c:v>4.596E-4</c:v>
                </c:pt>
                <c:pt idx="14">
                  <c:v>4.2999999999999999E-4</c:v>
                </c:pt>
                <c:pt idx="15">
                  <c:v>4.035E-4</c:v>
                </c:pt>
                <c:pt idx="16">
                  <c:v>3.7950000000000001E-4</c:v>
                </c:pt>
                <c:pt idx="17">
                  <c:v>3.5770000000000002E-4</c:v>
                </c:pt>
                <c:pt idx="18">
                  <c:v>3.3799999999999998E-4</c:v>
                </c:pt>
              </c:numCache>
            </c:numRef>
          </c:val>
          <c:extLst>
            <c:ext xmlns:c16="http://schemas.microsoft.com/office/drawing/2014/chart" uri="{C3380CC4-5D6E-409C-BE32-E72D297353CC}">
              <c16:uniqueId val="{00000004-825D-4266-98D2-AF84CBABBD24}"/>
            </c:ext>
          </c:extLst>
        </c:ser>
        <c:dLbls>
          <c:showLegendKey val="0"/>
          <c:showVal val="0"/>
          <c:showCatName val="0"/>
          <c:showSerName val="0"/>
          <c:showPercent val="0"/>
          <c:showBubbleSize val="0"/>
        </c:dLbls>
        <c:gapWidth val="150"/>
        <c:overlap val="100"/>
        <c:axId val="529097391"/>
        <c:axId val="529100751"/>
      </c:barChart>
      <c:catAx>
        <c:axId val="52909739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Cell Elements</a:t>
                </a:r>
              </a:p>
            </c:rich>
          </c:tx>
          <c:layout>
            <c:manualLayout>
              <c:xMode val="edge"/>
              <c:yMode val="edge"/>
              <c:x val="0.48797760888882497"/>
              <c:y val="0.8039352846464268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100751"/>
        <c:crosses val="autoZero"/>
        <c:auto val="1"/>
        <c:lblAlgn val="ctr"/>
        <c:lblOffset val="100"/>
        <c:noMultiLvlLbl val="1"/>
      </c:catAx>
      <c:valAx>
        <c:axId val="52910075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Overpotential (V)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0973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'[1L-gcat-h - Parametric Study.xlsx]t_an'!$D$1</c:f>
              <c:strCache>
                <c:ptCount val="1"/>
                <c:pt idx="0">
                  <c:v>Ohmic</c:v>
                </c:pt>
              </c:strCache>
            </c:strRef>
          </c:tx>
          <c:spPr>
            <a:solidFill>
              <a:schemeClr val="accent2"/>
            </a:solidFill>
            <a:ln>
              <a:noFill/>
            </a:ln>
            <a:effectLst/>
          </c:spPr>
          <c:invertIfNegative val="0"/>
          <c:cat>
            <c:numRef>
              <c:f>'[1L-gcat-h - Parametric Study.xlsx]t_an'!$B$2:$B$16</c:f>
              <c:numCache>
                <c:formatCode>General</c:formatCode>
                <c:ptCount val="15"/>
                <c:pt idx="0">
                  <c:v>0.5</c:v>
                </c:pt>
                <c:pt idx="1">
                  <c:v>0.60709999999999997</c:v>
                </c:pt>
                <c:pt idx="2">
                  <c:v>0.71429999999999993</c:v>
                </c:pt>
                <c:pt idx="3">
                  <c:v>0.82140000000000002</c:v>
                </c:pt>
                <c:pt idx="4">
                  <c:v>0.92859999999999998</c:v>
                </c:pt>
                <c:pt idx="5">
                  <c:v>1.036</c:v>
                </c:pt>
                <c:pt idx="6">
                  <c:v>1.143</c:v>
                </c:pt>
                <c:pt idx="7">
                  <c:v>1.25</c:v>
                </c:pt>
                <c:pt idx="8">
                  <c:v>1.357</c:v>
                </c:pt>
                <c:pt idx="9">
                  <c:v>1.464</c:v>
                </c:pt>
                <c:pt idx="10">
                  <c:v>1.571</c:v>
                </c:pt>
                <c:pt idx="11">
                  <c:v>1.6789999999999998</c:v>
                </c:pt>
                <c:pt idx="12">
                  <c:v>1.786</c:v>
                </c:pt>
                <c:pt idx="13">
                  <c:v>1.893</c:v>
                </c:pt>
                <c:pt idx="14">
                  <c:v>2</c:v>
                </c:pt>
              </c:numCache>
            </c:numRef>
          </c:cat>
          <c:val>
            <c:numRef>
              <c:f>'[1L-gcat-h - Parametric Study.xlsx]t_an'!$D$2:$D$16</c:f>
              <c:numCache>
                <c:formatCode>General</c:formatCode>
                <c:ptCount val="15"/>
                <c:pt idx="0">
                  <c:v>1.7039999999999999E-4</c:v>
                </c:pt>
                <c:pt idx="1">
                  <c:v>1.705E-4</c:v>
                </c:pt>
                <c:pt idx="2">
                  <c:v>1.705E-4</c:v>
                </c:pt>
                <c:pt idx="3">
                  <c:v>1.706E-4</c:v>
                </c:pt>
                <c:pt idx="4">
                  <c:v>1.707E-4</c:v>
                </c:pt>
                <c:pt idx="5">
                  <c:v>1.707E-4</c:v>
                </c:pt>
                <c:pt idx="6">
                  <c:v>1.708E-4</c:v>
                </c:pt>
                <c:pt idx="7">
                  <c:v>1.7090000000000001E-4</c:v>
                </c:pt>
                <c:pt idx="8">
                  <c:v>1.7090000000000001E-4</c:v>
                </c:pt>
                <c:pt idx="9">
                  <c:v>1.7100000000000001E-4</c:v>
                </c:pt>
                <c:pt idx="10">
                  <c:v>1.7110000000000001E-4</c:v>
                </c:pt>
                <c:pt idx="11">
                  <c:v>1.7110000000000001E-4</c:v>
                </c:pt>
                <c:pt idx="12">
                  <c:v>1.7119999999999999E-4</c:v>
                </c:pt>
                <c:pt idx="13">
                  <c:v>1.7129999999999999E-4</c:v>
                </c:pt>
                <c:pt idx="14">
                  <c:v>1.7129999999999999E-4</c:v>
                </c:pt>
              </c:numCache>
            </c:numRef>
          </c:val>
          <c:extLst>
            <c:ext xmlns:c16="http://schemas.microsoft.com/office/drawing/2014/chart" uri="{C3380CC4-5D6E-409C-BE32-E72D297353CC}">
              <c16:uniqueId val="{00000000-CDD9-4033-9DBD-203D6ADA371A}"/>
            </c:ext>
          </c:extLst>
        </c:ser>
        <c:ser>
          <c:idx val="2"/>
          <c:order val="1"/>
          <c:tx>
            <c:strRef>
              <c:f>'[1L-gcat-h - Parametric Study.xlsx]t_an'!$E$1</c:f>
              <c:strCache>
                <c:ptCount val="1"/>
                <c:pt idx="0">
                  <c:v>Concentration</c:v>
                </c:pt>
              </c:strCache>
            </c:strRef>
          </c:tx>
          <c:spPr>
            <a:solidFill>
              <a:schemeClr val="accent3"/>
            </a:solidFill>
            <a:ln>
              <a:noFill/>
            </a:ln>
            <a:effectLst/>
          </c:spPr>
          <c:invertIfNegative val="0"/>
          <c:cat>
            <c:numRef>
              <c:f>'[1L-gcat-h - Parametric Study.xlsx]t_an'!$B$2:$B$16</c:f>
              <c:numCache>
                <c:formatCode>General</c:formatCode>
                <c:ptCount val="15"/>
                <c:pt idx="0">
                  <c:v>0.5</c:v>
                </c:pt>
                <c:pt idx="1">
                  <c:v>0.60709999999999997</c:v>
                </c:pt>
                <c:pt idx="2">
                  <c:v>0.71429999999999993</c:v>
                </c:pt>
                <c:pt idx="3">
                  <c:v>0.82140000000000002</c:v>
                </c:pt>
                <c:pt idx="4">
                  <c:v>0.92859999999999998</c:v>
                </c:pt>
                <c:pt idx="5">
                  <c:v>1.036</c:v>
                </c:pt>
                <c:pt idx="6">
                  <c:v>1.143</c:v>
                </c:pt>
                <c:pt idx="7">
                  <c:v>1.25</c:v>
                </c:pt>
                <c:pt idx="8">
                  <c:v>1.357</c:v>
                </c:pt>
                <c:pt idx="9">
                  <c:v>1.464</c:v>
                </c:pt>
                <c:pt idx="10">
                  <c:v>1.571</c:v>
                </c:pt>
                <c:pt idx="11">
                  <c:v>1.6789999999999998</c:v>
                </c:pt>
                <c:pt idx="12">
                  <c:v>1.786</c:v>
                </c:pt>
                <c:pt idx="13">
                  <c:v>1.893</c:v>
                </c:pt>
                <c:pt idx="14">
                  <c:v>2</c:v>
                </c:pt>
              </c:numCache>
            </c:numRef>
          </c:cat>
          <c:val>
            <c:numRef>
              <c:f>'[1L-gcat-h - Parametric Study.xlsx]t_an'!$E$2:$E$16</c:f>
              <c:numCache>
                <c:formatCode>General</c:formatCode>
                <c:ptCount val="15"/>
                <c:pt idx="0">
                  <c:v>4.8759999999999998E-4</c:v>
                </c:pt>
                <c:pt idx="1">
                  <c:v>5.239E-4</c:v>
                </c:pt>
                <c:pt idx="2">
                  <c:v>5.7410000000000002E-4</c:v>
                </c:pt>
                <c:pt idx="3">
                  <c:v>6.29E-4</c:v>
                </c:pt>
                <c:pt idx="4">
                  <c:v>6.8579999999999997E-4</c:v>
                </c:pt>
                <c:pt idx="5">
                  <c:v>7.4319999999999996E-4</c:v>
                </c:pt>
                <c:pt idx="6">
                  <c:v>8.0060000000000005E-4</c:v>
                </c:pt>
                <c:pt idx="7">
                  <c:v>8.5769999999999998E-4</c:v>
                </c:pt>
                <c:pt idx="8">
                  <c:v>9.1430000000000005E-4</c:v>
                </c:pt>
                <c:pt idx="9">
                  <c:v>9.7019999999999995E-4</c:v>
                </c:pt>
                <c:pt idx="10">
                  <c:v>1.0250000000000001E-3</c:v>
                </c:pt>
                <c:pt idx="11">
                  <c:v>1.08E-3</c:v>
                </c:pt>
                <c:pt idx="12">
                  <c:v>1.1329999999999999E-3</c:v>
                </c:pt>
                <c:pt idx="13">
                  <c:v>1.186E-3</c:v>
                </c:pt>
                <c:pt idx="14">
                  <c:v>1.237E-3</c:v>
                </c:pt>
              </c:numCache>
            </c:numRef>
          </c:val>
          <c:extLst>
            <c:ext xmlns:c16="http://schemas.microsoft.com/office/drawing/2014/chart" uri="{C3380CC4-5D6E-409C-BE32-E72D297353CC}">
              <c16:uniqueId val="{00000001-CDD9-4033-9DBD-203D6ADA371A}"/>
            </c:ext>
          </c:extLst>
        </c:ser>
        <c:ser>
          <c:idx val="3"/>
          <c:order val="2"/>
          <c:tx>
            <c:strRef>
              <c:f>'[1L-gcat-h - Parametric Study.xlsx]t_an'!$F$1</c:f>
              <c:strCache>
                <c:ptCount val="1"/>
                <c:pt idx="0">
                  <c:v>Activation</c:v>
                </c:pt>
              </c:strCache>
            </c:strRef>
          </c:tx>
          <c:spPr>
            <a:solidFill>
              <a:schemeClr val="accent4"/>
            </a:solidFill>
            <a:ln>
              <a:noFill/>
            </a:ln>
            <a:effectLst/>
          </c:spPr>
          <c:invertIfNegative val="0"/>
          <c:cat>
            <c:numRef>
              <c:f>'[1L-gcat-h - Parametric Study.xlsx]t_an'!$B$2:$B$16</c:f>
              <c:numCache>
                <c:formatCode>General</c:formatCode>
                <c:ptCount val="15"/>
                <c:pt idx="0">
                  <c:v>0.5</c:v>
                </c:pt>
                <c:pt idx="1">
                  <c:v>0.60709999999999997</c:v>
                </c:pt>
                <c:pt idx="2">
                  <c:v>0.71429999999999993</c:v>
                </c:pt>
                <c:pt idx="3">
                  <c:v>0.82140000000000002</c:v>
                </c:pt>
                <c:pt idx="4">
                  <c:v>0.92859999999999998</c:v>
                </c:pt>
                <c:pt idx="5">
                  <c:v>1.036</c:v>
                </c:pt>
                <c:pt idx="6">
                  <c:v>1.143</c:v>
                </c:pt>
                <c:pt idx="7">
                  <c:v>1.25</c:v>
                </c:pt>
                <c:pt idx="8">
                  <c:v>1.357</c:v>
                </c:pt>
                <c:pt idx="9">
                  <c:v>1.464</c:v>
                </c:pt>
                <c:pt idx="10">
                  <c:v>1.571</c:v>
                </c:pt>
                <c:pt idx="11">
                  <c:v>1.6789999999999998</c:v>
                </c:pt>
                <c:pt idx="12">
                  <c:v>1.786</c:v>
                </c:pt>
                <c:pt idx="13">
                  <c:v>1.893</c:v>
                </c:pt>
                <c:pt idx="14">
                  <c:v>2</c:v>
                </c:pt>
              </c:numCache>
            </c:numRef>
          </c:cat>
          <c:val>
            <c:numRef>
              <c:f>'[1L-gcat-h - Parametric Study.xlsx]t_an'!$F$2:$F$16</c:f>
              <c:numCache>
                <c:formatCode>General</c:formatCode>
                <c:ptCount val="15"/>
                <c:pt idx="0">
                  <c:v>1.0289999999999999E-4</c:v>
                </c:pt>
                <c:pt idx="1">
                  <c:v>1.031E-4</c:v>
                </c:pt>
                <c:pt idx="2">
                  <c:v>1.032E-4</c:v>
                </c:pt>
                <c:pt idx="3">
                  <c:v>1.033E-4</c:v>
                </c:pt>
                <c:pt idx="4">
                  <c:v>1.0349999999999999E-4</c:v>
                </c:pt>
                <c:pt idx="5">
                  <c:v>1.036E-4</c:v>
                </c:pt>
                <c:pt idx="6">
                  <c:v>1.037E-4</c:v>
                </c:pt>
                <c:pt idx="7">
                  <c:v>1.038E-4</c:v>
                </c:pt>
                <c:pt idx="8">
                  <c:v>1.039E-4</c:v>
                </c:pt>
                <c:pt idx="9">
                  <c:v>1.0399999999999999E-4</c:v>
                </c:pt>
                <c:pt idx="10">
                  <c:v>1.041E-4</c:v>
                </c:pt>
                <c:pt idx="11">
                  <c:v>1.042E-4</c:v>
                </c:pt>
                <c:pt idx="12">
                  <c:v>1.044E-4</c:v>
                </c:pt>
                <c:pt idx="13">
                  <c:v>1.0450000000000001E-4</c:v>
                </c:pt>
                <c:pt idx="14">
                  <c:v>1.0459999999999999E-4</c:v>
                </c:pt>
              </c:numCache>
            </c:numRef>
          </c:val>
          <c:extLst>
            <c:ext xmlns:c16="http://schemas.microsoft.com/office/drawing/2014/chart" uri="{C3380CC4-5D6E-409C-BE32-E72D297353CC}">
              <c16:uniqueId val="{00000002-CDD9-4033-9DBD-203D6ADA371A}"/>
            </c:ext>
          </c:extLst>
        </c:ser>
        <c:dLbls>
          <c:showLegendKey val="0"/>
          <c:showVal val="0"/>
          <c:showCatName val="0"/>
          <c:showSerName val="0"/>
          <c:showPercent val="0"/>
          <c:showBubbleSize val="0"/>
        </c:dLbls>
        <c:gapWidth val="219"/>
        <c:overlap val="100"/>
        <c:axId val="448034543"/>
        <c:axId val="448038383"/>
      </c:barChart>
      <c:scatterChart>
        <c:scatterStyle val="smoothMarker"/>
        <c:varyColors val="0"/>
        <c:ser>
          <c:idx val="5"/>
          <c:order val="3"/>
          <c:tx>
            <c:strRef>
              <c:f>'[1L-gcat-h - Parametric Study.xlsx]t_an'!$H$1</c:f>
              <c:strCache>
                <c:ptCount val="1"/>
                <c:pt idx="0">
                  <c:v>Voltage</c:v>
                </c:pt>
              </c:strCache>
            </c:strRef>
          </c:tx>
          <c:spPr>
            <a:ln w="28575" cap="rnd">
              <a:solidFill>
                <a:schemeClr val="accent6"/>
              </a:solidFill>
              <a:round/>
            </a:ln>
            <a:effectLst/>
          </c:spPr>
          <c:marker>
            <c:symbol val="none"/>
          </c:marker>
          <c:yVal>
            <c:numRef>
              <c:f>'[1L-gcat-h - Parametric Study.xlsx]t_an'!$H$2:$H$16</c:f>
              <c:numCache>
                <c:formatCode>General</c:formatCode>
                <c:ptCount val="15"/>
                <c:pt idx="0">
                  <c:v>0.95269999999999999</c:v>
                </c:pt>
                <c:pt idx="1">
                  <c:v>0.96960000000000002</c:v>
                </c:pt>
                <c:pt idx="2">
                  <c:v>0.98140000000000005</c:v>
                </c:pt>
                <c:pt idx="3">
                  <c:v>0.99039999999999995</c:v>
                </c:pt>
                <c:pt idx="4">
                  <c:v>0.99760000000000004</c:v>
                </c:pt>
                <c:pt idx="5">
                  <c:v>1.004</c:v>
                </c:pt>
                <c:pt idx="6">
                  <c:v>1.0089999999999999</c:v>
                </c:pt>
                <c:pt idx="7">
                  <c:v>1.014</c:v>
                </c:pt>
                <c:pt idx="8">
                  <c:v>1.018</c:v>
                </c:pt>
                <c:pt idx="9">
                  <c:v>1.0209999999999999</c:v>
                </c:pt>
                <c:pt idx="10">
                  <c:v>1.0249999999999999</c:v>
                </c:pt>
                <c:pt idx="11">
                  <c:v>1.028</c:v>
                </c:pt>
                <c:pt idx="12">
                  <c:v>1.03</c:v>
                </c:pt>
                <c:pt idx="13">
                  <c:v>1.0329999999999999</c:v>
                </c:pt>
                <c:pt idx="14">
                  <c:v>1.0349999999999999</c:v>
                </c:pt>
              </c:numCache>
            </c:numRef>
          </c:yVal>
          <c:smooth val="1"/>
          <c:extLst>
            <c:ext xmlns:c16="http://schemas.microsoft.com/office/drawing/2014/chart" uri="{C3380CC4-5D6E-409C-BE32-E72D297353CC}">
              <c16:uniqueId val="{00000003-CDD9-4033-9DBD-203D6ADA371A}"/>
            </c:ext>
          </c:extLst>
        </c:ser>
        <c:dLbls>
          <c:showLegendKey val="0"/>
          <c:showVal val="0"/>
          <c:showCatName val="0"/>
          <c:showSerName val="0"/>
          <c:showPercent val="0"/>
          <c:showBubbleSize val="0"/>
        </c:dLbls>
        <c:axId val="634971887"/>
        <c:axId val="634968527"/>
      </c:scatterChart>
      <c:catAx>
        <c:axId val="44803454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Anode Thickness (mm)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8038383"/>
        <c:crosses val="autoZero"/>
        <c:auto val="1"/>
        <c:lblAlgn val="ctr"/>
        <c:lblOffset val="100"/>
        <c:tickLblSkip val="14"/>
        <c:noMultiLvlLbl val="0"/>
      </c:catAx>
      <c:valAx>
        <c:axId val="44803838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Potential</a:t>
                </a:r>
                <a:r>
                  <a:rPr lang="en-US" baseline="0"/>
                  <a:t> Losses (V)</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bg2">
                <a:lumMod val="9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8034543"/>
        <c:crosses val="autoZero"/>
        <c:crossBetween val="between"/>
      </c:valAx>
      <c:valAx>
        <c:axId val="634968527"/>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Voltage (V)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bg2">
                <a:lumMod val="9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4971887"/>
        <c:crosses val="max"/>
        <c:crossBetween val="midCat"/>
      </c:valAx>
      <c:valAx>
        <c:axId val="634971887"/>
        <c:scaling>
          <c:orientation val="minMax"/>
        </c:scaling>
        <c:delete val="1"/>
        <c:axPos val="b"/>
        <c:majorTickMark val="out"/>
        <c:minorTickMark val="none"/>
        <c:tickLblPos val="nextTo"/>
        <c:crossAx val="634968527"/>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a:t>
            </a:r>
          </a:p>
        </c:rich>
      </c:tx>
      <c:layout>
        <c:manualLayout>
          <c:xMode val="edge"/>
          <c:yMode val="edge"/>
          <c:x val="1.2418223841419417E-4"/>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0433658479257258"/>
          <c:y val="3.6945812807881777E-2"/>
          <c:w val="0.62073569162063702"/>
          <c:h val="0.61651216011791632"/>
        </c:manualLayout>
      </c:layout>
      <c:scatterChart>
        <c:scatterStyle val="lineMarker"/>
        <c:varyColors val="0"/>
        <c:ser>
          <c:idx val="0"/>
          <c:order val="0"/>
          <c:tx>
            <c:strRef>
              <c:f>'[1L-gcat-h - Parametric Study.xlsx]1mm an th'!$B$2</c:f>
              <c:strCache>
                <c:ptCount val="1"/>
                <c:pt idx="0">
                  <c:v>Power Density</c:v>
                </c:pt>
              </c:strCache>
            </c:strRef>
          </c:tx>
          <c:spPr>
            <a:ln w="19050" cap="rnd">
              <a:solidFill>
                <a:srgbClr val="E97132"/>
              </a:solidFill>
              <a:round/>
            </a:ln>
            <a:effectLst/>
          </c:spPr>
          <c:marker>
            <c:symbol val="circle"/>
            <c:size val="5"/>
            <c:spPr>
              <a:noFill/>
              <a:ln w="9525">
                <a:noFill/>
              </a:ln>
              <a:effectLst/>
            </c:spPr>
          </c:marker>
          <c:xVal>
            <c:numRef>
              <c:f>'[1L-gcat-h - Parametric Study.xlsx]1mm an th'!$A$3:$A$47</c:f>
              <c:numCache>
                <c:formatCode>General</c:formatCode>
                <c:ptCount val="45"/>
                <c:pt idx="0">
                  <c:v>1E-3</c:v>
                </c:pt>
                <c:pt idx="1">
                  <c:v>1.3519999999999999E-3</c:v>
                </c:pt>
                <c:pt idx="2">
                  <c:v>1.704E-3</c:v>
                </c:pt>
                <c:pt idx="3">
                  <c:v>2.0560000000000001E-3</c:v>
                </c:pt>
                <c:pt idx="4">
                  <c:v>2.4069999999999999E-3</c:v>
                </c:pt>
                <c:pt idx="5">
                  <c:v>2.7590000000000002E-3</c:v>
                </c:pt>
                <c:pt idx="6">
                  <c:v>3.1110000000000001E-3</c:v>
                </c:pt>
                <c:pt idx="7">
                  <c:v>3.4629999999999999E-3</c:v>
                </c:pt>
                <c:pt idx="8">
                  <c:v>3.8149999999999998E-3</c:v>
                </c:pt>
                <c:pt idx="9">
                  <c:v>4.1669999999999997E-3</c:v>
                </c:pt>
                <c:pt idx="10">
                  <c:v>4.5189999999999996E-3</c:v>
                </c:pt>
                <c:pt idx="11">
                  <c:v>4.8700000000000002E-3</c:v>
                </c:pt>
                <c:pt idx="12">
                  <c:v>5.2220000000000001E-3</c:v>
                </c:pt>
                <c:pt idx="13">
                  <c:v>5.574E-3</c:v>
                </c:pt>
                <c:pt idx="14">
                  <c:v>5.9259999999999998E-3</c:v>
                </c:pt>
                <c:pt idx="15">
                  <c:v>6.2779999999999997E-3</c:v>
                </c:pt>
                <c:pt idx="16">
                  <c:v>6.6299999999999996E-3</c:v>
                </c:pt>
                <c:pt idx="17">
                  <c:v>6.9810000000000002E-3</c:v>
                </c:pt>
                <c:pt idx="18">
                  <c:v>7.3330000000000001E-3</c:v>
                </c:pt>
                <c:pt idx="19">
                  <c:v>7.685E-3</c:v>
                </c:pt>
                <c:pt idx="20">
                  <c:v>8.0370000000000007E-3</c:v>
                </c:pt>
                <c:pt idx="21">
                  <c:v>8.3890000000000006E-3</c:v>
                </c:pt>
                <c:pt idx="22">
                  <c:v>8.7410000000000005E-3</c:v>
                </c:pt>
                <c:pt idx="23">
                  <c:v>9.0930000000000004E-3</c:v>
                </c:pt>
                <c:pt idx="24">
                  <c:v>9.4439999999999993E-3</c:v>
                </c:pt>
                <c:pt idx="25">
                  <c:v>9.7959999999999992E-3</c:v>
                </c:pt>
                <c:pt idx="26">
                  <c:v>1.0149999999999999E-2</c:v>
                </c:pt>
                <c:pt idx="27">
                  <c:v>1.0500000000000001E-2</c:v>
                </c:pt>
                <c:pt idx="28">
                  <c:v>1.085E-2</c:v>
                </c:pt>
                <c:pt idx="29">
                  <c:v>1.12E-2</c:v>
                </c:pt>
                <c:pt idx="30">
                  <c:v>1.1560000000000001E-2</c:v>
                </c:pt>
                <c:pt idx="31">
                  <c:v>1.191E-2</c:v>
                </c:pt>
                <c:pt idx="32">
                  <c:v>1.226E-2</c:v>
                </c:pt>
                <c:pt idx="33">
                  <c:v>1.261E-2</c:v>
                </c:pt>
                <c:pt idx="34">
                  <c:v>1.2959999999999999E-2</c:v>
                </c:pt>
                <c:pt idx="35">
                  <c:v>1.3310000000000001E-2</c:v>
                </c:pt>
                <c:pt idx="36">
                  <c:v>1.367E-2</c:v>
                </c:pt>
                <c:pt idx="37">
                  <c:v>1.4019999999999999E-2</c:v>
                </c:pt>
                <c:pt idx="38">
                  <c:v>1.4370000000000001E-2</c:v>
                </c:pt>
                <c:pt idx="39">
                  <c:v>1.472E-2</c:v>
                </c:pt>
                <c:pt idx="40">
                  <c:v>1.507E-2</c:v>
                </c:pt>
                <c:pt idx="41">
                  <c:v>1.5429999999999999E-2</c:v>
                </c:pt>
                <c:pt idx="42">
                  <c:v>1.5779999999999999E-2</c:v>
                </c:pt>
                <c:pt idx="43">
                  <c:v>1.6129999999999999E-2</c:v>
                </c:pt>
                <c:pt idx="44">
                  <c:v>1.6480000000000002E-2</c:v>
                </c:pt>
              </c:numCache>
            </c:numRef>
          </c:xVal>
          <c:yVal>
            <c:numRef>
              <c:f>'[1L-gcat-h - Parametric Study.xlsx]1mm an th'!$B$3:$B$47</c:f>
              <c:numCache>
                <c:formatCode>General</c:formatCode>
                <c:ptCount val="45"/>
                <c:pt idx="0">
                  <c:v>1.072E-3</c:v>
                </c:pt>
                <c:pt idx="1">
                  <c:v>1.4339999999999999E-3</c:v>
                </c:pt>
                <c:pt idx="2">
                  <c:v>1.792E-3</c:v>
                </c:pt>
                <c:pt idx="3">
                  <c:v>2.147E-3</c:v>
                </c:pt>
                <c:pt idx="4">
                  <c:v>2.4979999999999998E-3</c:v>
                </c:pt>
                <c:pt idx="5">
                  <c:v>2.846E-3</c:v>
                </c:pt>
                <c:pt idx="6">
                  <c:v>3.192E-3</c:v>
                </c:pt>
                <c:pt idx="7">
                  <c:v>3.5349999999999999E-3</c:v>
                </c:pt>
                <c:pt idx="8">
                  <c:v>3.8760000000000001E-3</c:v>
                </c:pt>
                <c:pt idx="9">
                  <c:v>4.215E-3</c:v>
                </c:pt>
                <c:pt idx="10">
                  <c:v>4.5519999999999996E-3</c:v>
                </c:pt>
                <c:pt idx="11">
                  <c:v>4.8869999999999999E-3</c:v>
                </c:pt>
                <c:pt idx="12">
                  <c:v>5.2189999999999997E-3</c:v>
                </c:pt>
                <c:pt idx="13">
                  <c:v>5.5500000000000002E-3</c:v>
                </c:pt>
                <c:pt idx="14">
                  <c:v>5.8780000000000004E-3</c:v>
                </c:pt>
                <c:pt idx="15">
                  <c:v>6.2049999999999996E-3</c:v>
                </c:pt>
                <c:pt idx="16">
                  <c:v>6.5290000000000001E-3</c:v>
                </c:pt>
                <c:pt idx="17">
                  <c:v>6.8519999999999996E-3</c:v>
                </c:pt>
                <c:pt idx="18">
                  <c:v>7.1720000000000004E-3</c:v>
                </c:pt>
                <c:pt idx="19">
                  <c:v>7.4900000000000001E-3</c:v>
                </c:pt>
                <c:pt idx="20">
                  <c:v>7.8059999999999996E-3</c:v>
                </c:pt>
                <c:pt idx="21">
                  <c:v>8.1189999999999995E-3</c:v>
                </c:pt>
                <c:pt idx="22">
                  <c:v>8.43E-3</c:v>
                </c:pt>
                <c:pt idx="23">
                  <c:v>8.7390000000000002E-3</c:v>
                </c:pt>
                <c:pt idx="24">
                  <c:v>9.0449999999999992E-3</c:v>
                </c:pt>
                <c:pt idx="25">
                  <c:v>9.3469999999999994E-3</c:v>
                </c:pt>
                <c:pt idx="26">
                  <c:v>9.6469999999999993E-3</c:v>
                </c:pt>
                <c:pt idx="27">
                  <c:v>9.9430000000000004E-3</c:v>
                </c:pt>
                <c:pt idx="28">
                  <c:v>1.0240000000000001E-2</c:v>
                </c:pt>
                <c:pt idx="29">
                  <c:v>1.052E-2</c:v>
                </c:pt>
                <c:pt idx="30">
                  <c:v>1.081E-2</c:v>
                </c:pt>
                <c:pt idx="31">
                  <c:v>1.1089999999999999E-2</c:v>
                </c:pt>
                <c:pt idx="32">
                  <c:v>1.136E-2</c:v>
                </c:pt>
                <c:pt idx="33">
                  <c:v>1.163E-2</c:v>
                </c:pt>
                <c:pt idx="34">
                  <c:v>1.189E-2</c:v>
                </c:pt>
                <c:pt idx="35">
                  <c:v>1.214E-2</c:v>
                </c:pt>
                <c:pt idx="36">
                  <c:v>1.238E-2</c:v>
                </c:pt>
                <c:pt idx="37">
                  <c:v>1.261E-2</c:v>
                </c:pt>
                <c:pt idx="38">
                  <c:v>1.282E-2</c:v>
                </c:pt>
                <c:pt idx="39">
                  <c:v>1.3010000000000001E-2</c:v>
                </c:pt>
                <c:pt idx="40">
                  <c:v>1.3180000000000001E-2</c:v>
                </c:pt>
                <c:pt idx="41">
                  <c:v>1.3299999999999999E-2</c:v>
                </c:pt>
                <c:pt idx="42">
                  <c:v>1.3350000000000001E-2</c:v>
                </c:pt>
                <c:pt idx="43">
                  <c:v>1.325E-2</c:v>
                </c:pt>
                <c:pt idx="44">
                  <c:v>1.2579999999999999E-2</c:v>
                </c:pt>
              </c:numCache>
            </c:numRef>
          </c:yVal>
          <c:smooth val="0"/>
          <c:extLst>
            <c:ext xmlns:c16="http://schemas.microsoft.com/office/drawing/2014/chart" uri="{C3380CC4-5D6E-409C-BE32-E72D297353CC}">
              <c16:uniqueId val="{00000000-B74B-4AE5-ACD8-5EA2D6BF45F3}"/>
            </c:ext>
          </c:extLst>
        </c:ser>
        <c:dLbls>
          <c:showLegendKey val="0"/>
          <c:showVal val="0"/>
          <c:showCatName val="0"/>
          <c:showSerName val="0"/>
          <c:showPercent val="0"/>
          <c:showBubbleSize val="0"/>
        </c:dLbls>
        <c:axId val="1495493823"/>
        <c:axId val="1495494303"/>
      </c:scatterChart>
      <c:scatterChart>
        <c:scatterStyle val="lineMarker"/>
        <c:varyColors val="0"/>
        <c:ser>
          <c:idx val="1"/>
          <c:order val="1"/>
          <c:tx>
            <c:strRef>
              <c:f>'[1L-gcat-h - Parametric Study.xlsx]1mm an th'!$C$2</c:f>
              <c:strCache>
                <c:ptCount val="1"/>
                <c:pt idx="0">
                  <c:v>Fuel Utilization</c:v>
                </c:pt>
              </c:strCache>
            </c:strRef>
          </c:tx>
          <c:spPr>
            <a:ln w="19050" cap="rnd">
              <a:solidFill>
                <a:srgbClr val="156082"/>
              </a:solidFill>
              <a:prstDash val="sysDash"/>
              <a:round/>
            </a:ln>
            <a:effectLst/>
          </c:spPr>
          <c:marker>
            <c:symbol val="circle"/>
            <c:size val="5"/>
            <c:spPr>
              <a:noFill/>
              <a:ln w="9525">
                <a:noFill/>
              </a:ln>
              <a:effectLst/>
            </c:spPr>
          </c:marker>
          <c:xVal>
            <c:numRef>
              <c:f>'[1L-gcat-h - Parametric Study.xlsx]1mm an th'!$A$3:$A$47</c:f>
              <c:numCache>
                <c:formatCode>General</c:formatCode>
                <c:ptCount val="45"/>
                <c:pt idx="0">
                  <c:v>1E-3</c:v>
                </c:pt>
                <c:pt idx="1">
                  <c:v>1.3519999999999999E-3</c:v>
                </c:pt>
                <c:pt idx="2">
                  <c:v>1.704E-3</c:v>
                </c:pt>
                <c:pt idx="3">
                  <c:v>2.0560000000000001E-3</c:v>
                </c:pt>
                <c:pt idx="4">
                  <c:v>2.4069999999999999E-3</c:v>
                </c:pt>
                <c:pt idx="5">
                  <c:v>2.7590000000000002E-3</c:v>
                </c:pt>
                <c:pt idx="6">
                  <c:v>3.1110000000000001E-3</c:v>
                </c:pt>
                <c:pt idx="7">
                  <c:v>3.4629999999999999E-3</c:v>
                </c:pt>
                <c:pt idx="8">
                  <c:v>3.8149999999999998E-3</c:v>
                </c:pt>
                <c:pt idx="9">
                  <c:v>4.1669999999999997E-3</c:v>
                </c:pt>
                <c:pt idx="10">
                  <c:v>4.5189999999999996E-3</c:v>
                </c:pt>
                <c:pt idx="11">
                  <c:v>4.8700000000000002E-3</c:v>
                </c:pt>
                <c:pt idx="12">
                  <c:v>5.2220000000000001E-3</c:v>
                </c:pt>
                <c:pt idx="13">
                  <c:v>5.574E-3</c:v>
                </c:pt>
                <c:pt idx="14">
                  <c:v>5.9259999999999998E-3</c:v>
                </c:pt>
                <c:pt idx="15">
                  <c:v>6.2779999999999997E-3</c:v>
                </c:pt>
                <c:pt idx="16">
                  <c:v>6.6299999999999996E-3</c:v>
                </c:pt>
                <c:pt idx="17">
                  <c:v>6.9810000000000002E-3</c:v>
                </c:pt>
                <c:pt idx="18">
                  <c:v>7.3330000000000001E-3</c:v>
                </c:pt>
                <c:pt idx="19">
                  <c:v>7.685E-3</c:v>
                </c:pt>
                <c:pt idx="20">
                  <c:v>8.0370000000000007E-3</c:v>
                </c:pt>
                <c:pt idx="21">
                  <c:v>8.3890000000000006E-3</c:v>
                </c:pt>
                <c:pt idx="22">
                  <c:v>8.7410000000000005E-3</c:v>
                </c:pt>
                <c:pt idx="23">
                  <c:v>9.0930000000000004E-3</c:v>
                </c:pt>
                <c:pt idx="24">
                  <c:v>9.4439999999999993E-3</c:v>
                </c:pt>
                <c:pt idx="25">
                  <c:v>9.7959999999999992E-3</c:v>
                </c:pt>
                <c:pt idx="26">
                  <c:v>1.0149999999999999E-2</c:v>
                </c:pt>
                <c:pt idx="27">
                  <c:v>1.0500000000000001E-2</c:v>
                </c:pt>
                <c:pt idx="28">
                  <c:v>1.085E-2</c:v>
                </c:pt>
                <c:pt idx="29">
                  <c:v>1.12E-2</c:v>
                </c:pt>
                <c:pt idx="30">
                  <c:v>1.1560000000000001E-2</c:v>
                </c:pt>
                <c:pt idx="31">
                  <c:v>1.191E-2</c:v>
                </c:pt>
                <c:pt idx="32">
                  <c:v>1.226E-2</c:v>
                </c:pt>
                <c:pt idx="33">
                  <c:v>1.261E-2</c:v>
                </c:pt>
                <c:pt idx="34">
                  <c:v>1.2959999999999999E-2</c:v>
                </c:pt>
                <c:pt idx="35">
                  <c:v>1.3310000000000001E-2</c:v>
                </c:pt>
                <c:pt idx="36">
                  <c:v>1.367E-2</c:v>
                </c:pt>
                <c:pt idx="37">
                  <c:v>1.4019999999999999E-2</c:v>
                </c:pt>
                <c:pt idx="38">
                  <c:v>1.4370000000000001E-2</c:v>
                </c:pt>
                <c:pt idx="39">
                  <c:v>1.472E-2</c:v>
                </c:pt>
                <c:pt idx="40">
                  <c:v>1.507E-2</c:v>
                </c:pt>
                <c:pt idx="41">
                  <c:v>1.5429999999999999E-2</c:v>
                </c:pt>
                <c:pt idx="42">
                  <c:v>1.5779999999999999E-2</c:v>
                </c:pt>
                <c:pt idx="43">
                  <c:v>1.6129999999999999E-2</c:v>
                </c:pt>
                <c:pt idx="44">
                  <c:v>1.6480000000000002E-2</c:v>
                </c:pt>
              </c:numCache>
            </c:numRef>
          </c:xVal>
          <c:yVal>
            <c:numRef>
              <c:f>'[1L-gcat-h - Parametric Study.xlsx]1mm an th'!$C$3:$C$47</c:f>
              <c:numCache>
                <c:formatCode>General</c:formatCode>
                <c:ptCount val="45"/>
                <c:pt idx="0">
                  <c:v>22.1</c:v>
                </c:pt>
                <c:pt idx="1">
                  <c:v>22.26</c:v>
                </c:pt>
                <c:pt idx="2">
                  <c:v>22.43</c:v>
                </c:pt>
                <c:pt idx="3">
                  <c:v>22.6</c:v>
                </c:pt>
                <c:pt idx="4">
                  <c:v>22.77</c:v>
                </c:pt>
                <c:pt idx="5">
                  <c:v>22.93</c:v>
                </c:pt>
                <c:pt idx="6">
                  <c:v>23.1</c:v>
                </c:pt>
                <c:pt idx="7">
                  <c:v>23.28</c:v>
                </c:pt>
                <c:pt idx="8">
                  <c:v>23.45</c:v>
                </c:pt>
                <c:pt idx="9">
                  <c:v>23.62</c:v>
                </c:pt>
                <c:pt idx="10">
                  <c:v>23.8</c:v>
                </c:pt>
                <c:pt idx="11">
                  <c:v>23.97</c:v>
                </c:pt>
                <c:pt idx="12">
                  <c:v>24.15</c:v>
                </c:pt>
                <c:pt idx="13">
                  <c:v>24.33</c:v>
                </c:pt>
                <c:pt idx="14">
                  <c:v>24.51</c:v>
                </c:pt>
                <c:pt idx="15">
                  <c:v>24.69</c:v>
                </c:pt>
                <c:pt idx="16">
                  <c:v>24.87</c:v>
                </c:pt>
                <c:pt idx="17">
                  <c:v>25.06</c:v>
                </c:pt>
                <c:pt idx="18">
                  <c:v>25.25</c:v>
                </c:pt>
                <c:pt idx="19">
                  <c:v>25.44</c:v>
                </c:pt>
                <c:pt idx="20">
                  <c:v>25.63</c:v>
                </c:pt>
                <c:pt idx="21">
                  <c:v>25.82</c:v>
                </c:pt>
                <c:pt idx="22">
                  <c:v>26.01</c:v>
                </c:pt>
                <c:pt idx="23">
                  <c:v>26.21</c:v>
                </c:pt>
                <c:pt idx="24">
                  <c:v>26.41</c:v>
                </c:pt>
                <c:pt idx="25">
                  <c:v>26.61</c:v>
                </c:pt>
                <c:pt idx="26">
                  <c:v>26.82</c:v>
                </c:pt>
                <c:pt idx="27">
                  <c:v>27.02</c:v>
                </c:pt>
                <c:pt idx="28">
                  <c:v>27.23</c:v>
                </c:pt>
                <c:pt idx="29">
                  <c:v>27.44</c:v>
                </c:pt>
                <c:pt idx="30">
                  <c:v>27.66</c:v>
                </c:pt>
                <c:pt idx="31">
                  <c:v>27.88</c:v>
                </c:pt>
                <c:pt idx="32">
                  <c:v>28.1</c:v>
                </c:pt>
                <c:pt idx="33">
                  <c:v>28.33</c:v>
                </c:pt>
                <c:pt idx="34">
                  <c:v>28.56</c:v>
                </c:pt>
                <c:pt idx="35">
                  <c:v>28.8</c:v>
                </c:pt>
                <c:pt idx="36">
                  <c:v>29.04</c:v>
                </c:pt>
                <c:pt idx="37">
                  <c:v>29.28</c:v>
                </c:pt>
                <c:pt idx="38">
                  <c:v>29.54</c:v>
                </c:pt>
                <c:pt idx="39">
                  <c:v>29.8</c:v>
                </c:pt>
                <c:pt idx="40">
                  <c:v>30.07</c:v>
                </c:pt>
                <c:pt idx="41">
                  <c:v>30.35</c:v>
                </c:pt>
                <c:pt idx="42">
                  <c:v>30.64</c:v>
                </c:pt>
                <c:pt idx="43">
                  <c:v>30.95</c:v>
                </c:pt>
                <c:pt idx="44">
                  <c:v>31.28</c:v>
                </c:pt>
              </c:numCache>
            </c:numRef>
          </c:yVal>
          <c:smooth val="0"/>
          <c:extLst>
            <c:ext xmlns:c16="http://schemas.microsoft.com/office/drawing/2014/chart" uri="{C3380CC4-5D6E-409C-BE32-E72D297353CC}">
              <c16:uniqueId val="{00000001-B74B-4AE5-ACD8-5EA2D6BF45F3}"/>
            </c:ext>
          </c:extLst>
        </c:ser>
        <c:dLbls>
          <c:showLegendKey val="0"/>
          <c:showVal val="0"/>
          <c:showCatName val="0"/>
          <c:showSerName val="0"/>
          <c:showPercent val="0"/>
          <c:showBubbleSize val="0"/>
        </c:dLbls>
        <c:axId val="1305917423"/>
        <c:axId val="1998641215"/>
      </c:scatterChart>
      <c:valAx>
        <c:axId val="1495493823"/>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t>Current Density (Acm</a:t>
                </a:r>
                <a:r>
                  <a:rPr lang="en-US" sz="900" baseline="30000"/>
                  <a:t>-2</a:t>
                </a:r>
                <a:r>
                  <a:rPr lang="en-US" sz="900" baseline="0"/>
                  <a:t>)</a:t>
                </a:r>
                <a:endParaRPr lang="en-US" sz="900"/>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5494303"/>
        <c:crosses val="autoZero"/>
        <c:crossBetween val="midCat"/>
      </c:valAx>
      <c:valAx>
        <c:axId val="1495494303"/>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t>Power</a:t>
                </a:r>
                <a:r>
                  <a:rPr lang="en-US" sz="900" baseline="0"/>
                  <a:t> Density (Wcm</a:t>
                </a:r>
                <a:r>
                  <a:rPr lang="en-US" sz="900" baseline="30000"/>
                  <a:t>-2</a:t>
                </a:r>
                <a:r>
                  <a:rPr lang="en-US" sz="900" baseline="0"/>
                  <a:t>)</a:t>
                </a:r>
                <a:endParaRPr lang="en-US" sz="900"/>
              </a:p>
            </c:rich>
          </c:tx>
          <c:layout>
            <c:manualLayout>
              <c:xMode val="edge"/>
              <c:yMode val="edge"/>
              <c:x val="1.22732792729267E-2"/>
              <c:y val="0.1108374384236453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495493823"/>
        <c:crosses val="autoZero"/>
        <c:crossBetween val="midCat"/>
      </c:valAx>
      <c:valAx>
        <c:axId val="1998641215"/>
        <c:scaling>
          <c:orientation val="minMax"/>
        </c:scaling>
        <c:delete val="0"/>
        <c:axPos val="r"/>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t>Fuel</a:t>
                </a:r>
                <a:r>
                  <a:rPr lang="en-US" sz="900" baseline="0"/>
                  <a:t> Conversion</a:t>
                </a:r>
                <a:endParaRPr lang="en-US" sz="900"/>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305917423"/>
        <c:crosses val="max"/>
        <c:crossBetween val="midCat"/>
      </c:valAx>
      <c:valAx>
        <c:axId val="1305917423"/>
        <c:scaling>
          <c:orientation val="minMax"/>
        </c:scaling>
        <c:delete val="1"/>
        <c:axPos val="b"/>
        <c:numFmt formatCode="General" sourceLinked="1"/>
        <c:majorTickMark val="out"/>
        <c:minorTickMark val="none"/>
        <c:tickLblPos val="nextTo"/>
        <c:crossAx val="1998641215"/>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a:t>
            </a:r>
          </a:p>
        </c:rich>
      </c:tx>
      <c:layout>
        <c:manualLayout>
          <c:xMode val="edge"/>
          <c:yMode val="edge"/>
          <c:x val="1.9666710655581224E-3"/>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3484251968503936"/>
          <c:y val="3.5321670000253186E-2"/>
          <c:w val="0.54074326603029366"/>
          <c:h val="0.55441527204597807"/>
        </c:manualLayout>
      </c:layout>
      <c:scatterChart>
        <c:scatterStyle val="lineMarker"/>
        <c:varyColors val="0"/>
        <c:ser>
          <c:idx val="0"/>
          <c:order val="0"/>
          <c:tx>
            <c:strRef>
              <c:f>'[1L-gcat-h - Parametric Study.xlsx]1mm an th'!$D$2</c:f>
              <c:strCache>
                <c:ptCount val="1"/>
                <c:pt idx="0">
                  <c:v>C6H6</c:v>
                </c:pt>
              </c:strCache>
            </c:strRef>
          </c:tx>
          <c:spPr>
            <a:ln w="19050" cap="rnd">
              <a:solidFill>
                <a:srgbClr val="C00000"/>
              </a:solidFill>
              <a:round/>
            </a:ln>
            <a:effectLst/>
          </c:spPr>
          <c:marker>
            <c:symbol val="circle"/>
            <c:size val="5"/>
            <c:spPr>
              <a:noFill/>
              <a:ln w="9525">
                <a:noFill/>
              </a:ln>
              <a:effectLst/>
            </c:spPr>
          </c:marker>
          <c:xVal>
            <c:numRef>
              <c:f>'[1L-gcat-h - Parametric Study.xlsx]1mm an th'!$A$3:$A$47</c:f>
              <c:numCache>
                <c:formatCode>General</c:formatCode>
                <c:ptCount val="45"/>
                <c:pt idx="0">
                  <c:v>1E-3</c:v>
                </c:pt>
                <c:pt idx="1">
                  <c:v>1.3519999999999999E-3</c:v>
                </c:pt>
                <c:pt idx="2">
                  <c:v>1.704E-3</c:v>
                </c:pt>
                <c:pt idx="3">
                  <c:v>2.0560000000000001E-3</c:v>
                </c:pt>
                <c:pt idx="4">
                  <c:v>2.4069999999999999E-3</c:v>
                </c:pt>
                <c:pt idx="5">
                  <c:v>2.7590000000000002E-3</c:v>
                </c:pt>
                <c:pt idx="6">
                  <c:v>3.1110000000000001E-3</c:v>
                </c:pt>
                <c:pt idx="7">
                  <c:v>3.4629999999999999E-3</c:v>
                </c:pt>
                <c:pt idx="8">
                  <c:v>3.8149999999999998E-3</c:v>
                </c:pt>
                <c:pt idx="9">
                  <c:v>4.1669999999999997E-3</c:v>
                </c:pt>
                <c:pt idx="10">
                  <c:v>4.5189999999999996E-3</c:v>
                </c:pt>
                <c:pt idx="11">
                  <c:v>4.8700000000000002E-3</c:v>
                </c:pt>
                <c:pt idx="12">
                  <c:v>5.2220000000000001E-3</c:v>
                </c:pt>
                <c:pt idx="13">
                  <c:v>5.574E-3</c:v>
                </c:pt>
                <c:pt idx="14">
                  <c:v>5.9259999999999998E-3</c:v>
                </c:pt>
                <c:pt idx="15">
                  <c:v>6.2779999999999997E-3</c:v>
                </c:pt>
                <c:pt idx="16">
                  <c:v>6.6299999999999996E-3</c:v>
                </c:pt>
                <c:pt idx="17">
                  <c:v>6.9810000000000002E-3</c:v>
                </c:pt>
                <c:pt idx="18">
                  <c:v>7.3330000000000001E-3</c:v>
                </c:pt>
                <c:pt idx="19">
                  <c:v>7.685E-3</c:v>
                </c:pt>
                <c:pt idx="20">
                  <c:v>8.0370000000000007E-3</c:v>
                </c:pt>
                <c:pt idx="21">
                  <c:v>8.3890000000000006E-3</c:v>
                </c:pt>
                <c:pt idx="22">
                  <c:v>8.7410000000000005E-3</c:v>
                </c:pt>
                <c:pt idx="23">
                  <c:v>9.0930000000000004E-3</c:v>
                </c:pt>
                <c:pt idx="24">
                  <c:v>9.4439999999999993E-3</c:v>
                </c:pt>
                <c:pt idx="25">
                  <c:v>9.7959999999999992E-3</c:v>
                </c:pt>
                <c:pt idx="26">
                  <c:v>1.0149999999999999E-2</c:v>
                </c:pt>
                <c:pt idx="27">
                  <c:v>1.0500000000000001E-2</c:v>
                </c:pt>
                <c:pt idx="28">
                  <c:v>1.085E-2</c:v>
                </c:pt>
                <c:pt idx="29">
                  <c:v>1.12E-2</c:v>
                </c:pt>
                <c:pt idx="30">
                  <c:v>1.1560000000000001E-2</c:v>
                </c:pt>
                <c:pt idx="31">
                  <c:v>1.191E-2</c:v>
                </c:pt>
                <c:pt idx="32">
                  <c:v>1.226E-2</c:v>
                </c:pt>
                <c:pt idx="33">
                  <c:v>1.261E-2</c:v>
                </c:pt>
                <c:pt idx="34">
                  <c:v>1.2959999999999999E-2</c:v>
                </c:pt>
                <c:pt idx="35">
                  <c:v>1.3310000000000001E-2</c:v>
                </c:pt>
                <c:pt idx="36">
                  <c:v>1.367E-2</c:v>
                </c:pt>
                <c:pt idx="37">
                  <c:v>1.4019999999999999E-2</c:v>
                </c:pt>
                <c:pt idx="38">
                  <c:v>1.4370000000000001E-2</c:v>
                </c:pt>
                <c:pt idx="39">
                  <c:v>1.472E-2</c:v>
                </c:pt>
                <c:pt idx="40">
                  <c:v>1.507E-2</c:v>
                </c:pt>
                <c:pt idx="41">
                  <c:v>1.5429999999999999E-2</c:v>
                </c:pt>
                <c:pt idx="42">
                  <c:v>1.5779999999999999E-2</c:v>
                </c:pt>
                <c:pt idx="43">
                  <c:v>1.6129999999999999E-2</c:v>
                </c:pt>
                <c:pt idx="44">
                  <c:v>1.6480000000000002E-2</c:v>
                </c:pt>
              </c:numCache>
            </c:numRef>
          </c:xVal>
          <c:yVal>
            <c:numRef>
              <c:f>'[1L-gcat-h - Parametric Study.xlsx]1mm an th'!$D$3:$D$47</c:f>
              <c:numCache>
                <c:formatCode>General</c:formatCode>
                <c:ptCount val="45"/>
                <c:pt idx="0">
                  <c:v>62.59</c:v>
                </c:pt>
                <c:pt idx="1">
                  <c:v>62.84</c:v>
                </c:pt>
                <c:pt idx="2">
                  <c:v>63.09</c:v>
                </c:pt>
                <c:pt idx="3">
                  <c:v>63.33</c:v>
                </c:pt>
                <c:pt idx="4">
                  <c:v>63.57</c:v>
                </c:pt>
                <c:pt idx="5">
                  <c:v>63.81</c:v>
                </c:pt>
                <c:pt idx="6">
                  <c:v>64.040000000000006</c:v>
                </c:pt>
                <c:pt idx="7">
                  <c:v>64.260000000000005</c:v>
                </c:pt>
                <c:pt idx="8">
                  <c:v>64.489999999999995</c:v>
                </c:pt>
                <c:pt idx="9">
                  <c:v>64.7</c:v>
                </c:pt>
                <c:pt idx="10">
                  <c:v>64.91</c:v>
                </c:pt>
                <c:pt idx="11">
                  <c:v>65.12</c:v>
                </c:pt>
                <c:pt idx="12">
                  <c:v>65.319999999999993</c:v>
                </c:pt>
                <c:pt idx="13">
                  <c:v>65.52</c:v>
                </c:pt>
                <c:pt idx="14">
                  <c:v>65.709999999999994</c:v>
                </c:pt>
                <c:pt idx="15">
                  <c:v>65.900000000000006</c:v>
                </c:pt>
                <c:pt idx="16">
                  <c:v>66.069999999999993</c:v>
                </c:pt>
                <c:pt idx="17">
                  <c:v>66.25</c:v>
                </c:pt>
                <c:pt idx="18">
                  <c:v>66.41</c:v>
                </c:pt>
                <c:pt idx="19">
                  <c:v>66.569999999999993</c:v>
                </c:pt>
                <c:pt idx="20">
                  <c:v>66.72</c:v>
                </c:pt>
                <c:pt idx="21">
                  <c:v>66.86</c:v>
                </c:pt>
                <c:pt idx="22">
                  <c:v>66.989999999999995</c:v>
                </c:pt>
                <c:pt idx="23">
                  <c:v>67.11</c:v>
                </c:pt>
                <c:pt idx="24">
                  <c:v>67.209999999999994</c:v>
                </c:pt>
                <c:pt idx="25">
                  <c:v>67.31</c:v>
                </c:pt>
                <c:pt idx="26">
                  <c:v>67.39</c:v>
                </c:pt>
                <c:pt idx="27">
                  <c:v>67.45</c:v>
                </c:pt>
                <c:pt idx="28">
                  <c:v>67.489999999999995</c:v>
                </c:pt>
                <c:pt idx="29">
                  <c:v>67.510000000000005</c:v>
                </c:pt>
                <c:pt idx="30">
                  <c:v>67.510000000000005</c:v>
                </c:pt>
                <c:pt idx="31">
                  <c:v>67.47</c:v>
                </c:pt>
                <c:pt idx="32">
                  <c:v>67.400000000000006</c:v>
                </c:pt>
                <c:pt idx="33">
                  <c:v>67.290000000000006</c:v>
                </c:pt>
                <c:pt idx="34">
                  <c:v>67.14</c:v>
                </c:pt>
                <c:pt idx="35">
                  <c:v>66.92</c:v>
                </c:pt>
                <c:pt idx="36">
                  <c:v>66.64</c:v>
                </c:pt>
                <c:pt idx="37">
                  <c:v>66.27</c:v>
                </c:pt>
                <c:pt idx="38">
                  <c:v>65.790000000000006</c:v>
                </c:pt>
                <c:pt idx="39">
                  <c:v>65.19</c:v>
                </c:pt>
                <c:pt idx="40">
                  <c:v>64.430000000000007</c:v>
                </c:pt>
                <c:pt idx="41">
                  <c:v>63.47</c:v>
                </c:pt>
                <c:pt idx="42">
                  <c:v>62.25</c:v>
                </c:pt>
                <c:pt idx="43">
                  <c:v>60.72</c:v>
                </c:pt>
                <c:pt idx="44">
                  <c:v>58.79</c:v>
                </c:pt>
              </c:numCache>
            </c:numRef>
          </c:yVal>
          <c:smooth val="0"/>
          <c:extLst>
            <c:ext xmlns:c16="http://schemas.microsoft.com/office/drawing/2014/chart" uri="{C3380CC4-5D6E-409C-BE32-E72D297353CC}">
              <c16:uniqueId val="{00000000-E33F-492D-A820-21DB2AC1C4B7}"/>
            </c:ext>
          </c:extLst>
        </c:ser>
        <c:ser>
          <c:idx val="1"/>
          <c:order val="1"/>
          <c:tx>
            <c:strRef>
              <c:f>'[1L-gcat-h - Parametric Study.xlsx]1mm an th'!$E$2</c:f>
              <c:strCache>
                <c:ptCount val="1"/>
                <c:pt idx="0">
                  <c:v>C7H8</c:v>
                </c:pt>
              </c:strCache>
            </c:strRef>
          </c:tx>
          <c:spPr>
            <a:ln w="19050" cap="rnd">
              <a:solidFill>
                <a:srgbClr val="E3DE00"/>
              </a:solidFill>
              <a:round/>
            </a:ln>
            <a:effectLst/>
          </c:spPr>
          <c:marker>
            <c:symbol val="circle"/>
            <c:size val="5"/>
            <c:spPr>
              <a:noFill/>
              <a:ln w="9525">
                <a:noFill/>
              </a:ln>
              <a:effectLst/>
            </c:spPr>
          </c:marker>
          <c:xVal>
            <c:numRef>
              <c:f>'[1L-gcat-h - Parametric Study.xlsx]1mm an th'!$A$3:$A$47</c:f>
              <c:numCache>
                <c:formatCode>General</c:formatCode>
                <c:ptCount val="45"/>
                <c:pt idx="0">
                  <c:v>1E-3</c:v>
                </c:pt>
                <c:pt idx="1">
                  <c:v>1.3519999999999999E-3</c:v>
                </c:pt>
                <c:pt idx="2">
                  <c:v>1.704E-3</c:v>
                </c:pt>
                <c:pt idx="3">
                  <c:v>2.0560000000000001E-3</c:v>
                </c:pt>
                <c:pt idx="4">
                  <c:v>2.4069999999999999E-3</c:v>
                </c:pt>
                <c:pt idx="5">
                  <c:v>2.7590000000000002E-3</c:v>
                </c:pt>
                <c:pt idx="6">
                  <c:v>3.1110000000000001E-3</c:v>
                </c:pt>
                <c:pt idx="7">
                  <c:v>3.4629999999999999E-3</c:v>
                </c:pt>
                <c:pt idx="8">
                  <c:v>3.8149999999999998E-3</c:v>
                </c:pt>
                <c:pt idx="9">
                  <c:v>4.1669999999999997E-3</c:v>
                </c:pt>
                <c:pt idx="10">
                  <c:v>4.5189999999999996E-3</c:v>
                </c:pt>
                <c:pt idx="11">
                  <c:v>4.8700000000000002E-3</c:v>
                </c:pt>
                <c:pt idx="12">
                  <c:v>5.2220000000000001E-3</c:v>
                </c:pt>
                <c:pt idx="13">
                  <c:v>5.574E-3</c:v>
                </c:pt>
                <c:pt idx="14">
                  <c:v>5.9259999999999998E-3</c:v>
                </c:pt>
                <c:pt idx="15">
                  <c:v>6.2779999999999997E-3</c:v>
                </c:pt>
                <c:pt idx="16">
                  <c:v>6.6299999999999996E-3</c:v>
                </c:pt>
                <c:pt idx="17">
                  <c:v>6.9810000000000002E-3</c:v>
                </c:pt>
                <c:pt idx="18">
                  <c:v>7.3330000000000001E-3</c:v>
                </c:pt>
                <c:pt idx="19">
                  <c:v>7.685E-3</c:v>
                </c:pt>
                <c:pt idx="20">
                  <c:v>8.0370000000000007E-3</c:v>
                </c:pt>
                <c:pt idx="21">
                  <c:v>8.3890000000000006E-3</c:v>
                </c:pt>
                <c:pt idx="22">
                  <c:v>8.7410000000000005E-3</c:v>
                </c:pt>
                <c:pt idx="23">
                  <c:v>9.0930000000000004E-3</c:v>
                </c:pt>
                <c:pt idx="24">
                  <c:v>9.4439999999999993E-3</c:v>
                </c:pt>
                <c:pt idx="25">
                  <c:v>9.7959999999999992E-3</c:v>
                </c:pt>
                <c:pt idx="26">
                  <c:v>1.0149999999999999E-2</c:v>
                </c:pt>
                <c:pt idx="27">
                  <c:v>1.0500000000000001E-2</c:v>
                </c:pt>
                <c:pt idx="28">
                  <c:v>1.085E-2</c:v>
                </c:pt>
                <c:pt idx="29">
                  <c:v>1.12E-2</c:v>
                </c:pt>
                <c:pt idx="30">
                  <c:v>1.1560000000000001E-2</c:v>
                </c:pt>
                <c:pt idx="31">
                  <c:v>1.191E-2</c:v>
                </c:pt>
                <c:pt idx="32">
                  <c:v>1.226E-2</c:v>
                </c:pt>
                <c:pt idx="33">
                  <c:v>1.261E-2</c:v>
                </c:pt>
                <c:pt idx="34">
                  <c:v>1.2959999999999999E-2</c:v>
                </c:pt>
                <c:pt idx="35">
                  <c:v>1.3310000000000001E-2</c:v>
                </c:pt>
                <c:pt idx="36">
                  <c:v>1.367E-2</c:v>
                </c:pt>
                <c:pt idx="37">
                  <c:v>1.4019999999999999E-2</c:v>
                </c:pt>
                <c:pt idx="38">
                  <c:v>1.4370000000000001E-2</c:v>
                </c:pt>
                <c:pt idx="39">
                  <c:v>1.472E-2</c:v>
                </c:pt>
                <c:pt idx="40">
                  <c:v>1.507E-2</c:v>
                </c:pt>
                <c:pt idx="41">
                  <c:v>1.5429999999999999E-2</c:v>
                </c:pt>
                <c:pt idx="42">
                  <c:v>1.5779999999999999E-2</c:v>
                </c:pt>
                <c:pt idx="43">
                  <c:v>1.6129999999999999E-2</c:v>
                </c:pt>
                <c:pt idx="44">
                  <c:v>1.6480000000000002E-2</c:v>
                </c:pt>
              </c:numCache>
            </c:numRef>
          </c:xVal>
          <c:yVal>
            <c:numRef>
              <c:f>'[1L-gcat-h - Parametric Study.xlsx]1mm an th'!$E$3:$E$47</c:f>
              <c:numCache>
                <c:formatCode>General</c:formatCode>
                <c:ptCount val="45"/>
                <c:pt idx="0">
                  <c:v>1.28</c:v>
                </c:pt>
                <c:pt idx="1">
                  <c:v>1.3140000000000001</c:v>
                </c:pt>
                <c:pt idx="2">
                  <c:v>1.351</c:v>
                </c:pt>
                <c:pt idx="3">
                  <c:v>1.3879999999999999</c:v>
                </c:pt>
                <c:pt idx="4">
                  <c:v>1.4279999999999999</c:v>
                </c:pt>
                <c:pt idx="5">
                  <c:v>1.4690000000000001</c:v>
                </c:pt>
                <c:pt idx="6">
                  <c:v>1.512</c:v>
                </c:pt>
                <c:pt idx="7">
                  <c:v>1.5580000000000001</c:v>
                </c:pt>
                <c:pt idx="8">
                  <c:v>1.6060000000000001</c:v>
                </c:pt>
                <c:pt idx="9">
                  <c:v>1.657</c:v>
                </c:pt>
                <c:pt idx="10">
                  <c:v>1.71</c:v>
                </c:pt>
                <c:pt idx="11">
                  <c:v>1.766</c:v>
                </c:pt>
                <c:pt idx="12">
                  <c:v>1.8260000000000001</c:v>
                </c:pt>
                <c:pt idx="13">
                  <c:v>1.889</c:v>
                </c:pt>
                <c:pt idx="14">
                  <c:v>1.956</c:v>
                </c:pt>
                <c:pt idx="15">
                  <c:v>2.0270000000000001</c:v>
                </c:pt>
                <c:pt idx="16">
                  <c:v>2.1030000000000002</c:v>
                </c:pt>
                <c:pt idx="17">
                  <c:v>2.1850000000000001</c:v>
                </c:pt>
                <c:pt idx="18">
                  <c:v>2.2719999999999998</c:v>
                </c:pt>
                <c:pt idx="19">
                  <c:v>2.3650000000000002</c:v>
                </c:pt>
                <c:pt idx="20">
                  <c:v>2.4649999999999999</c:v>
                </c:pt>
                <c:pt idx="21">
                  <c:v>2.573</c:v>
                </c:pt>
                <c:pt idx="22">
                  <c:v>2.69</c:v>
                </c:pt>
                <c:pt idx="23">
                  <c:v>2.8170000000000002</c:v>
                </c:pt>
                <c:pt idx="24">
                  <c:v>2.9550000000000001</c:v>
                </c:pt>
                <c:pt idx="25">
                  <c:v>3.105</c:v>
                </c:pt>
                <c:pt idx="26">
                  <c:v>3.27</c:v>
                </c:pt>
                <c:pt idx="27">
                  <c:v>3.4510000000000001</c:v>
                </c:pt>
                <c:pt idx="28">
                  <c:v>3.6509999999999998</c:v>
                </c:pt>
                <c:pt idx="29">
                  <c:v>3.8719999999999999</c:v>
                </c:pt>
                <c:pt idx="30">
                  <c:v>4.1189999999999998</c:v>
                </c:pt>
                <c:pt idx="31">
                  <c:v>4.3949999999999996</c:v>
                </c:pt>
                <c:pt idx="32">
                  <c:v>4.7060000000000004</c:v>
                </c:pt>
                <c:pt idx="33">
                  <c:v>5.0570000000000004</c:v>
                </c:pt>
                <c:pt idx="34">
                  <c:v>5.4580000000000002</c:v>
                </c:pt>
                <c:pt idx="35">
                  <c:v>5.9169999999999998</c:v>
                </c:pt>
                <c:pt idx="36">
                  <c:v>6.4470000000000001</c:v>
                </c:pt>
                <c:pt idx="37">
                  <c:v>7.0640000000000001</c:v>
                </c:pt>
                <c:pt idx="38">
                  <c:v>7.7869999999999999</c:v>
                </c:pt>
                <c:pt idx="39">
                  <c:v>8.641</c:v>
                </c:pt>
                <c:pt idx="40">
                  <c:v>9.6579999999999995</c:v>
                </c:pt>
                <c:pt idx="41">
                  <c:v>10.88</c:v>
                </c:pt>
                <c:pt idx="42">
                  <c:v>12.36</c:v>
                </c:pt>
                <c:pt idx="43">
                  <c:v>14.17</c:v>
                </c:pt>
                <c:pt idx="44">
                  <c:v>16.39</c:v>
                </c:pt>
              </c:numCache>
            </c:numRef>
          </c:yVal>
          <c:smooth val="0"/>
          <c:extLst>
            <c:ext xmlns:c16="http://schemas.microsoft.com/office/drawing/2014/chart" uri="{C3380CC4-5D6E-409C-BE32-E72D297353CC}">
              <c16:uniqueId val="{00000001-E33F-492D-A820-21DB2AC1C4B7}"/>
            </c:ext>
          </c:extLst>
        </c:ser>
        <c:dLbls>
          <c:showLegendKey val="0"/>
          <c:showVal val="0"/>
          <c:showCatName val="0"/>
          <c:showSerName val="0"/>
          <c:showPercent val="0"/>
          <c:showBubbleSize val="0"/>
        </c:dLbls>
        <c:axId val="2126854143"/>
        <c:axId val="2126852703"/>
      </c:scatterChart>
      <c:scatterChart>
        <c:scatterStyle val="lineMarker"/>
        <c:varyColors val="0"/>
        <c:ser>
          <c:idx val="2"/>
          <c:order val="2"/>
          <c:tx>
            <c:strRef>
              <c:f>'[1L-gcat-h - Parametric Study.xlsx]1mm an th'!$F$2</c:f>
              <c:strCache>
                <c:ptCount val="1"/>
                <c:pt idx="0">
                  <c:v>CE</c:v>
                </c:pt>
              </c:strCache>
            </c:strRef>
          </c:tx>
          <c:spPr>
            <a:ln w="19050" cap="rnd">
              <a:solidFill>
                <a:schemeClr val="bg2">
                  <a:lumMod val="75000"/>
                </a:schemeClr>
              </a:solidFill>
              <a:prstDash val="dash"/>
              <a:round/>
            </a:ln>
            <a:effectLst/>
          </c:spPr>
          <c:marker>
            <c:symbol val="circle"/>
            <c:size val="5"/>
            <c:spPr>
              <a:noFill/>
              <a:ln w="9525">
                <a:noFill/>
              </a:ln>
              <a:effectLst/>
            </c:spPr>
          </c:marker>
          <c:xVal>
            <c:numRef>
              <c:f>'[1L-gcat-h - Parametric Study.xlsx]1mm an th'!$A$3:$A$47</c:f>
              <c:numCache>
                <c:formatCode>General</c:formatCode>
                <c:ptCount val="45"/>
                <c:pt idx="0">
                  <c:v>1E-3</c:v>
                </c:pt>
                <c:pt idx="1">
                  <c:v>1.3519999999999999E-3</c:v>
                </c:pt>
                <c:pt idx="2">
                  <c:v>1.704E-3</c:v>
                </c:pt>
                <c:pt idx="3">
                  <c:v>2.0560000000000001E-3</c:v>
                </c:pt>
                <c:pt idx="4">
                  <c:v>2.4069999999999999E-3</c:v>
                </c:pt>
                <c:pt idx="5">
                  <c:v>2.7590000000000002E-3</c:v>
                </c:pt>
                <c:pt idx="6">
                  <c:v>3.1110000000000001E-3</c:v>
                </c:pt>
                <c:pt idx="7">
                  <c:v>3.4629999999999999E-3</c:v>
                </c:pt>
                <c:pt idx="8">
                  <c:v>3.8149999999999998E-3</c:v>
                </c:pt>
                <c:pt idx="9">
                  <c:v>4.1669999999999997E-3</c:v>
                </c:pt>
                <c:pt idx="10">
                  <c:v>4.5189999999999996E-3</c:v>
                </c:pt>
                <c:pt idx="11">
                  <c:v>4.8700000000000002E-3</c:v>
                </c:pt>
                <c:pt idx="12">
                  <c:v>5.2220000000000001E-3</c:v>
                </c:pt>
                <c:pt idx="13">
                  <c:v>5.574E-3</c:v>
                </c:pt>
                <c:pt idx="14">
                  <c:v>5.9259999999999998E-3</c:v>
                </c:pt>
                <c:pt idx="15">
                  <c:v>6.2779999999999997E-3</c:v>
                </c:pt>
                <c:pt idx="16">
                  <c:v>6.6299999999999996E-3</c:v>
                </c:pt>
                <c:pt idx="17">
                  <c:v>6.9810000000000002E-3</c:v>
                </c:pt>
                <c:pt idx="18">
                  <c:v>7.3330000000000001E-3</c:v>
                </c:pt>
                <c:pt idx="19">
                  <c:v>7.685E-3</c:v>
                </c:pt>
                <c:pt idx="20">
                  <c:v>8.0370000000000007E-3</c:v>
                </c:pt>
                <c:pt idx="21">
                  <c:v>8.3890000000000006E-3</c:v>
                </c:pt>
                <c:pt idx="22">
                  <c:v>8.7410000000000005E-3</c:v>
                </c:pt>
                <c:pt idx="23">
                  <c:v>9.0930000000000004E-3</c:v>
                </c:pt>
                <c:pt idx="24">
                  <c:v>9.4439999999999993E-3</c:v>
                </c:pt>
                <c:pt idx="25">
                  <c:v>9.7959999999999992E-3</c:v>
                </c:pt>
                <c:pt idx="26">
                  <c:v>1.0149999999999999E-2</c:v>
                </c:pt>
                <c:pt idx="27">
                  <c:v>1.0500000000000001E-2</c:v>
                </c:pt>
                <c:pt idx="28">
                  <c:v>1.085E-2</c:v>
                </c:pt>
                <c:pt idx="29">
                  <c:v>1.12E-2</c:v>
                </c:pt>
                <c:pt idx="30">
                  <c:v>1.1560000000000001E-2</c:v>
                </c:pt>
                <c:pt idx="31">
                  <c:v>1.191E-2</c:v>
                </c:pt>
                <c:pt idx="32">
                  <c:v>1.226E-2</c:v>
                </c:pt>
                <c:pt idx="33">
                  <c:v>1.261E-2</c:v>
                </c:pt>
                <c:pt idx="34">
                  <c:v>1.2959999999999999E-2</c:v>
                </c:pt>
                <c:pt idx="35">
                  <c:v>1.3310000000000001E-2</c:v>
                </c:pt>
                <c:pt idx="36">
                  <c:v>1.367E-2</c:v>
                </c:pt>
                <c:pt idx="37">
                  <c:v>1.4019999999999999E-2</c:v>
                </c:pt>
                <c:pt idx="38">
                  <c:v>1.4370000000000001E-2</c:v>
                </c:pt>
                <c:pt idx="39">
                  <c:v>1.472E-2</c:v>
                </c:pt>
                <c:pt idx="40">
                  <c:v>1.507E-2</c:v>
                </c:pt>
                <c:pt idx="41">
                  <c:v>1.5429999999999999E-2</c:v>
                </c:pt>
                <c:pt idx="42">
                  <c:v>1.5779999999999999E-2</c:v>
                </c:pt>
                <c:pt idx="43">
                  <c:v>1.6129999999999999E-2</c:v>
                </c:pt>
                <c:pt idx="44">
                  <c:v>1.6480000000000002E-2</c:v>
                </c:pt>
              </c:numCache>
            </c:numRef>
          </c:xVal>
          <c:yVal>
            <c:numRef>
              <c:f>'[1L-gcat-h - Parametric Study.xlsx]1mm an th'!$F$3:$F$47</c:f>
              <c:numCache>
                <c:formatCode>General</c:formatCode>
                <c:ptCount val="45"/>
                <c:pt idx="0">
                  <c:v>0.89990000000000003</c:v>
                </c:pt>
                <c:pt idx="1">
                  <c:v>0.89080000000000004</c:v>
                </c:pt>
                <c:pt idx="2">
                  <c:v>0.88329999999999997</c:v>
                </c:pt>
                <c:pt idx="3">
                  <c:v>0.87680000000000002</c:v>
                </c:pt>
                <c:pt idx="4">
                  <c:v>0.87119999999999997</c:v>
                </c:pt>
                <c:pt idx="5">
                  <c:v>0.86609999999999998</c:v>
                </c:pt>
                <c:pt idx="6">
                  <c:v>0.86150000000000004</c:v>
                </c:pt>
                <c:pt idx="7">
                  <c:v>0.85719999999999996</c:v>
                </c:pt>
                <c:pt idx="8">
                  <c:v>0.85319999999999996</c:v>
                </c:pt>
                <c:pt idx="9">
                  <c:v>0.84940000000000004</c:v>
                </c:pt>
                <c:pt idx="10">
                  <c:v>0.84589999999999999</c:v>
                </c:pt>
                <c:pt idx="11">
                  <c:v>0.84240000000000004</c:v>
                </c:pt>
                <c:pt idx="12">
                  <c:v>0.83919999999999995</c:v>
                </c:pt>
                <c:pt idx="13">
                  <c:v>0.83599999999999997</c:v>
                </c:pt>
                <c:pt idx="14">
                  <c:v>0.83289999999999997</c:v>
                </c:pt>
                <c:pt idx="15">
                  <c:v>0.82989999999999997</c:v>
                </c:pt>
                <c:pt idx="16">
                  <c:v>0.82699999999999996</c:v>
                </c:pt>
                <c:pt idx="17">
                  <c:v>0.82410000000000005</c:v>
                </c:pt>
                <c:pt idx="18">
                  <c:v>0.82120000000000004</c:v>
                </c:pt>
                <c:pt idx="19">
                  <c:v>0.81830000000000003</c:v>
                </c:pt>
                <c:pt idx="20">
                  <c:v>0.8155</c:v>
                </c:pt>
                <c:pt idx="21">
                  <c:v>0.81269999999999998</c:v>
                </c:pt>
                <c:pt idx="22">
                  <c:v>0.80979999999999996</c:v>
                </c:pt>
                <c:pt idx="23">
                  <c:v>0.80700000000000005</c:v>
                </c:pt>
                <c:pt idx="24">
                  <c:v>0.80410000000000004</c:v>
                </c:pt>
                <c:pt idx="25">
                  <c:v>0.80120000000000002</c:v>
                </c:pt>
                <c:pt idx="26">
                  <c:v>0.79820000000000002</c:v>
                </c:pt>
                <c:pt idx="27">
                  <c:v>0.79510000000000003</c:v>
                </c:pt>
                <c:pt idx="28">
                  <c:v>0.79200000000000004</c:v>
                </c:pt>
                <c:pt idx="29">
                  <c:v>0.78869999999999996</c:v>
                </c:pt>
                <c:pt idx="30">
                  <c:v>0.78539999999999999</c:v>
                </c:pt>
                <c:pt idx="31">
                  <c:v>0.78180000000000005</c:v>
                </c:pt>
                <c:pt idx="32">
                  <c:v>0.77810000000000001</c:v>
                </c:pt>
                <c:pt idx="33">
                  <c:v>0.7742</c:v>
                </c:pt>
                <c:pt idx="34">
                  <c:v>0.77010000000000001</c:v>
                </c:pt>
                <c:pt idx="35">
                  <c:v>0.76559999999999995</c:v>
                </c:pt>
                <c:pt idx="36">
                  <c:v>0.76070000000000004</c:v>
                </c:pt>
                <c:pt idx="37">
                  <c:v>0.75529999999999997</c:v>
                </c:pt>
                <c:pt idx="38">
                  <c:v>0.74919999999999998</c:v>
                </c:pt>
                <c:pt idx="39">
                  <c:v>0.74229999999999996</c:v>
                </c:pt>
                <c:pt idx="40">
                  <c:v>0.73399999999999999</c:v>
                </c:pt>
                <c:pt idx="41">
                  <c:v>0.72389999999999999</c:v>
                </c:pt>
                <c:pt idx="42">
                  <c:v>0.71040000000000003</c:v>
                </c:pt>
                <c:pt idx="43">
                  <c:v>0.68969999999999998</c:v>
                </c:pt>
                <c:pt idx="44">
                  <c:v>0.64100000000000001</c:v>
                </c:pt>
              </c:numCache>
            </c:numRef>
          </c:yVal>
          <c:smooth val="0"/>
          <c:extLst>
            <c:ext xmlns:c16="http://schemas.microsoft.com/office/drawing/2014/chart" uri="{C3380CC4-5D6E-409C-BE32-E72D297353CC}">
              <c16:uniqueId val="{00000002-E33F-492D-A820-21DB2AC1C4B7}"/>
            </c:ext>
          </c:extLst>
        </c:ser>
        <c:dLbls>
          <c:showLegendKey val="0"/>
          <c:showVal val="0"/>
          <c:showCatName val="0"/>
          <c:showSerName val="0"/>
          <c:showPercent val="0"/>
          <c:showBubbleSize val="0"/>
        </c:dLbls>
        <c:axId val="2072402911"/>
        <c:axId val="1993702335"/>
      </c:scatterChart>
      <c:valAx>
        <c:axId val="2126854143"/>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Current Density </a:t>
                </a:r>
                <a:r>
                  <a:rPr lang="en-US" sz="800" b="0" i="0" u="none" strike="noStrike" kern="1200" baseline="0">
                    <a:solidFill>
                      <a:sysClr val="windowText" lastClr="000000">
                        <a:lumMod val="65000"/>
                        <a:lumOff val="35000"/>
                      </a:sysClr>
                    </a:solidFill>
                  </a:rPr>
                  <a:t>(Acm</a:t>
                </a:r>
                <a:r>
                  <a:rPr lang="en-US" sz="800" b="0" i="0" u="none" strike="noStrike" kern="1200" baseline="30000">
                    <a:solidFill>
                      <a:sysClr val="windowText" lastClr="000000">
                        <a:lumMod val="65000"/>
                        <a:lumOff val="35000"/>
                      </a:sysClr>
                    </a:solidFill>
                  </a:rPr>
                  <a:t>-2</a:t>
                </a:r>
                <a:r>
                  <a:rPr lang="en-US" sz="800" b="0" i="0" u="none" strike="noStrike" kern="1200" baseline="0">
                    <a:solidFill>
                      <a:sysClr val="windowText" lastClr="000000">
                        <a:lumMod val="65000"/>
                        <a:lumOff val="35000"/>
                      </a:sysClr>
                    </a:solidFill>
                  </a:rPr>
                  <a:t>)</a:t>
                </a:r>
                <a:endParaRPr lang="en-US" sz="800"/>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6852703"/>
        <c:crosses val="autoZero"/>
        <c:crossBetween val="midCat"/>
      </c:valAx>
      <c:valAx>
        <c:axId val="2126852703"/>
        <c:scaling>
          <c:orientation val="minMax"/>
          <c:max val="100"/>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t>Selectivity (%)</a:t>
                </a:r>
              </a:p>
            </c:rich>
          </c:tx>
          <c:layout>
            <c:manualLayout>
              <c:xMode val="edge"/>
              <c:yMode val="edge"/>
              <c:x val="6.0521415270018621E-2"/>
              <c:y val="0.13920940919513014"/>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126854143"/>
        <c:crosses val="autoZero"/>
        <c:crossBetween val="midCat"/>
      </c:valAx>
      <c:valAx>
        <c:axId val="1993702335"/>
        <c:scaling>
          <c:orientation val="minMax"/>
        </c:scaling>
        <c:delete val="0"/>
        <c:axPos val="r"/>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CE</a:t>
                </a:r>
                <a:r>
                  <a:rPr lang="en-US" sz="800" baseline="0"/>
                  <a:t> (%)</a:t>
                </a:r>
                <a:endParaRPr lang="en-US" sz="800"/>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072402911"/>
        <c:crosses val="max"/>
        <c:crossBetween val="midCat"/>
      </c:valAx>
      <c:valAx>
        <c:axId val="2072402911"/>
        <c:scaling>
          <c:orientation val="minMax"/>
        </c:scaling>
        <c:delete val="1"/>
        <c:axPos val="b"/>
        <c:numFmt formatCode="General" sourceLinked="1"/>
        <c:majorTickMark val="out"/>
        <c:minorTickMark val="none"/>
        <c:tickLblPos val="nextTo"/>
        <c:crossAx val="1993702335"/>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'[1L-gcat-h - Parametric Study.xlsx]FBR Compare'!$A$3</c:f>
              <c:strCache>
                <c:ptCount val="1"/>
                <c:pt idx="0">
                  <c:v>PCFC</c:v>
                </c:pt>
              </c:strCache>
            </c:strRef>
          </c:tx>
          <c:spPr>
            <a:solidFill>
              <a:schemeClr val="accent5">
                <a:lumMod val="60000"/>
                <a:lumOff val="40000"/>
              </a:schemeClr>
            </a:solidFill>
            <a:ln>
              <a:noFill/>
            </a:ln>
            <a:effectLst/>
          </c:spPr>
          <c:invertIfNegative val="0"/>
          <c:cat>
            <c:strRef>
              <c:f>'[1L-gcat-h - Parametric Study.xlsx]FBR Compare'!$B$2:$D$2</c:f>
              <c:strCache>
                <c:ptCount val="3"/>
                <c:pt idx="0">
                  <c:v>Aromatics (%)</c:v>
                </c:pt>
                <c:pt idx="1">
                  <c:v>Fuel Conversion (%)</c:v>
                </c:pt>
                <c:pt idx="2">
                  <c:v>Emissions (%)</c:v>
                </c:pt>
              </c:strCache>
            </c:strRef>
          </c:cat>
          <c:val>
            <c:numRef>
              <c:f>'[1L-gcat-h - Parametric Study.xlsx]FBR Compare'!$B$3:$D$3</c:f>
              <c:numCache>
                <c:formatCode>General</c:formatCode>
                <c:ptCount val="3"/>
                <c:pt idx="0">
                  <c:v>70.95</c:v>
                </c:pt>
                <c:pt idx="1">
                  <c:v>25.6</c:v>
                </c:pt>
                <c:pt idx="2">
                  <c:v>18.895</c:v>
                </c:pt>
              </c:numCache>
            </c:numRef>
          </c:val>
          <c:extLst>
            <c:ext xmlns:c16="http://schemas.microsoft.com/office/drawing/2014/chart" uri="{C3380CC4-5D6E-409C-BE32-E72D297353CC}">
              <c16:uniqueId val="{00000000-7DD5-4638-816A-68F71EBD6391}"/>
            </c:ext>
          </c:extLst>
        </c:ser>
        <c:ser>
          <c:idx val="1"/>
          <c:order val="1"/>
          <c:tx>
            <c:strRef>
              <c:f>'[1L-gcat-h - Parametric Study.xlsx]FBR Compare'!$A$4</c:f>
              <c:strCache>
                <c:ptCount val="1"/>
                <c:pt idx="0">
                  <c:v>FBR</c:v>
                </c:pt>
              </c:strCache>
            </c:strRef>
          </c:tx>
          <c:spPr>
            <a:solidFill>
              <a:schemeClr val="accent6">
                <a:lumMod val="60000"/>
                <a:lumOff val="40000"/>
              </a:schemeClr>
            </a:solidFill>
            <a:ln>
              <a:noFill/>
            </a:ln>
            <a:effectLst/>
          </c:spPr>
          <c:invertIfNegative val="0"/>
          <c:cat>
            <c:strRef>
              <c:f>'[1L-gcat-h - Parametric Study.xlsx]FBR Compare'!$B$2:$D$2</c:f>
              <c:strCache>
                <c:ptCount val="3"/>
                <c:pt idx="0">
                  <c:v>Aromatics (%)</c:v>
                </c:pt>
                <c:pt idx="1">
                  <c:v>Fuel Conversion (%)</c:v>
                </c:pt>
                <c:pt idx="2">
                  <c:v>Emissions (%)</c:v>
                </c:pt>
              </c:strCache>
            </c:strRef>
          </c:cat>
          <c:val>
            <c:numRef>
              <c:f>'[1L-gcat-h - Parametric Study.xlsx]FBR Compare'!$B$4:$D$4</c:f>
              <c:numCache>
                <c:formatCode>General</c:formatCode>
                <c:ptCount val="3"/>
                <c:pt idx="0">
                  <c:v>72</c:v>
                </c:pt>
                <c:pt idx="1">
                  <c:v>18</c:v>
                </c:pt>
                <c:pt idx="2">
                  <c:v>12.65</c:v>
                </c:pt>
              </c:numCache>
            </c:numRef>
          </c:val>
          <c:extLst>
            <c:ext xmlns:c16="http://schemas.microsoft.com/office/drawing/2014/chart" uri="{C3380CC4-5D6E-409C-BE32-E72D297353CC}">
              <c16:uniqueId val="{00000001-7DD5-4638-816A-68F71EBD6391}"/>
            </c:ext>
          </c:extLst>
        </c:ser>
        <c:dLbls>
          <c:showLegendKey val="0"/>
          <c:showVal val="0"/>
          <c:showCatName val="0"/>
          <c:showSerName val="0"/>
          <c:showPercent val="0"/>
          <c:showBubbleSize val="0"/>
        </c:dLbls>
        <c:gapWidth val="219"/>
        <c:overlap val="-27"/>
        <c:axId val="1993701375"/>
        <c:axId val="1993700415"/>
      </c:barChart>
      <c:catAx>
        <c:axId val="19937013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3700415"/>
        <c:crosses val="autoZero"/>
        <c:auto val="1"/>
        <c:lblAlgn val="ctr"/>
        <c:lblOffset val="100"/>
        <c:noMultiLvlLbl val="0"/>
      </c:catAx>
      <c:valAx>
        <c:axId val="1993700415"/>
        <c:scaling>
          <c:orientation val="minMax"/>
        </c:scaling>
        <c:delete val="0"/>
        <c:axPos val="l"/>
        <c:numFmt formatCode="General" sourceLinked="1"/>
        <c:majorTickMark val="out"/>
        <c:minorTickMark val="none"/>
        <c:tickLblPos val="nextTo"/>
        <c:spPr>
          <a:noFill/>
          <a:ln>
            <a:solidFill>
              <a:schemeClr val="tx2"/>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37013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a:t>
            </a:r>
          </a:p>
        </c:rich>
      </c:tx>
      <c:layout>
        <c:manualLayout>
          <c:xMode val="edge"/>
          <c:yMode val="edge"/>
          <c:x val="2.5806451612903391E-3"/>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0188632730206638"/>
          <c:y val="7.4490540891473819E-2"/>
          <c:w val="0.75723341152564649"/>
          <c:h val="0.73849056049076633"/>
        </c:manualLayout>
      </c:layout>
      <c:scatterChart>
        <c:scatterStyle val="smoothMarker"/>
        <c:varyColors val="0"/>
        <c:ser>
          <c:idx val="1"/>
          <c:order val="1"/>
          <c:tx>
            <c:strRef>
              <c:f>'[1L-gcat-h - Parametric Study.xlsx]Recycle - H2'!$D$1</c:f>
              <c:strCache>
                <c:ptCount val="1"/>
                <c:pt idx="0">
                  <c:v>C2H4</c:v>
                </c:pt>
              </c:strCache>
            </c:strRef>
          </c:tx>
          <c:spPr>
            <a:ln w="19050" cap="rnd">
              <a:solidFill>
                <a:schemeClr val="accent6"/>
              </a:solidFill>
              <a:round/>
            </a:ln>
            <a:effectLst/>
          </c:spPr>
          <c:marker>
            <c:symbol val="none"/>
          </c:marker>
          <c:xVal>
            <c:numRef>
              <c:f>'[1L-gcat-h - Parametric Study.xlsx]Recycle - H2'!$A$2:$A$31</c:f>
              <c:numCache>
                <c:formatCode>General</c:formatCode>
                <c:ptCount val="30"/>
                <c:pt idx="0">
                  <c:v>0</c:v>
                </c:pt>
                <c:pt idx="1">
                  <c:v>3.4479999999999997E-2</c:v>
                </c:pt>
                <c:pt idx="2">
                  <c:v>6.8970000000000004E-2</c:v>
                </c:pt>
                <c:pt idx="3">
                  <c:v>0.10340000000000001</c:v>
                </c:pt>
                <c:pt idx="4">
                  <c:v>0.13789999999999999</c:v>
                </c:pt>
                <c:pt idx="5">
                  <c:v>0.1724</c:v>
                </c:pt>
                <c:pt idx="6">
                  <c:v>0.2069</c:v>
                </c:pt>
                <c:pt idx="7">
                  <c:v>0.2414</c:v>
                </c:pt>
                <c:pt idx="8">
                  <c:v>0.27589999999999998</c:v>
                </c:pt>
                <c:pt idx="9">
                  <c:v>0.31030000000000002</c:v>
                </c:pt>
                <c:pt idx="10">
                  <c:v>0.3448</c:v>
                </c:pt>
                <c:pt idx="11">
                  <c:v>0.37930000000000003</c:v>
                </c:pt>
                <c:pt idx="12">
                  <c:v>0.4138</c:v>
                </c:pt>
                <c:pt idx="13">
                  <c:v>0.44829999999999998</c:v>
                </c:pt>
                <c:pt idx="14">
                  <c:v>0.48280000000000001</c:v>
                </c:pt>
                <c:pt idx="15">
                  <c:v>0.51719999999999999</c:v>
                </c:pt>
                <c:pt idx="16">
                  <c:v>0.55169999999999997</c:v>
                </c:pt>
                <c:pt idx="17">
                  <c:v>0.58620000000000005</c:v>
                </c:pt>
                <c:pt idx="18">
                  <c:v>0.62070000000000003</c:v>
                </c:pt>
                <c:pt idx="19">
                  <c:v>0.6552</c:v>
                </c:pt>
                <c:pt idx="20">
                  <c:v>0.68969999999999998</c:v>
                </c:pt>
                <c:pt idx="21">
                  <c:v>0.72409999999999997</c:v>
                </c:pt>
                <c:pt idx="22">
                  <c:v>0.75860000000000005</c:v>
                </c:pt>
                <c:pt idx="23">
                  <c:v>0.79310000000000003</c:v>
                </c:pt>
                <c:pt idx="24">
                  <c:v>0.8276</c:v>
                </c:pt>
                <c:pt idx="25">
                  <c:v>0.86209999999999998</c:v>
                </c:pt>
                <c:pt idx="26">
                  <c:v>0.89659999999999995</c:v>
                </c:pt>
                <c:pt idx="27">
                  <c:v>0.93100000000000005</c:v>
                </c:pt>
                <c:pt idx="28">
                  <c:v>0.96550000000000002</c:v>
                </c:pt>
                <c:pt idx="29">
                  <c:v>1</c:v>
                </c:pt>
              </c:numCache>
            </c:numRef>
          </c:xVal>
          <c:yVal>
            <c:numRef>
              <c:f>'[1L-gcat-h - Parametric Study.xlsx]Recycle - H2'!$D$2:$D$31</c:f>
              <c:numCache>
                <c:formatCode>General</c:formatCode>
                <c:ptCount val="30"/>
                <c:pt idx="0">
                  <c:v>8.1329999999999991</c:v>
                </c:pt>
                <c:pt idx="1">
                  <c:v>8.1440000000000001</c:v>
                </c:pt>
                <c:pt idx="2">
                  <c:v>8.157</c:v>
                </c:pt>
                <c:pt idx="3">
                  <c:v>8.17</c:v>
                </c:pt>
                <c:pt idx="4">
                  <c:v>8.1829999999999998</c:v>
                </c:pt>
                <c:pt idx="5">
                  <c:v>8.1969999999999992</c:v>
                </c:pt>
                <c:pt idx="6">
                  <c:v>8.2119999999999997</c:v>
                </c:pt>
                <c:pt idx="7">
                  <c:v>8.2279999999999998</c:v>
                </c:pt>
                <c:pt idx="8">
                  <c:v>8.2439999999999998</c:v>
                </c:pt>
                <c:pt idx="9">
                  <c:v>8.2620000000000005</c:v>
                </c:pt>
                <c:pt idx="10">
                  <c:v>8.2799999999999994</c:v>
                </c:pt>
                <c:pt idx="11">
                  <c:v>8.2989999999999995</c:v>
                </c:pt>
                <c:pt idx="12">
                  <c:v>8.32</c:v>
                </c:pt>
                <c:pt idx="13">
                  <c:v>8.3420000000000005</c:v>
                </c:pt>
                <c:pt idx="14">
                  <c:v>8.3650000000000002</c:v>
                </c:pt>
                <c:pt idx="15">
                  <c:v>8.3889999999999993</c:v>
                </c:pt>
                <c:pt idx="16">
                  <c:v>8.4149999999999991</c:v>
                </c:pt>
                <c:pt idx="17">
                  <c:v>8.4440000000000008</c:v>
                </c:pt>
                <c:pt idx="18">
                  <c:v>8.4740000000000002</c:v>
                </c:pt>
                <c:pt idx="19">
                  <c:v>8.5060000000000002</c:v>
                </c:pt>
                <c:pt idx="20">
                  <c:v>8.5410000000000004</c:v>
                </c:pt>
                <c:pt idx="21">
                  <c:v>8.5790000000000006</c:v>
                </c:pt>
                <c:pt idx="22">
                  <c:v>8.6199999999999992</c:v>
                </c:pt>
                <c:pt idx="23">
                  <c:v>8.6649999999999991</c:v>
                </c:pt>
                <c:pt idx="24">
                  <c:v>8.7149999999999999</c:v>
                </c:pt>
                <c:pt idx="25">
                  <c:v>8.7690000000000001</c:v>
                </c:pt>
                <c:pt idx="26">
                  <c:v>8.8290000000000006</c:v>
                </c:pt>
                <c:pt idx="27">
                  <c:v>8.8960000000000008</c:v>
                </c:pt>
                <c:pt idx="28">
                  <c:v>8.9710000000000001</c:v>
                </c:pt>
                <c:pt idx="29">
                  <c:v>9.0559999999999992</c:v>
                </c:pt>
              </c:numCache>
            </c:numRef>
          </c:yVal>
          <c:smooth val="1"/>
          <c:extLst>
            <c:ext xmlns:c16="http://schemas.microsoft.com/office/drawing/2014/chart" uri="{C3380CC4-5D6E-409C-BE32-E72D297353CC}">
              <c16:uniqueId val="{00000000-4EF1-4848-90BE-92AE11327CFE}"/>
            </c:ext>
          </c:extLst>
        </c:ser>
        <c:ser>
          <c:idx val="2"/>
          <c:order val="2"/>
          <c:tx>
            <c:strRef>
              <c:f>'[1L-gcat-h - Parametric Study.xlsx]Recycle - H2'!$E$1</c:f>
              <c:strCache>
                <c:ptCount val="1"/>
                <c:pt idx="0">
                  <c:v>C6H6</c:v>
                </c:pt>
              </c:strCache>
            </c:strRef>
          </c:tx>
          <c:spPr>
            <a:ln w="19050" cap="rnd">
              <a:solidFill>
                <a:srgbClr val="C00000"/>
              </a:solidFill>
              <a:round/>
            </a:ln>
            <a:effectLst/>
          </c:spPr>
          <c:marker>
            <c:symbol val="none"/>
          </c:marker>
          <c:xVal>
            <c:numRef>
              <c:f>'[1L-gcat-h - Parametric Study.xlsx]Recycle - H2'!$A$2:$A$31</c:f>
              <c:numCache>
                <c:formatCode>General</c:formatCode>
                <c:ptCount val="30"/>
                <c:pt idx="0">
                  <c:v>0</c:v>
                </c:pt>
                <c:pt idx="1">
                  <c:v>3.4479999999999997E-2</c:v>
                </c:pt>
                <c:pt idx="2">
                  <c:v>6.8970000000000004E-2</c:v>
                </c:pt>
                <c:pt idx="3">
                  <c:v>0.10340000000000001</c:v>
                </c:pt>
                <c:pt idx="4">
                  <c:v>0.13789999999999999</c:v>
                </c:pt>
                <c:pt idx="5">
                  <c:v>0.1724</c:v>
                </c:pt>
                <c:pt idx="6">
                  <c:v>0.2069</c:v>
                </c:pt>
                <c:pt idx="7">
                  <c:v>0.2414</c:v>
                </c:pt>
                <c:pt idx="8">
                  <c:v>0.27589999999999998</c:v>
                </c:pt>
                <c:pt idx="9">
                  <c:v>0.31030000000000002</c:v>
                </c:pt>
                <c:pt idx="10">
                  <c:v>0.3448</c:v>
                </c:pt>
                <c:pt idx="11">
                  <c:v>0.37930000000000003</c:v>
                </c:pt>
                <c:pt idx="12">
                  <c:v>0.4138</c:v>
                </c:pt>
                <c:pt idx="13">
                  <c:v>0.44829999999999998</c:v>
                </c:pt>
                <c:pt idx="14">
                  <c:v>0.48280000000000001</c:v>
                </c:pt>
                <c:pt idx="15">
                  <c:v>0.51719999999999999</c:v>
                </c:pt>
                <c:pt idx="16">
                  <c:v>0.55169999999999997</c:v>
                </c:pt>
                <c:pt idx="17">
                  <c:v>0.58620000000000005</c:v>
                </c:pt>
                <c:pt idx="18">
                  <c:v>0.62070000000000003</c:v>
                </c:pt>
                <c:pt idx="19">
                  <c:v>0.6552</c:v>
                </c:pt>
                <c:pt idx="20">
                  <c:v>0.68969999999999998</c:v>
                </c:pt>
                <c:pt idx="21">
                  <c:v>0.72409999999999997</c:v>
                </c:pt>
                <c:pt idx="22">
                  <c:v>0.75860000000000005</c:v>
                </c:pt>
                <c:pt idx="23">
                  <c:v>0.79310000000000003</c:v>
                </c:pt>
                <c:pt idx="24">
                  <c:v>0.8276</c:v>
                </c:pt>
                <c:pt idx="25">
                  <c:v>0.86209999999999998</c:v>
                </c:pt>
                <c:pt idx="26">
                  <c:v>0.89659999999999995</c:v>
                </c:pt>
                <c:pt idx="27">
                  <c:v>0.93100000000000005</c:v>
                </c:pt>
                <c:pt idx="28">
                  <c:v>0.96550000000000002</c:v>
                </c:pt>
                <c:pt idx="29">
                  <c:v>1</c:v>
                </c:pt>
              </c:numCache>
            </c:numRef>
          </c:xVal>
          <c:yVal>
            <c:numRef>
              <c:f>'[1L-gcat-h - Parametric Study.xlsx]Recycle - H2'!$E$2:$E$31</c:f>
              <c:numCache>
                <c:formatCode>General</c:formatCode>
                <c:ptCount val="30"/>
                <c:pt idx="0">
                  <c:v>64.599999999999994</c:v>
                </c:pt>
                <c:pt idx="1">
                  <c:v>64.69</c:v>
                </c:pt>
                <c:pt idx="2">
                  <c:v>64.77</c:v>
                </c:pt>
                <c:pt idx="3">
                  <c:v>64.86</c:v>
                </c:pt>
                <c:pt idx="4">
                  <c:v>64.95</c:v>
                </c:pt>
                <c:pt idx="5">
                  <c:v>65.040000000000006</c:v>
                </c:pt>
                <c:pt idx="6">
                  <c:v>65.13</c:v>
                </c:pt>
                <c:pt idx="7">
                  <c:v>65.23</c:v>
                </c:pt>
                <c:pt idx="8">
                  <c:v>65.319999999999993</c:v>
                </c:pt>
                <c:pt idx="9">
                  <c:v>65.42</c:v>
                </c:pt>
                <c:pt idx="10">
                  <c:v>65.52</c:v>
                </c:pt>
                <c:pt idx="11">
                  <c:v>65.62</c:v>
                </c:pt>
                <c:pt idx="12">
                  <c:v>65.73</c:v>
                </c:pt>
                <c:pt idx="13">
                  <c:v>65.83</c:v>
                </c:pt>
                <c:pt idx="14">
                  <c:v>65.94</c:v>
                </c:pt>
                <c:pt idx="15">
                  <c:v>66.05</c:v>
                </c:pt>
                <c:pt idx="16">
                  <c:v>66.16</c:v>
                </c:pt>
                <c:pt idx="17">
                  <c:v>66.27</c:v>
                </c:pt>
                <c:pt idx="18">
                  <c:v>66.38</c:v>
                </c:pt>
                <c:pt idx="19">
                  <c:v>66.489999999999995</c:v>
                </c:pt>
                <c:pt idx="20">
                  <c:v>66.599999999999994</c:v>
                </c:pt>
                <c:pt idx="21">
                  <c:v>66.72</c:v>
                </c:pt>
                <c:pt idx="22">
                  <c:v>66.83</c:v>
                </c:pt>
                <c:pt idx="23">
                  <c:v>66.94</c:v>
                </c:pt>
                <c:pt idx="24">
                  <c:v>67.05</c:v>
                </c:pt>
                <c:pt idx="25">
                  <c:v>67.150000000000006</c:v>
                </c:pt>
                <c:pt idx="26">
                  <c:v>67.260000000000005</c:v>
                </c:pt>
                <c:pt idx="27">
                  <c:v>67.349999999999994</c:v>
                </c:pt>
                <c:pt idx="28">
                  <c:v>67.44</c:v>
                </c:pt>
                <c:pt idx="29">
                  <c:v>67.52</c:v>
                </c:pt>
              </c:numCache>
            </c:numRef>
          </c:yVal>
          <c:smooth val="1"/>
          <c:extLst>
            <c:ext xmlns:c16="http://schemas.microsoft.com/office/drawing/2014/chart" uri="{C3380CC4-5D6E-409C-BE32-E72D297353CC}">
              <c16:uniqueId val="{00000001-4EF1-4848-90BE-92AE11327CFE}"/>
            </c:ext>
          </c:extLst>
        </c:ser>
        <c:ser>
          <c:idx val="3"/>
          <c:order val="3"/>
          <c:tx>
            <c:strRef>
              <c:f>'[1L-gcat-h - Parametric Study.xlsx]Recycle - H2'!$F$1</c:f>
              <c:strCache>
                <c:ptCount val="1"/>
                <c:pt idx="0">
                  <c:v>C7H8</c:v>
                </c:pt>
              </c:strCache>
            </c:strRef>
          </c:tx>
          <c:spPr>
            <a:ln w="19050" cap="rnd">
              <a:solidFill>
                <a:schemeClr val="accent4"/>
              </a:solidFill>
              <a:round/>
            </a:ln>
            <a:effectLst/>
          </c:spPr>
          <c:marker>
            <c:symbol val="none"/>
          </c:marker>
          <c:xVal>
            <c:numRef>
              <c:f>'[1L-gcat-h - Parametric Study.xlsx]Recycle - H2'!$A$2:$A$31</c:f>
              <c:numCache>
                <c:formatCode>General</c:formatCode>
                <c:ptCount val="30"/>
                <c:pt idx="0">
                  <c:v>0</c:v>
                </c:pt>
                <c:pt idx="1">
                  <c:v>3.4479999999999997E-2</c:v>
                </c:pt>
                <c:pt idx="2">
                  <c:v>6.8970000000000004E-2</c:v>
                </c:pt>
                <c:pt idx="3">
                  <c:v>0.10340000000000001</c:v>
                </c:pt>
                <c:pt idx="4">
                  <c:v>0.13789999999999999</c:v>
                </c:pt>
                <c:pt idx="5">
                  <c:v>0.1724</c:v>
                </c:pt>
                <c:pt idx="6">
                  <c:v>0.2069</c:v>
                </c:pt>
                <c:pt idx="7">
                  <c:v>0.2414</c:v>
                </c:pt>
                <c:pt idx="8">
                  <c:v>0.27589999999999998</c:v>
                </c:pt>
                <c:pt idx="9">
                  <c:v>0.31030000000000002</c:v>
                </c:pt>
                <c:pt idx="10">
                  <c:v>0.3448</c:v>
                </c:pt>
                <c:pt idx="11">
                  <c:v>0.37930000000000003</c:v>
                </c:pt>
                <c:pt idx="12">
                  <c:v>0.4138</c:v>
                </c:pt>
                <c:pt idx="13">
                  <c:v>0.44829999999999998</c:v>
                </c:pt>
                <c:pt idx="14">
                  <c:v>0.48280000000000001</c:v>
                </c:pt>
                <c:pt idx="15">
                  <c:v>0.51719999999999999</c:v>
                </c:pt>
                <c:pt idx="16">
                  <c:v>0.55169999999999997</c:v>
                </c:pt>
                <c:pt idx="17">
                  <c:v>0.58620000000000005</c:v>
                </c:pt>
                <c:pt idx="18">
                  <c:v>0.62070000000000003</c:v>
                </c:pt>
                <c:pt idx="19">
                  <c:v>0.6552</c:v>
                </c:pt>
                <c:pt idx="20">
                  <c:v>0.68969999999999998</c:v>
                </c:pt>
                <c:pt idx="21">
                  <c:v>0.72409999999999997</c:v>
                </c:pt>
                <c:pt idx="22">
                  <c:v>0.75860000000000005</c:v>
                </c:pt>
                <c:pt idx="23">
                  <c:v>0.79310000000000003</c:v>
                </c:pt>
                <c:pt idx="24">
                  <c:v>0.8276</c:v>
                </c:pt>
                <c:pt idx="25">
                  <c:v>0.86209999999999998</c:v>
                </c:pt>
                <c:pt idx="26">
                  <c:v>0.89659999999999995</c:v>
                </c:pt>
                <c:pt idx="27">
                  <c:v>0.93100000000000005</c:v>
                </c:pt>
                <c:pt idx="28">
                  <c:v>0.96550000000000002</c:v>
                </c:pt>
                <c:pt idx="29">
                  <c:v>1</c:v>
                </c:pt>
              </c:numCache>
            </c:numRef>
          </c:xVal>
          <c:yVal>
            <c:numRef>
              <c:f>'[1L-gcat-h - Parametric Study.xlsx]Recycle - H2'!$F$2:$F$31</c:f>
              <c:numCache>
                <c:formatCode>General</c:formatCode>
                <c:ptCount val="30"/>
                <c:pt idx="0">
                  <c:v>9.4290000000000003</c:v>
                </c:pt>
                <c:pt idx="1">
                  <c:v>9.3219999999999992</c:v>
                </c:pt>
                <c:pt idx="2">
                  <c:v>9.2119999999999997</c:v>
                </c:pt>
                <c:pt idx="3">
                  <c:v>9.1</c:v>
                </c:pt>
                <c:pt idx="4">
                  <c:v>8.9849999999999994</c:v>
                </c:pt>
                <c:pt idx="5">
                  <c:v>8.8659999999999997</c:v>
                </c:pt>
                <c:pt idx="6">
                  <c:v>8.7449999999999992</c:v>
                </c:pt>
                <c:pt idx="7">
                  <c:v>8.6199999999999992</c:v>
                </c:pt>
                <c:pt idx="8">
                  <c:v>8.4930000000000003</c:v>
                </c:pt>
                <c:pt idx="9">
                  <c:v>8.3610000000000007</c:v>
                </c:pt>
                <c:pt idx="10">
                  <c:v>8.2260000000000009</c:v>
                </c:pt>
                <c:pt idx="11">
                  <c:v>8.0879999999999992</c:v>
                </c:pt>
                <c:pt idx="12">
                  <c:v>7.9450000000000003</c:v>
                </c:pt>
                <c:pt idx="13">
                  <c:v>7.798</c:v>
                </c:pt>
                <c:pt idx="14">
                  <c:v>7.6479999999999997</c:v>
                </c:pt>
                <c:pt idx="15">
                  <c:v>7.492</c:v>
                </c:pt>
                <c:pt idx="16">
                  <c:v>7.3330000000000002</c:v>
                </c:pt>
                <c:pt idx="17">
                  <c:v>7.1689999999999996</c:v>
                </c:pt>
                <c:pt idx="18">
                  <c:v>6.9989999999999997</c:v>
                </c:pt>
                <c:pt idx="19">
                  <c:v>6.8250000000000002</c:v>
                </c:pt>
                <c:pt idx="20">
                  <c:v>6.6459999999999999</c:v>
                </c:pt>
                <c:pt idx="21">
                  <c:v>6.4610000000000003</c:v>
                </c:pt>
                <c:pt idx="22">
                  <c:v>6.27</c:v>
                </c:pt>
                <c:pt idx="23">
                  <c:v>6.0739999999999998</c:v>
                </c:pt>
                <c:pt idx="24">
                  <c:v>5.8710000000000004</c:v>
                </c:pt>
                <c:pt idx="25">
                  <c:v>5.6619999999999999</c:v>
                </c:pt>
                <c:pt idx="26">
                  <c:v>5.4459999999999997</c:v>
                </c:pt>
                <c:pt idx="27">
                  <c:v>5.2240000000000002</c:v>
                </c:pt>
                <c:pt idx="28">
                  <c:v>4.9939999999999998</c:v>
                </c:pt>
                <c:pt idx="29">
                  <c:v>4.7569999999999997</c:v>
                </c:pt>
              </c:numCache>
            </c:numRef>
          </c:yVal>
          <c:smooth val="1"/>
          <c:extLst>
            <c:ext xmlns:c16="http://schemas.microsoft.com/office/drawing/2014/chart" uri="{C3380CC4-5D6E-409C-BE32-E72D297353CC}">
              <c16:uniqueId val="{00000002-4EF1-4848-90BE-92AE11327CFE}"/>
            </c:ext>
          </c:extLst>
        </c:ser>
        <c:ser>
          <c:idx val="5"/>
          <c:order val="5"/>
          <c:tx>
            <c:v>CE</c:v>
          </c:tx>
          <c:spPr>
            <a:ln w="19050" cap="rnd">
              <a:solidFill>
                <a:schemeClr val="tx1">
                  <a:lumMod val="50000"/>
                  <a:lumOff val="50000"/>
                </a:schemeClr>
              </a:solidFill>
              <a:prstDash val="sysDash"/>
              <a:round/>
            </a:ln>
            <a:effectLst/>
          </c:spPr>
          <c:marker>
            <c:symbol val="none"/>
          </c:marker>
          <c:xVal>
            <c:numRef>
              <c:f>'[1L-gcat-h - Parametric Study.xlsx]Recycle - H2'!$A$2:$A$31</c:f>
              <c:numCache>
                <c:formatCode>General</c:formatCode>
                <c:ptCount val="30"/>
                <c:pt idx="0">
                  <c:v>0</c:v>
                </c:pt>
                <c:pt idx="1">
                  <c:v>3.4479999999999997E-2</c:v>
                </c:pt>
                <c:pt idx="2">
                  <c:v>6.8970000000000004E-2</c:v>
                </c:pt>
                <c:pt idx="3">
                  <c:v>0.10340000000000001</c:v>
                </c:pt>
                <c:pt idx="4">
                  <c:v>0.13789999999999999</c:v>
                </c:pt>
                <c:pt idx="5">
                  <c:v>0.1724</c:v>
                </c:pt>
                <c:pt idx="6">
                  <c:v>0.2069</c:v>
                </c:pt>
                <c:pt idx="7">
                  <c:v>0.2414</c:v>
                </c:pt>
                <c:pt idx="8">
                  <c:v>0.27589999999999998</c:v>
                </c:pt>
                <c:pt idx="9">
                  <c:v>0.31030000000000002</c:v>
                </c:pt>
                <c:pt idx="10">
                  <c:v>0.3448</c:v>
                </c:pt>
                <c:pt idx="11">
                  <c:v>0.37930000000000003</c:v>
                </c:pt>
                <c:pt idx="12">
                  <c:v>0.4138</c:v>
                </c:pt>
                <c:pt idx="13">
                  <c:v>0.44829999999999998</c:v>
                </c:pt>
                <c:pt idx="14">
                  <c:v>0.48280000000000001</c:v>
                </c:pt>
                <c:pt idx="15">
                  <c:v>0.51719999999999999</c:v>
                </c:pt>
                <c:pt idx="16">
                  <c:v>0.55169999999999997</c:v>
                </c:pt>
                <c:pt idx="17">
                  <c:v>0.58620000000000005</c:v>
                </c:pt>
                <c:pt idx="18">
                  <c:v>0.62070000000000003</c:v>
                </c:pt>
                <c:pt idx="19">
                  <c:v>0.6552</c:v>
                </c:pt>
                <c:pt idx="20">
                  <c:v>0.68969999999999998</c:v>
                </c:pt>
                <c:pt idx="21">
                  <c:v>0.72409999999999997</c:v>
                </c:pt>
                <c:pt idx="22">
                  <c:v>0.75860000000000005</c:v>
                </c:pt>
                <c:pt idx="23">
                  <c:v>0.79310000000000003</c:v>
                </c:pt>
                <c:pt idx="24">
                  <c:v>0.8276</c:v>
                </c:pt>
                <c:pt idx="25">
                  <c:v>0.86209999999999998</c:v>
                </c:pt>
                <c:pt idx="26">
                  <c:v>0.89659999999999995</c:v>
                </c:pt>
                <c:pt idx="27">
                  <c:v>0.93100000000000005</c:v>
                </c:pt>
                <c:pt idx="28">
                  <c:v>0.96550000000000002</c:v>
                </c:pt>
                <c:pt idx="29">
                  <c:v>1</c:v>
                </c:pt>
              </c:numCache>
            </c:numRef>
          </c:xVal>
          <c:yVal>
            <c:numRef>
              <c:f>'[1L-gcat-h - Parametric Study.xlsx]Recycle - H2'!$H$2:$H$32</c:f>
              <c:numCache>
                <c:formatCode>General</c:formatCode>
                <c:ptCount val="31"/>
                <c:pt idx="0">
                  <c:v>73.59</c:v>
                </c:pt>
                <c:pt idx="1">
                  <c:v>73.67</c:v>
                </c:pt>
                <c:pt idx="2">
                  <c:v>73.75</c:v>
                </c:pt>
                <c:pt idx="3">
                  <c:v>73.83</c:v>
                </c:pt>
                <c:pt idx="4">
                  <c:v>73.91</c:v>
                </c:pt>
                <c:pt idx="5">
                  <c:v>73.989999999999995</c:v>
                </c:pt>
                <c:pt idx="6">
                  <c:v>74.08</c:v>
                </c:pt>
                <c:pt idx="7">
                  <c:v>74.17</c:v>
                </c:pt>
                <c:pt idx="8">
                  <c:v>74.25</c:v>
                </c:pt>
                <c:pt idx="9">
                  <c:v>74.350000000000009</c:v>
                </c:pt>
                <c:pt idx="10">
                  <c:v>74.44</c:v>
                </c:pt>
                <c:pt idx="11">
                  <c:v>74.539999999999992</c:v>
                </c:pt>
                <c:pt idx="12">
                  <c:v>74.64</c:v>
                </c:pt>
                <c:pt idx="13">
                  <c:v>74.739999999999995</c:v>
                </c:pt>
                <c:pt idx="14">
                  <c:v>74.839999999999989</c:v>
                </c:pt>
                <c:pt idx="15">
                  <c:v>74.95</c:v>
                </c:pt>
                <c:pt idx="16">
                  <c:v>75.06</c:v>
                </c:pt>
                <c:pt idx="17">
                  <c:v>75.180000000000007</c:v>
                </c:pt>
                <c:pt idx="18">
                  <c:v>75.3</c:v>
                </c:pt>
                <c:pt idx="19">
                  <c:v>75.42</c:v>
                </c:pt>
                <c:pt idx="20">
                  <c:v>75.55</c:v>
                </c:pt>
                <c:pt idx="21">
                  <c:v>75.680000000000007</c:v>
                </c:pt>
                <c:pt idx="22">
                  <c:v>75.819999999999993</c:v>
                </c:pt>
                <c:pt idx="23">
                  <c:v>75.960000000000008</c:v>
                </c:pt>
                <c:pt idx="24">
                  <c:v>76.11</c:v>
                </c:pt>
                <c:pt idx="25">
                  <c:v>76.259999999999991</c:v>
                </c:pt>
                <c:pt idx="26">
                  <c:v>76.429999999999993</c:v>
                </c:pt>
                <c:pt idx="27">
                  <c:v>76.599999999999994</c:v>
                </c:pt>
                <c:pt idx="28">
                  <c:v>76.78</c:v>
                </c:pt>
                <c:pt idx="29">
                  <c:v>76.959999999999994</c:v>
                </c:pt>
              </c:numCache>
            </c:numRef>
          </c:yVal>
          <c:smooth val="1"/>
          <c:extLst>
            <c:ext xmlns:c16="http://schemas.microsoft.com/office/drawing/2014/chart" uri="{C3380CC4-5D6E-409C-BE32-E72D297353CC}">
              <c16:uniqueId val="{00000003-4EF1-4848-90BE-92AE11327CFE}"/>
            </c:ext>
          </c:extLst>
        </c:ser>
        <c:ser>
          <c:idx val="4"/>
          <c:order val="4"/>
          <c:tx>
            <c:strRef>
              <c:f>'[1L-gcat-h - Parametric Study.xlsx]Recycle - H2'!$G$1</c:f>
              <c:strCache>
                <c:ptCount val="1"/>
                <c:pt idx="0">
                  <c:v>Emissions</c:v>
                </c:pt>
              </c:strCache>
            </c:strRef>
          </c:tx>
          <c:spPr>
            <a:ln w="19050" cap="rnd">
              <a:solidFill>
                <a:schemeClr val="tx2"/>
              </a:solidFill>
              <a:round/>
            </a:ln>
            <a:effectLst/>
          </c:spPr>
          <c:marker>
            <c:symbol val="none"/>
          </c:marker>
          <c:xVal>
            <c:numRef>
              <c:f>'[1L-gcat-h - Parametric Study.xlsx]Recycle - H2'!$A$2:$A$31</c:f>
              <c:numCache>
                <c:formatCode>General</c:formatCode>
                <c:ptCount val="30"/>
                <c:pt idx="0">
                  <c:v>0</c:v>
                </c:pt>
                <c:pt idx="1">
                  <c:v>3.4479999999999997E-2</c:v>
                </c:pt>
                <c:pt idx="2">
                  <c:v>6.8970000000000004E-2</c:v>
                </c:pt>
                <c:pt idx="3">
                  <c:v>0.10340000000000001</c:v>
                </c:pt>
                <c:pt idx="4">
                  <c:v>0.13789999999999999</c:v>
                </c:pt>
                <c:pt idx="5">
                  <c:v>0.1724</c:v>
                </c:pt>
                <c:pt idx="6">
                  <c:v>0.2069</c:v>
                </c:pt>
                <c:pt idx="7">
                  <c:v>0.2414</c:v>
                </c:pt>
                <c:pt idx="8">
                  <c:v>0.27589999999999998</c:v>
                </c:pt>
                <c:pt idx="9">
                  <c:v>0.31030000000000002</c:v>
                </c:pt>
                <c:pt idx="10">
                  <c:v>0.3448</c:v>
                </c:pt>
                <c:pt idx="11">
                  <c:v>0.37930000000000003</c:v>
                </c:pt>
                <c:pt idx="12">
                  <c:v>0.4138</c:v>
                </c:pt>
                <c:pt idx="13">
                  <c:v>0.44829999999999998</c:v>
                </c:pt>
                <c:pt idx="14">
                  <c:v>0.48280000000000001</c:v>
                </c:pt>
                <c:pt idx="15">
                  <c:v>0.51719999999999999</c:v>
                </c:pt>
                <c:pt idx="16">
                  <c:v>0.55169999999999997</c:v>
                </c:pt>
                <c:pt idx="17">
                  <c:v>0.58620000000000005</c:v>
                </c:pt>
                <c:pt idx="18">
                  <c:v>0.62070000000000003</c:v>
                </c:pt>
                <c:pt idx="19">
                  <c:v>0.6552</c:v>
                </c:pt>
                <c:pt idx="20">
                  <c:v>0.68969999999999998</c:v>
                </c:pt>
                <c:pt idx="21">
                  <c:v>0.72409999999999997</c:v>
                </c:pt>
                <c:pt idx="22">
                  <c:v>0.75860000000000005</c:v>
                </c:pt>
                <c:pt idx="23">
                  <c:v>0.79310000000000003</c:v>
                </c:pt>
                <c:pt idx="24">
                  <c:v>0.8276</c:v>
                </c:pt>
                <c:pt idx="25">
                  <c:v>0.86209999999999998</c:v>
                </c:pt>
                <c:pt idx="26">
                  <c:v>0.89659999999999995</c:v>
                </c:pt>
                <c:pt idx="27">
                  <c:v>0.93100000000000005</c:v>
                </c:pt>
                <c:pt idx="28">
                  <c:v>0.96550000000000002</c:v>
                </c:pt>
                <c:pt idx="29">
                  <c:v>1</c:v>
                </c:pt>
              </c:numCache>
            </c:numRef>
          </c:xVal>
          <c:yVal>
            <c:numRef>
              <c:f>'[1L-gcat-h - Parametric Study.xlsx]Recycle - H2'!$G$2:$G$31</c:f>
              <c:numCache>
                <c:formatCode>General</c:formatCode>
                <c:ptCount val="30"/>
                <c:pt idx="0">
                  <c:v>17.829999999999998</c:v>
                </c:pt>
                <c:pt idx="1">
                  <c:v>17.850000000000001</c:v>
                </c:pt>
                <c:pt idx="2">
                  <c:v>17.86</c:v>
                </c:pt>
                <c:pt idx="3">
                  <c:v>17.87</c:v>
                </c:pt>
                <c:pt idx="4">
                  <c:v>17.88</c:v>
                </c:pt>
                <c:pt idx="5">
                  <c:v>17.899999999999999</c:v>
                </c:pt>
                <c:pt idx="6">
                  <c:v>17.91</c:v>
                </c:pt>
                <c:pt idx="7">
                  <c:v>17.920000000000002</c:v>
                </c:pt>
                <c:pt idx="8">
                  <c:v>17.940000000000001</c:v>
                </c:pt>
                <c:pt idx="9">
                  <c:v>17.96</c:v>
                </c:pt>
                <c:pt idx="10">
                  <c:v>17.97</c:v>
                </c:pt>
                <c:pt idx="11">
                  <c:v>17.989999999999998</c:v>
                </c:pt>
                <c:pt idx="12">
                  <c:v>18.010000000000002</c:v>
                </c:pt>
                <c:pt idx="13">
                  <c:v>18.03</c:v>
                </c:pt>
                <c:pt idx="14">
                  <c:v>18.05</c:v>
                </c:pt>
                <c:pt idx="15">
                  <c:v>18.07</c:v>
                </c:pt>
                <c:pt idx="16">
                  <c:v>18.100000000000001</c:v>
                </c:pt>
                <c:pt idx="17">
                  <c:v>18.12</c:v>
                </c:pt>
                <c:pt idx="18">
                  <c:v>18.149999999999999</c:v>
                </c:pt>
                <c:pt idx="19">
                  <c:v>18.18</c:v>
                </c:pt>
                <c:pt idx="20">
                  <c:v>18.21</c:v>
                </c:pt>
                <c:pt idx="21">
                  <c:v>18.239999999999998</c:v>
                </c:pt>
                <c:pt idx="22">
                  <c:v>18.28</c:v>
                </c:pt>
                <c:pt idx="23">
                  <c:v>18.32</c:v>
                </c:pt>
                <c:pt idx="24">
                  <c:v>18.37</c:v>
                </c:pt>
                <c:pt idx="25">
                  <c:v>18.41</c:v>
                </c:pt>
                <c:pt idx="26">
                  <c:v>18.47</c:v>
                </c:pt>
                <c:pt idx="27">
                  <c:v>18.53</c:v>
                </c:pt>
                <c:pt idx="28">
                  <c:v>18.59</c:v>
                </c:pt>
                <c:pt idx="29">
                  <c:v>18.670000000000002</c:v>
                </c:pt>
              </c:numCache>
            </c:numRef>
          </c:yVal>
          <c:smooth val="1"/>
          <c:extLst>
            <c:ext xmlns:c16="http://schemas.microsoft.com/office/drawing/2014/chart" uri="{C3380CC4-5D6E-409C-BE32-E72D297353CC}">
              <c16:uniqueId val="{00000004-4EF1-4848-90BE-92AE11327CFE}"/>
            </c:ext>
          </c:extLst>
        </c:ser>
        <c:dLbls>
          <c:showLegendKey val="0"/>
          <c:showVal val="0"/>
          <c:showCatName val="0"/>
          <c:showSerName val="0"/>
          <c:showPercent val="0"/>
          <c:showBubbleSize val="0"/>
        </c:dLbls>
        <c:axId val="445486431"/>
        <c:axId val="445486911"/>
        <c:extLst>
          <c:ext xmlns:c15="http://schemas.microsoft.com/office/drawing/2012/chart" uri="{02D57815-91ED-43cb-92C2-25804820EDAC}">
            <c15:filteredScatterSeries>
              <c15:ser>
                <c:idx val="0"/>
                <c:order val="0"/>
                <c:tx>
                  <c:strRef>
                    <c:extLst>
                      <c:ext uri="{02D57815-91ED-43cb-92C2-25804820EDAC}">
                        <c15:formulaRef>
                          <c15:sqref>'[1L-gcat-h - Parametric Study.xlsx]Recycle - H2'!$B$1</c15:sqref>
                        </c15:formulaRef>
                      </c:ext>
                    </c:extLst>
                    <c:strCache>
                      <c:ptCount val="1"/>
                      <c:pt idx="0">
                        <c:v>Power Density</c:v>
                      </c:pt>
                    </c:strCache>
                  </c:strRef>
                </c:tx>
                <c:spPr>
                  <a:ln w="19050" cap="rnd">
                    <a:solidFill>
                      <a:schemeClr val="accent1"/>
                    </a:solidFill>
                    <a:round/>
                  </a:ln>
                  <a:effectLst/>
                </c:spPr>
                <c:marker>
                  <c:symbol val="none"/>
                </c:marker>
                <c:xVal>
                  <c:numRef>
                    <c:extLst>
                      <c:ext uri="{02D57815-91ED-43cb-92C2-25804820EDAC}">
                        <c15:formulaRef>
                          <c15:sqref>'[1L-gcat-h - Parametric Study.xlsx]Recycle - H2'!$A$2:$A$31</c15:sqref>
                        </c15:formulaRef>
                      </c:ext>
                    </c:extLst>
                    <c:numCache>
                      <c:formatCode>General</c:formatCode>
                      <c:ptCount val="30"/>
                      <c:pt idx="0">
                        <c:v>0</c:v>
                      </c:pt>
                      <c:pt idx="1">
                        <c:v>3.4479999999999997E-2</c:v>
                      </c:pt>
                      <c:pt idx="2">
                        <c:v>6.8970000000000004E-2</c:v>
                      </c:pt>
                      <c:pt idx="3">
                        <c:v>0.10340000000000001</c:v>
                      </c:pt>
                      <c:pt idx="4">
                        <c:v>0.13789999999999999</c:v>
                      </c:pt>
                      <c:pt idx="5">
                        <c:v>0.1724</c:v>
                      </c:pt>
                      <c:pt idx="6">
                        <c:v>0.2069</c:v>
                      </c:pt>
                      <c:pt idx="7">
                        <c:v>0.2414</c:v>
                      </c:pt>
                      <c:pt idx="8">
                        <c:v>0.27589999999999998</c:v>
                      </c:pt>
                      <c:pt idx="9">
                        <c:v>0.31030000000000002</c:v>
                      </c:pt>
                      <c:pt idx="10">
                        <c:v>0.3448</c:v>
                      </c:pt>
                      <c:pt idx="11">
                        <c:v>0.37930000000000003</c:v>
                      </c:pt>
                      <c:pt idx="12">
                        <c:v>0.4138</c:v>
                      </c:pt>
                      <c:pt idx="13">
                        <c:v>0.44829999999999998</c:v>
                      </c:pt>
                      <c:pt idx="14">
                        <c:v>0.48280000000000001</c:v>
                      </c:pt>
                      <c:pt idx="15">
                        <c:v>0.51719999999999999</c:v>
                      </c:pt>
                      <c:pt idx="16">
                        <c:v>0.55169999999999997</c:v>
                      </c:pt>
                      <c:pt idx="17">
                        <c:v>0.58620000000000005</c:v>
                      </c:pt>
                      <c:pt idx="18">
                        <c:v>0.62070000000000003</c:v>
                      </c:pt>
                      <c:pt idx="19">
                        <c:v>0.6552</c:v>
                      </c:pt>
                      <c:pt idx="20">
                        <c:v>0.68969999999999998</c:v>
                      </c:pt>
                      <c:pt idx="21">
                        <c:v>0.72409999999999997</c:v>
                      </c:pt>
                      <c:pt idx="22">
                        <c:v>0.75860000000000005</c:v>
                      </c:pt>
                      <c:pt idx="23">
                        <c:v>0.79310000000000003</c:v>
                      </c:pt>
                      <c:pt idx="24">
                        <c:v>0.8276</c:v>
                      </c:pt>
                      <c:pt idx="25">
                        <c:v>0.86209999999999998</c:v>
                      </c:pt>
                      <c:pt idx="26">
                        <c:v>0.89659999999999995</c:v>
                      </c:pt>
                      <c:pt idx="27">
                        <c:v>0.93100000000000005</c:v>
                      </c:pt>
                      <c:pt idx="28">
                        <c:v>0.96550000000000002</c:v>
                      </c:pt>
                      <c:pt idx="29">
                        <c:v>1</c:v>
                      </c:pt>
                    </c:numCache>
                  </c:numRef>
                </c:xVal>
                <c:yVal>
                  <c:numRef>
                    <c:extLst>
                      <c:ext uri="{02D57815-91ED-43cb-92C2-25804820EDAC}">
                        <c15:formulaRef>
                          <c15:sqref>'[1L-gcat-h - Parametric Study.xlsx]Recycle - H2'!$B$2:$B$31</c15:sqref>
                        </c15:formulaRef>
                      </c:ext>
                    </c:extLst>
                    <c:numCache>
                      <c:formatCode>General</c:formatCode>
                      <c:ptCount val="30"/>
                      <c:pt idx="0">
                        <c:v>1.315E-2</c:v>
                      </c:pt>
                      <c:pt idx="1">
                        <c:v>1.316E-2</c:v>
                      </c:pt>
                      <c:pt idx="2">
                        <c:v>1.3169999999999999E-2</c:v>
                      </c:pt>
                      <c:pt idx="3">
                        <c:v>1.319E-2</c:v>
                      </c:pt>
                      <c:pt idx="4">
                        <c:v>1.32E-2</c:v>
                      </c:pt>
                      <c:pt idx="5">
                        <c:v>1.3220000000000001E-2</c:v>
                      </c:pt>
                      <c:pt idx="6">
                        <c:v>1.323E-2</c:v>
                      </c:pt>
                      <c:pt idx="7">
                        <c:v>1.325E-2</c:v>
                      </c:pt>
                      <c:pt idx="8">
                        <c:v>1.3270000000000001E-2</c:v>
                      </c:pt>
                      <c:pt idx="9">
                        <c:v>1.328E-2</c:v>
                      </c:pt>
                      <c:pt idx="10">
                        <c:v>1.3299999999999999E-2</c:v>
                      </c:pt>
                      <c:pt idx="11">
                        <c:v>1.332E-2</c:v>
                      </c:pt>
                      <c:pt idx="12">
                        <c:v>1.333E-2</c:v>
                      </c:pt>
                      <c:pt idx="13">
                        <c:v>1.3350000000000001E-2</c:v>
                      </c:pt>
                      <c:pt idx="14">
                        <c:v>1.337E-2</c:v>
                      </c:pt>
                      <c:pt idx="15">
                        <c:v>1.3390000000000001E-2</c:v>
                      </c:pt>
                      <c:pt idx="16">
                        <c:v>1.341E-2</c:v>
                      </c:pt>
                      <c:pt idx="17">
                        <c:v>1.3429999999999999E-2</c:v>
                      </c:pt>
                      <c:pt idx="18">
                        <c:v>1.345E-2</c:v>
                      </c:pt>
                      <c:pt idx="19">
                        <c:v>1.3469999999999999E-2</c:v>
                      </c:pt>
                      <c:pt idx="20">
                        <c:v>1.35E-2</c:v>
                      </c:pt>
                      <c:pt idx="21">
                        <c:v>1.3520000000000001E-2</c:v>
                      </c:pt>
                      <c:pt idx="22">
                        <c:v>1.354E-2</c:v>
                      </c:pt>
                      <c:pt idx="23">
                        <c:v>1.357E-2</c:v>
                      </c:pt>
                      <c:pt idx="24">
                        <c:v>1.3599999999999999E-2</c:v>
                      </c:pt>
                      <c:pt idx="25">
                        <c:v>1.362E-2</c:v>
                      </c:pt>
                      <c:pt idx="26">
                        <c:v>1.3650000000000001E-2</c:v>
                      </c:pt>
                      <c:pt idx="27">
                        <c:v>1.3679999999999999E-2</c:v>
                      </c:pt>
                      <c:pt idx="28">
                        <c:v>1.372E-2</c:v>
                      </c:pt>
                      <c:pt idx="29">
                        <c:v>1.375E-2</c:v>
                      </c:pt>
                    </c:numCache>
                  </c:numRef>
                </c:yVal>
                <c:smooth val="1"/>
                <c:extLst>
                  <c:ext xmlns:c16="http://schemas.microsoft.com/office/drawing/2014/chart" uri="{C3380CC4-5D6E-409C-BE32-E72D297353CC}">
                    <c16:uniqueId val="{00000005-4EF1-4848-90BE-92AE11327CFE}"/>
                  </c:ext>
                </c:extLst>
              </c15:ser>
            </c15:filteredScatterSeries>
          </c:ext>
        </c:extLst>
      </c:scatterChart>
      <c:valAx>
        <c:axId val="445486431"/>
        <c:scaling>
          <c:orientation val="minMax"/>
          <c:max val="1"/>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of</a:t>
                </a:r>
                <a:r>
                  <a:rPr lang="en-US" baseline="0"/>
                  <a:t> H</a:t>
                </a:r>
                <a:r>
                  <a:rPr lang="en-US" baseline="-25000"/>
                  <a:t>2</a:t>
                </a:r>
                <a:r>
                  <a:rPr lang="en-US" baseline="0"/>
                  <a:t> Recycled</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5486911"/>
        <c:crosses val="autoZero"/>
        <c:crossBetween val="midCat"/>
      </c:valAx>
      <c:valAx>
        <c:axId val="44548691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Selectivity</a:t>
                </a:r>
                <a:r>
                  <a:rPr lang="en-US" baseline="0"/>
                  <a:t> &amp; CE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5486431"/>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28043144913828"/>
          <c:y val="4.2029723476549465E-2"/>
          <c:w val="0.83140507436570432"/>
          <c:h val="0.63525634928009478"/>
        </c:manualLayout>
      </c:layout>
      <c:scatterChart>
        <c:scatterStyle val="lineMarker"/>
        <c:varyColors val="0"/>
        <c:ser>
          <c:idx val="0"/>
          <c:order val="0"/>
          <c:tx>
            <c:strRef>
              <c:f>'Morejudo 2016 - FBR vs PCEC'!$B$1</c:f>
              <c:strCache>
                <c:ptCount val="1"/>
                <c:pt idx="0">
                  <c:v>PCEC</c:v>
                </c:pt>
              </c:strCache>
            </c:strRef>
          </c:tx>
          <c:spPr>
            <a:ln w="38100" cap="rnd">
              <a:noFill/>
              <a:round/>
            </a:ln>
            <a:effectLst/>
          </c:spPr>
          <c:marker>
            <c:symbol val="circle"/>
            <c:size val="5"/>
            <c:spPr>
              <a:solidFill>
                <a:schemeClr val="accent1"/>
              </a:solidFill>
              <a:ln w="9525">
                <a:solidFill>
                  <a:schemeClr val="accent1"/>
                </a:solidFill>
              </a:ln>
              <a:effectLst/>
            </c:spPr>
          </c:marker>
          <c:dPt>
            <c:idx val="13"/>
            <c:marker>
              <c:symbol val="circle"/>
              <c:size val="5"/>
              <c:spPr>
                <a:solidFill>
                  <a:srgbClr val="C00000"/>
                </a:solidFill>
                <a:ln w="9525">
                  <a:solidFill>
                    <a:srgbClr val="C00000"/>
                  </a:solidFill>
                </a:ln>
                <a:effectLst/>
              </c:spPr>
            </c:marker>
            <c:bubble3D val="0"/>
            <c:extLst>
              <c:ext xmlns:c16="http://schemas.microsoft.com/office/drawing/2014/chart" uri="{C3380CC4-5D6E-409C-BE32-E72D297353CC}">
                <c16:uniqueId val="{00000000-FBF9-40E7-9137-E7A851E5D5A8}"/>
              </c:ext>
            </c:extLst>
          </c:dPt>
          <c:dPt>
            <c:idx val="19"/>
            <c:marker>
              <c:symbol val="circle"/>
              <c:size val="5"/>
              <c:spPr>
                <a:solidFill>
                  <a:srgbClr val="C00000"/>
                </a:solidFill>
                <a:ln w="9525">
                  <a:solidFill>
                    <a:srgbClr val="C00000"/>
                  </a:solidFill>
                </a:ln>
                <a:effectLst/>
              </c:spPr>
            </c:marker>
            <c:bubble3D val="0"/>
            <c:extLst>
              <c:ext xmlns:c16="http://schemas.microsoft.com/office/drawing/2014/chart" uri="{C3380CC4-5D6E-409C-BE32-E72D297353CC}">
                <c16:uniqueId val="{00000001-FBF9-40E7-9137-E7A851E5D5A8}"/>
              </c:ext>
            </c:extLst>
          </c:dPt>
          <c:dPt>
            <c:idx val="20"/>
            <c:marker>
              <c:symbol val="circle"/>
              <c:size val="5"/>
              <c:spPr>
                <a:solidFill>
                  <a:srgbClr val="C00000"/>
                </a:solidFill>
                <a:ln w="9525">
                  <a:solidFill>
                    <a:srgbClr val="C00000"/>
                  </a:solidFill>
                </a:ln>
                <a:effectLst/>
              </c:spPr>
            </c:marker>
            <c:bubble3D val="0"/>
            <c:extLst>
              <c:ext xmlns:c16="http://schemas.microsoft.com/office/drawing/2014/chart" uri="{C3380CC4-5D6E-409C-BE32-E72D297353CC}">
                <c16:uniqueId val="{00000002-FBF9-40E7-9137-E7A851E5D5A8}"/>
              </c:ext>
            </c:extLst>
          </c:dPt>
          <c:dPt>
            <c:idx val="37"/>
            <c:marker>
              <c:symbol val="circle"/>
              <c:size val="5"/>
              <c:spPr>
                <a:solidFill>
                  <a:srgbClr val="C00000"/>
                </a:solidFill>
                <a:ln w="9525">
                  <a:solidFill>
                    <a:srgbClr val="C00000"/>
                  </a:solidFill>
                </a:ln>
                <a:effectLst/>
              </c:spPr>
            </c:marker>
            <c:bubble3D val="0"/>
            <c:extLst>
              <c:ext xmlns:c16="http://schemas.microsoft.com/office/drawing/2014/chart" uri="{C3380CC4-5D6E-409C-BE32-E72D297353CC}">
                <c16:uniqueId val="{00000003-FBF9-40E7-9137-E7A851E5D5A8}"/>
              </c:ext>
            </c:extLst>
          </c:dPt>
          <c:dPt>
            <c:idx val="38"/>
            <c:marker>
              <c:symbol val="circle"/>
              <c:size val="5"/>
              <c:spPr>
                <a:solidFill>
                  <a:srgbClr val="C00000"/>
                </a:solidFill>
                <a:ln w="9525">
                  <a:solidFill>
                    <a:srgbClr val="C00000"/>
                  </a:solidFill>
                </a:ln>
                <a:effectLst/>
              </c:spPr>
            </c:marker>
            <c:bubble3D val="0"/>
            <c:extLst>
              <c:ext xmlns:c16="http://schemas.microsoft.com/office/drawing/2014/chart" uri="{C3380CC4-5D6E-409C-BE32-E72D297353CC}">
                <c16:uniqueId val="{00000004-FBF9-40E7-9137-E7A851E5D5A8}"/>
              </c:ext>
            </c:extLst>
          </c:dPt>
          <c:dPt>
            <c:idx val="54"/>
            <c:marker>
              <c:symbol val="circle"/>
              <c:size val="5"/>
              <c:spPr>
                <a:solidFill>
                  <a:srgbClr val="C00000"/>
                </a:solidFill>
                <a:ln w="9525">
                  <a:solidFill>
                    <a:srgbClr val="C00000"/>
                  </a:solidFill>
                </a:ln>
                <a:effectLst/>
              </c:spPr>
            </c:marker>
            <c:bubble3D val="0"/>
            <c:extLst>
              <c:ext xmlns:c16="http://schemas.microsoft.com/office/drawing/2014/chart" uri="{C3380CC4-5D6E-409C-BE32-E72D297353CC}">
                <c16:uniqueId val="{00000005-FBF9-40E7-9137-E7A851E5D5A8}"/>
              </c:ext>
            </c:extLst>
          </c:dPt>
          <c:dPt>
            <c:idx val="55"/>
            <c:marker>
              <c:symbol val="circle"/>
              <c:size val="5"/>
              <c:spPr>
                <a:solidFill>
                  <a:srgbClr val="C00000"/>
                </a:solidFill>
                <a:ln w="9525">
                  <a:solidFill>
                    <a:srgbClr val="C00000"/>
                  </a:solidFill>
                </a:ln>
                <a:effectLst/>
              </c:spPr>
            </c:marker>
            <c:bubble3D val="0"/>
            <c:extLst>
              <c:ext xmlns:c16="http://schemas.microsoft.com/office/drawing/2014/chart" uri="{C3380CC4-5D6E-409C-BE32-E72D297353CC}">
                <c16:uniqueId val="{00000006-FBF9-40E7-9137-E7A851E5D5A8}"/>
              </c:ext>
            </c:extLst>
          </c:dPt>
          <c:xVal>
            <c:numRef>
              <c:f>'Morejudo 2016 - FBR vs PCEC'!$A$2:$A$73</c:f>
              <c:numCache>
                <c:formatCode>General</c:formatCode>
                <c:ptCount val="72"/>
                <c:pt idx="0">
                  <c:v>0.33869602032176099</c:v>
                </c:pt>
                <c:pt idx="1">
                  <c:v>0.97375105842506304</c:v>
                </c:pt>
                <c:pt idx="2">
                  <c:v>1.6934801016087999</c:v>
                </c:pt>
                <c:pt idx="3">
                  <c:v>2.5825571549534199</c:v>
                </c:pt>
                <c:pt idx="4">
                  <c:v>3.25994919559695</c:v>
                </c:pt>
                <c:pt idx="5">
                  <c:v>4.65707027942421</c:v>
                </c:pt>
                <c:pt idx="6">
                  <c:v>3.9373412362404698</c:v>
                </c:pt>
                <c:pt idx="7">
                  <c:v>5.4191363251481697</c:v>
                </c:pt>
                <c:pt idx="8">
                  <c:v>6.0965283657917002</c:v>
                </c:pt>
                <c:pt idx="9">
                  <c:v>6.7739204064352201</c:v>
                </c:pt>
                <c:pt idx="10">
                  <c:v>7.5783234546994001</c:v>
                </c:pt>
                <c:pt idx="11">
                  <c:v>8.3403895004233704</c:v>
                </c:pt>
                <c:pt idx="12">
                  <c:v>9.1871295512277698</c:v>
                </c:pt>
                <c:pt idx="13">
                  <c:v>9.6951735817104101</c:v>
                </c:pt>
                <c:pt idx="14">
                  <c:v>10.4572396274343</c:v>
                </c:pt>
                <c:pt idx="15">
                  <c:v>11.219305673158299</c:v>
                </c:pt>
                <c:pt idx="16">
                  <c:v>11.854360711261601</c:v>
                </c:pt>
                <c:pt idx="17">
                  <c:v>12.701100762066</c:v>
                </c:pt>
                <c:pt idx="18">
                  <c:v>13.336155800169299</c:v>
                </c:pt>
                <c:pt idx="19">
                  <c:v>14.0135478408128</c:v>
                </c:pt>
                <c:pt idx="20">
                  <c:v>14.860287891617199</c:v>
                </c:pt>
                <c:pt idx="21">
                  <c:v>15.410668924640101</c:v>
                </c:pt>
                <c:pt idx="22">
                  <c:v>16.257408975444498</c:v>
                </c:pt>
                <c:pt idx="23">
                  <c:v>16.892464013547801</c:v>
                </c:pt>
                <c:pt idx="24">
                  <c:v>17.739204064352201</c:v>
                </c:pt>
                <c:pt idx="25">
                  <c:v>18.501270110076199</c:v>
                </c:pt>
                <c:pt idx="26">
                  <c:v>19.178662150719699</c:v>
                </c:pt>
                <c:pt idx="27">
                  <c:v>19.771380186282801</c:v>
                </c:pt>
                <c:pt idx="28">
                  <c:v>20.702794242167599</c:v>
                </c:pt>
                <c:pt idx="29">
                  <c:v>21.337849280270898</c:v>
                </c:pt>
                <c:pt idx="30">
                  <c:v>22.015241320914399</c:v>
                </c:pt>
                <c:pt idx="31">
                  <c:v>22.946655376799299</c:v>
                </c:pt>
                <c:pt idx="32">
                  <c:v>23.751058425063501</c:v>
                </c:pt>
                <c:pt idx="33">
                  <c:v>25.148179508890699</c:v>
                </c:pt>
                <c:pt idx="34">
                  <c:v>24.386113463166801</c:v>
                </c:pt>
                <c:pt idx="35">
                  <c:v>25.783234546993999</c:v>
                </c:pt>
                <c:pt idx="36">
                  <c:v>26.460626587637499</c:v>
                </c:pt>
                <c:pt idx="37">
                  <c:v>27.011007620660401</c:v>
                </c:pt>
                <c:pt idx="38">
                  <c:v>27.815410668924599</c:v>
                </c:pt>
                <c:pt idx="39">
                  <c:v>28.4928027095681</c:v>
                </c:pt>
                <c:pt idx="40">
                  <c:v>29.339542760372499</c:v>
                </c:pt>
                <c:pt idx="41">
                  <c:v>29.974597798475799</c:v>
                </c:pt>
                <c:pt idx="42">
                  <c:v>30.482641828958499</c:v>
                </c:pt>
                <c:pt idx="43">
                  <c:v>31.371718882303099</c:v>
                </c:pt>
                <c:pt idx="44">
                  <c:v>32.218458933107499</c:v>
                </c:pt>
                <c:pt idx="45">
                  <c:v>32.938187976291204</c:v>
                </c:pt>
                <c:pt idx="46">
                  <c:v>33.6155800169348</c:v>
                </c:pt>
                <c:pt idx="47">
                  <c:v>34.419983065198899</c:v>
                </c:pt>
                <c:pt idx="48">
                  <c:v>35.436071126164201</c:v>
                </c:pt>
                <c:pt idx="49">
                  <c:v>36.367485182049101</c:v>
                </c:pt>
                <c:pt idx="50">
                  <c:v>37.129551227773</c:v>
                </c:pt>
                <c:pt idx="51">
                  <c:v>37.976291278577399</c:v>
                </c:pt>
                <c:pt idx="52">
                  <c:v>38.569009314140501</c:v>
                </c:pt>
                <c:pt idx="53">
                  <c:v>39.585097375105804</c:v>
                </c:pt>
                <c:pt idx="54">
                  <c:v>40.050804403048197</c:v>
                </c:pt>
                <c:pt idx="55">
                  <c:v>40.855207451312403</c:v>
                </c:pt>
                <c:pt idx="56">
                  <c:v>41.5749364944961</c:v>
                </c:pt>
                <c:pt idx="57">
                  <c:v>42.548687552921201</c:v>
                </c:pt>
                <c:pt idx="58">
                  <c:v>43.480101608806002</c:v>
                </c:pt>
                <c:pt idx="59">
                  <c:v>45.215918712955101</c:v>
                </c:pt>
                <c:pt idx="60">
                  <c:v>44.369178662150702</c:v>
                </c:pt>
              </c:numCache>
            </c:numRef>
          </c:xVal>
          <c:yVal>
            <c:numRef>
              <c:f>'Morejudo 2016 - FBR vs PCEC'!$B$2:$B$73</c:f>
              <c:numCache>
                <c:formatCode>General</c:formatCode>
                <c:ptCount val="72"/>
                <c:pt idx="0">
                  <c:v>6.48797250859106</c:v>
                </c:pt>
                <c:pt idx="1">
                  <c:v>8.6872852233676898</c:v>
                </c:pt>
                <c:pt idx="2">
                  <c:v>9.5532646048109893</c:v>
                </c:pt>
                <c:pt idx="3">
                  <c:v>9.3745704467353903</c:v>
                </c:pt>
                <c:pt idx="4">
                  <c:v>9.8006872852233595</c:v>
                </c:pt>
                <c:pt idx="5">
                  <c:v>9.7044673539518893</c:v>
                </c:pt>
                <c:pt idx="6">
                  <c:v>9.8969072164948404</c:v>
                </c:pt>
                <c:pt idx="7">
                  <c:v>10.597938144329801</c:v>
                </c:pt>
                <c:pt idx="8">
                  <c:v>11.0378006872852</c:v>
                </c:pt>
                <c:pt idx="9">
                  <c:v>11.2439862542955</c:v>
                </c:pt>
                <c:pt idx="10">
                  <c:v>10.982817869415801</c:v>
                </c:pt>
                <c:pt idx="11">
                  <c:v>11.1752577319587</c:v>
                </c:pt>
                <c:pt idx="12">
                  <c:v>11.1890034364261</c:v>
                </c:pt>
                <c:pt idx="13">
                  <c:v>9.9381443298969003</c:v>
                </c:pt>
                <c:pt idx="14">
                  <c:v>11.642611683848701</c:v>
                </c:pt>
                <c:pt idx="15">
                  <c:v>11.6975945017182</c:v>
                </c:pt>
                <c:pt idx="16">
                  <c:v>10.914089347079001</c:v>
                </c:pt>
                <c:pt idx="17">
                  <c:v>11.1202749140893</c:v>
                </c:pt>
                <c:pt idx="18">
                  <c:v>11.2302405498281</c:v>
                </c:pt>
                <c:pt idx="19">
                  <c:v>9.4982817869415808</c:v>
                </c:pt>
                <c:pt idx="20">
                  <c:v>9.5395189003436407</c:v>
                </c:pt>
                <c:pt idx="21">
                  <c:v>10.762886597938101</c:v>
                </c:pt>
                <c:pt idx="22">
                  <c:v>10.7353951890034</c:v>
                </c:pt>
                <c:pt idx="23">
                  <c:v>10.7903780068728</c:v>
                </c:pt>
                <c:pt idx="24">
                  <c:v>10.8178694158075</c:v>
                </c:pt>
                <c:pt idx="25">
                  <c:v>10.762886597938101</c:v>
                </c:pt>
                <c:pt idx="26">
                  <c:v>10.556701030927799</c:v>
                </c:pt>
                <c:pt idx="27">
                  <c:v>10.707903780068699</c:v>
                </c:pt>
                <c:pt idx="28">
                  <c:v>10.762886597938101</c:v>
                </c:pt>
                <c:pt idx="29">
                  <c:v>10.914089347079001</c:v>
                </c:pt>
                <c:pt idx="30">
                  <c:v>10.556701030927799</c:v>
                </c:pt>
                <c:pt idx="31">
                  <c:v>10.556701030927799</c:v>
                </c:pt>
                <c:pt idx="32">
                  <c:v>10.5704467353951</c:v>
                </c:pt>
                <c:pt idx="33">
                  <c:v>10.5704467353951</c:v>
                </c:pt>
                <c:pt idx="34">
                  <c:v>10.3505154639175</c:v>
                </c:pt>
                <c:pt idx="35">
                  <c:v>10.3642611683848</c:v>
                </c:pt>
                <c:pt idx="36">
                  <c:v>10.3780068728522</c:v>
                </c:pt>
                <c:pt idx="37">
                  <c:v>9.1821305841924392</c:v>
                </c:pt>
                <c:pt idx="38">
                  <c:v>9.0996563573883105</c:v>
                </c:pt>
                <c:pt idx="39">
                  <c:v>10.6529209621993</c:v>
                </c:pt>
                <c:pt idx="40">
                  <c:v>10.4192439862542</c:v>
                </c:pt>
                <c:pt idx="41">
                  <c:v>10.680412371134</c:v>
                </c:pt>
                <c:pt idx="42">
                  <c:v>10.5704467353951</c:v>
                </c:pt>
                <c:pt idx="43">
                  <c:v>10.33</c:v>
                </c:pt>
                <c:pt idx="44">
                  <c:v>10.4329896907216</c:v>
                </c:pt>
                <c:pt idx="45">
                  <c:v>10.2955326460481</c:v>
                </c:pt>
                <c:pt idx="46">
                  <c:v>10.1305841924398</c:v>
                </c:pt>
                <c:pt idx="47">
                  <c:v>10.103092783505099</c:v>
                </c:pt>
                <c:pt idx="48">
                  <c:v>10.103092783505099</c:v>
                </c:pt>
                <c:pt idx="49">
                  <c:v>10.309278350515401</c:v>
                </c:pt>
                <c:pt idx="50">
                  <c:v>10.061855670103</c:v>
                </c:pt>
                <c:pt idx="51">
                  <c:v>10.034364261168299</c:v>
                </c:pt>
                <c:pt idx="52">
                  <c:v>10.034364261168299</c:v>
                </c:pt>
                <c:pt idx="53">
                  <c:v>10.061855670103</c:v>
                </c:pt>
                <c:pt idx="54">
                  <c:v>8.6185567010309203</c:v>
                </c:pt>
                <c:pt idx="55">
                  <c:v>8.5498281786941508</c:v>
                </c:pt>
                <c:pt idx="56">
                  <c:v>9.8006872852233595</c:v>
                </c:pt>
                <c:pt idx="57">
                  <c:v>9.6494845360824701</c:v>
                </c:pt>
                <c:pt idx="58">
                  <c:v>9.5945017182130492</c:v>
                </c:pt>
                <c:pt idx="59">
                  <c:v>9.2508591065291998</c:v>
                </c:pt>
                <c:pt idx="60">
                  <c:v>9.4982817869415808</c:v>
                </c:pt>
              </c:numCache>
            </c:numRef>
          </c:yVal>
          <c:smooth val="0"/>
          <c:extLst>
            <c:ext xmlns:c16="http://schemas.microsoft.com/office/drawing/2014/chart" uri="{C3380CC4-5D6E-409C-BE32-E72D297353CC}">
              <c16:uniqueId val="{00000007-FBF9-40E7-9137-E7A851E5D5A8}"/>
            </c:ext>
          </c:extLst>
        </c:ser>
        <c:ser>
          <c:idx val="2"/>
          <c:order val="1"/>
          <c:tx>
            <c:v>PCEC: No H2 Extraction</c:v>
          </c:tx>
          <c:spPr>
            <a:ln w="25400" cap="rnd">
              <a:noFill/>
              <a:round/>
            </a:ln>
            <a:effectLst/>
          </c:spPr>
          <c:marker>
            <c:symbol val="circle"/>
            <c:size val="5"/>
            <c:spPr>
              <a:solidFill>
                <a:srgbClr val="C00000"/>
              </a:solidFill>
              <a:ln w="9525">
                <a:solidFill>
                  <a:srgbClr val="C00000"/>
                </a:solidFill>
              </a:ln>
              <a:effectLst/>
            </c:spPr>
          </c:marker>
          <c:xVal>
            <c:numLit>
              <c:formatCode>General</c:formatCode>
              <c:ptCount val="1"/>
              <c:pt idx="0">
                <c:v>0</c:v>
              </c:pt>
            </c:numLit>
          </c:xVal>
          <c:yVal>
            <c:numLit>
              <c:formatCode>General</c:formatCode>
              <c:ptCount val="1"/>
              <c:pt idx="0">
                <c:v>0</c:v>
              </c:pt>
            </c:numLit>
          </c:yVal>
          <c:smooth val="0"/>
          <c:extLst>
            <c:ext xmlns:c16="http://schemas.microsoft.com/office/drawing/2014/chart" uri="{C3380CC4-5D6E-409C-BE32-E72D297353CC}">
              <c16:uniqueId val="{00000008-FBF9-40E7-9137-E7A851E5D5A8}"/>
            </c:ext>
          </c:extLst>
        </c:ser>
        <c:ser>
          <c:idx val="1"/>
          <c:order val="2"/>
          <c:tx>
            <c:strRef>
              <c:f>'Morejudo 2016 - FBR vs PCEC'!$D$1</c:f>
              <c:strCache>
                <c:ptCount val="1"/>
                <c:pt idx="0">
                  <c:v>Fixed-bed Reactor</c:v>
                </c:pt>
              </c:strCache>
            </c:strRef>
          </c:tx>
          <c:spPr>
            <a:ln w="38100" cap="rnd">
              <a:noFill/>
              <a:round/>
            </a:ln>
            <a:effectLst/>
          </c:spPr>
          <c:marker>
            <c:symbol val="circle"/>
            <c:size val="5"/>
            <c:spPr>
              <a:solidFill>
                <a:schemeClr val="accent2"/>
              </a:solidFill>
              <a:ln w="9525">
                <a:solidFill>
                  <a:schemeClr val="accent2"/>
                </a:solidFill>
              </a:ln>
              <a:effectLst/>
            </c:spPr>
          </c:marker>
          <c:xVal>
            <c:numRef>
              <c:f>'Morejudo 2016 - FBR vs PCEC'!$C$2:$C$73</c:f>
              <c:numCache>
                <c:formatCode>General</c:formatCode>
                <c:ptCount val="72"/>
                <c:pt idx="0">
                  <c:v>7.45131244707874</c:v>
                </c:pt>
                <c:pt idx="1">
                  <c:v>8.8060965283657904</c:v>
                </c:pt>
                <c:pt idx="2">
                  <c:v>9.7798475867908508</c:v>
                </c:pt>
                <c:pt idx="3">
                  <c:v>9.7798475867908508</c:v>
                </c:pt>
                <c:pt idx="4">
                  <c:v>10.795935647756099</c:v>
                </c:pt>
                <c:pt idx="5">
                  <c:v>6.5198983911938999</c:v>
                </c:pt>
                <c:pt idx="6">
                  <c:v>5.8001693480101597</c:v>
                </c:pt>
                <c:pt idx="7">
                  <c:v>4.7417442845046498</c:v>
                </c:pt>
                <c:pt idx="8">
                  <c:v>3.2176121930567301</c:v>
                </c:pt>
                <c:pt idx="9">
                  <c:v>2.37087214225232</c:v>
                </c:pt>
                <c:pt idx="10">
                  <c:v>1.5241320914479199</c:v>
                </c:pt>
                <c:pt idx="11">
                  <c:v>0.93141405588484305</c:v>
                </c:pt>
                <c:pt idx="12">
                  <c:v>11.8966977138018</c:v>
                </c:pt>
                <c:pt idx="13">
                  <c:v>12.531752751905101</c:v>
                </c:pt>
                <c:pt idx="14">
                  <c:v>13.209144792548599</c:v>
                </c:pt>
                <c:pt idx="15">
                  <c:v>14.182895850973701</c:v>
                </c:pt>
                <c:pt idx="16">
                  <c:v>14.860287891617199</c:v>
                </c:pt>
                <c:pt idx="17">
                  <c:v>15.5376799322607</c:v>
                </c:pt>
                <c:pt idx="18">
                  <c:v>16.257408975444498</c:v>
                </c:pt>
                <c:pt idx="19">
                  <c:v>16.892464013547801</c:v>
                </c:pt>
                <c:pt idx="20">
                  <c:v>17.569856054191298</c:v>
                </c:pt>
                <c:pt idx="21">
                  <c:v>18.416596104995701</c:v>
                </c:pt>
                <c:pt idx="22">
                  <c:v>19.178662150719699</c:v>
                </c:pt>
                <c:pt idx="23">
                  <c:v>19.940728196443601</c:v>
                </c:pt>
                <c:pt idx="24">
                  <c:v>19.940728196443601</c:v>
                </c:pt>
                <c:pt idx="25">
                  <c:v>20.618120237087201</c:v>
                </c:pt>
                <c:pt idx="26">
                  <c:v>21.0414902624894</c:v>
                </c:pt>
                <c:pt idx="27">
                  <c:v>21.549534292972002</c:v>
                </c:pt>
                <c:pt idx="28">
                  <c:v>22.396274343776401</c:v>
                </c:pt>
                <c:pt idx="29">
                  <c:v>23.073666384419901</c:v>
                </c:pt>
                <c:pt idx="30">
                  <c:v>23.751058425063501</c:v>
                </c:pt>
                <c:pt idx="31">
                  <c:v>24.470787468247199</c:v>
                </c:pt>
                <c:pt idx="32">
                  <c:v>25.1905165114309</c:v>
                </c:pt>
                <c:pt idx="33">
                  <c:v>25.698560541913601</c:v>
                </c:pt>
                <c:pt idx="34">
                  <c:v>26.375952582557101</c:v>
                </c:pt>
                <c:pt idx="35">
                  <c:v>27.2226926333615</c:v>
                </c:pt>
                <c:pt idx="36">
                  <c:v>28.111769686706101</c:v>
                </c:pt>
                <c:pt idx="37">
                  <c:v>28.662150719728999</c:v>
                </c:pt>
                <c:pt idx="38">
                  <c:v>29.297205757832302</c:v>
                </c:pt>
                <c:pt idx="39">
                  <c:v>30.651989839119299</c:v>
                </c:pt>
                <c:pt idx="40">
                  <c:v>31.117696867061799</c:v>
                </c:pt>
                <c:pt idx="41">
                  <c:v>31.964436917866198</c:v>
                </c:pt>
                <c:pt idx="42">
                  <c:v>33.488569009314098</c:v>
                </c:pt>
                <c:pt idx="43">
                  <c:v>32.7688399661304</c:v>
                </c:pt>
                <c:pt idx="44">
                  <c:v>34.123624047417401</c:v>
                </c:pt>
                <c:pt idx="45">
                  <c:v>35.097375105842502</c:v>
                </c:pt>
                <c:pt idx="46">
                  <c:v>35.605419136325096</c:v>
                </c:pt>
                <c:pt idx="47">
                  <c:v>36.875529212531703</c:v>
                </c:pt>
                <c:pt idx="48">
                  <c:v>36.325148179508801</c:v>
                </c:pt>
                <c:pt idx="49">
                  <c:v>37.510584250634999</c:v>
                </c:pt>
                <c:pt idx="50">
                  <c:v>37.806943268416497</c:v>
                </c:pt>
                <c:pt idx="51">
                  <c:v>39.034716342082902</c:v>
                </c:pt>
                <c:pt idx="52">
                  <c:v>38.569009314140501</c:v>
                </c:pt>
                <c:pt idx="53">
                  <c:v>39.881456392887301</c:v>
                </c:pt>
                <c:pt idx="54">
                  <c:v>40.897544453852603</c:v>
                </c:pt>
                <c:pt idx="55">
                  <c:v>41.744284504657003</c:v>
                </c:pt>
                <c:pt idx="56">
                  <c:v>42.718035563082097</c:v>
                </c:pt>
                <c:pt idx="57">
                  <c:v>43.7764606265876</c:v>
                </c:pt>
                <c:pt idx="58">
                  <c:v>44.792548687552902</c:v>
                </c:pt>
                <c:pt idx="59">
                  <c:v>46.0203217612193</c:v>
                </c:pt>
                <c:pt idx="60">
                  <c:v>47.121083827264997</c:v>
                </c:pt>
                <c:pt idx="61">
                  <c:v>48.052497883149798</c:v>
                </c:pt>
                <c:pt idx="62">
                  <c:v>49.661303979678202</c:v>
                </c:pt>
                <c:pt idx="63">
                  <c:v>50</c:v>
                </c:pt>
                <c:pt idx="64">
                  <c:v>48.941574936494497</c:v>
                </c:pt>
                <c:pt idx="65">
                  <c:v>48.941574936494497</c:v>
                </c:pt>
                <c:pt idx="66">
                  <c:v>0.21168501270109999</c:v>
                </c:pt>
                <c:pt idx="67">
                  <c:v>11.430990685859401</c:v>
                </c:pt>
                <c:pt idx="68">
                  <c:v>8.1710414902624802</c:v>
                </c:pt>
                <c:pt idx="69">
                  <c:v>9.3564775613886493</c:v>
                </c:pt>
                <c:pt idx="70">
                  <c:v>10.2455546147332</c:v>
                </c:pt>
                <c:pt idx="71">
                  <c:v>29.974597798475799</c:v>
                </c:pt>
              </c:numCache>
            </c:numRef>
          </c:xVal>
          <c:yVal>
            <c:numRef>
              <c:f>'Morejudo 2016 - FBR vs PCEC'!$D$2:$D$73</c:f>
              <c:numCache>
                <c:formatCode>General</c:formatCode>
                <c:ptCount val="72"/>
                <c:pt idx="0">
                  <c:v>9.16838487972508</c:v>
                </c:pt>
                <c:pt idx="1">
                  <c:v>8.9484536082474193</c:v>
                </c:pt>
                <c:pt idx="2">
                  <c:v>8.6872852233676898</c:v>
                </c:pt>
                <c:pt idx="3">
                  <c:v>8.6872852233676898</c:v>
                </c:pt>
                <c:pt idx="4">
                  <c:v>8.4673539518900292</c:v>
                </c:pt>
                <c:pt idx="5">
                  <c:v>9.4020618556700999</c:v>
                </c:pt>
                <c:pt idx="6">
                  <c:v>9.5807560137457006</c:v>
                </c:pt>
                <c:pt idx="7">
                  <c:v>9.6494845360824701</c:v>
                </c:pt>
                <c:pt idx="8">
                  <c:v>9.7594501718212996</c:v>
                </c:pt>
                <c:pt idx="9">
                  <c:v>9.8281786941580709</c:v>
                </c:pt>
                <c:pt idx="10">
                  <c:v>9.6357388316151198</c:v>
                </c:pt>
                <c:pt idx="11">
                  <c:v>8.9621993127147697</c:v>
                </c:pt>
                <c:pt idx="12">
                  <c:v>8.1924398625429493</c:v>
                </c:pt>
                <c:pt idx="13">
                  <c:v>8</c:v>
                </c:pt>
                <c:pt idx="14">
                  <c:v>7.6838487972508496</c:v>
                </c:pt>
                <c:pt idx="15">
                  <c:v>7.6426116838487896</c:v>
                </c:pt>
                <c:pt idx="16">
                  <c:v>7.4089347079037697</c:v>
                </c:pt>
                <c:pt idx="17">
                  <c:v>7.2852233676975899</c:v>
                </c:pt>
                <c:pt idx="18">
                  <c:v>7.1065292096219901</c:v>
                </c:pt>
                <c:pt idx="19">
                  <c:v>6.9553264604810998</c:v>
                </c:pt>
                <c:pt idx="20">
                  <c:v>6.7903780068728503</c:v>
                </c:pt>
                <c:pt idx="21">
                  <c:v>6.5704467353951799</c:v>
                </c:pt>
                <c:pt idx="22">
                  <c:v>6.39175257731958</c:v>
                </c:pt>
                <c:pt idx="23">
                  <c:v>6.3230240549828096</c:v>
                </c:pt>
                <c:pt idx="24">
                  <c:v>6.1718213058419202</c:v>
                </c:pt>
                <c:pt idx="25">
                  <c:v>6.0618556701030899</c:v>
                </c:pt>
                <c:pt idx="26">
                  <c:v>5.88316151202749</c:v>
                </c:pt>
                <c:pt idx="27">
                  <c:v>5.82817869415807</c:v>
                </c:pt>
                <c:pt idx="28">
                  <c:v>5.6907216494845301</c:v>
                </c:pt>
                <c:pt idx="29">
                  <c:v>5.5670103092783503</c:v>
                </c:pt>
                <c:pt idx="30">
                  <c:v>5.4020618556700999</c:v>
                </c:pt>
                <c:pt idx="31">
                  <c:v>5.1821305841924401</c:v>
                </c:pt>
                <c:pt idx="32">
                  <c:v>5.0721649484536</c:v>
                </c:pt>
                <c:pt idx="33">
                  <c:v>4.9209621993127097</c:v>
                </c:pt>
                <c:pt idx="34">
                  <c:v>4.7010309278350499</c:v>
                </c:pt>
                <c:pt idx="35">
                  <c:v>4.6185567010309203</c:v>
                </c:pt>
                <c:pt idx="36">
                  <c:v>4.50859106529209</c:v>
                </c:pt>
                <c:pt idx="37">
                  <c:v>4.3711340206185501</c:v>
                </c:pt>
                <c:pt idx="38">
                  <c:v>4.2611683848797197</c:v>
                </c:pt>
                <c:pt idx="39">
                  <c:v>4.0137457044673504</c:v>
                </c:pt>
                <c:pt idx="40">
                  <c:v>3.8213058419243899</c:v>
                </c:pt>
                <c:pt idx="41">
                  <c:v>3.6426116838487901</c:v>
                </c:pt>
                <c:pt idx="42">
                  <c:v>3.5051546391752502</c:v>
                </c:pt>
                <c:pt idx="43">
                  <c:v>3.5051546391752502</c:v>
                </c:pt>
                <c:pt idx="44">
                  <c:v>3.4364261168384802</c:v>
                </c:pt>
                <c:pt idx="45">
                  <c:v>3.3814432989690699</c:v>
                </c:pt>
                <c:pt idx="46">
                  <c:v>3.24398625429553</c:v>
                </c:pt>
                <c:pt idx="47">
                  <c:v>3.05154639175257</c:v>
                </c:pt>
                <c:pt idx="48">
                  <c:v>3.12027491408934</c:v>
                </c:pt>
                <c:pt idx="49">
                  <c:v>2.8591065292096198</c:v>
                </c:pt>
                <c:pt idx="50">
                  <c:v>2.8865979381443299</c:v>
                </c:pt>
                <c:pt idx="51">
                  <c:v>2.7628865979381398</c:v>
                </c:pt>
                <c:pt idx="52">
                  <c:v>2.9003436426116802</c:v>
                </c:pt>
                <c:pt idx="53">
                  <c:v>2.5979381443298899</c:v>
                </c:pt>
                <c:pt idx="54">
                  <c:v>2.51546391752577</c:v>
                </c:pt>
                <c:pt idx="55">
                  <c:v>2.4054982817869401</c:v>
                </c:pt>
                <c:pt idx="56">
                  <c:v>2.1993127147766298</c:v>
                </c:pt>
                <c:pt idx="57">
                  <c:v>2.1855670103092701</c:v>
                </c:pt>
                <c:pt idx="58">
                  <c:v>2.0068728522336698</c:v>
                </c:pt>
                <c:pt idx="59">
                  <c:v>1.92439862542955</c:v>
                </c:pt>
                <c:pt idx="60">
                  <c:v>1.8144329896907201</c:v>
                </c:pt>
                <c:pt idx="61">
                  <c:v>1.70446735395189</c:v>
                </c:pt>
                <c:pt idx="62">
                  <c:v>1.5945017182130501</c:v>
                </c:pt>
                <c:pt idx="63">
                  <c:v>1.5945017182130501</c:v>
                </c:pt>
                <c:pt idx="64">
                  <c:v>1.6769759450171799</c:v>
                </c:pt>
                <c:pt idx="65">
                  <c:v>1.6769759450171799</c:v>
                </c:pt>
                <c:pt idx="66">
                  <c:v>5.73195876288659</c:v>
                </c:pt>
                <c:pt idx="67">
                  <c:v>8.3436426116838494</c:v>
                </c:pt>
                <c:pt idx="68">
                  <c:v>9.0584192439862505</c:v>
                </c:pt>
                <c:pt idx="69">
                  <c:v>8.8522336769759402</c:v>
                </c:pt>
                <c:pt idx="70">
                  <c:v>8.5910652920962196</c:v>
                </c:pt>
                <c:pt idx="71">
                  <c:v>4.1374570446735301</c:v>
                </c:pt>
              </c:numCache>
            </c:numRef>
          </c:yVal>
          <c:smooth val="0"/>
          <c:extLst>
            <c:ext xmlns:c16="http://schemas.microsoft.com/office/drawing/2014/chart" uri="{C3380CC4-5D6E-409C-BE32-E72D297353CC}">
              <c16:uniqueId val="{00000009-FBF9-40E7-9137-E7A851E5D5A8}"/>
            </c:ext>
          </c:extLst>
        </c:ser>
        <c:dLbls>
          <c:showLegendKey val="0"/>
          <c:showVal val="0"/>
          <c:showCatName val="0"/>
          <c:showSerName val="0"/>
          <c:showPercent val="0"/>
          <c:showBubbleSize val="0"/>
        </c:dLbls>
        <c:axId val="323475104"/>
        <c:axId val="333722048"/>
      </c:scatterChart>
      <c:valAx>
        <c:axId val="323475104"/>
        <c:scaling>
          <c:orientation val="minMax"/>
          <c:max val="5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on Stream (h)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3722048"/>
        <c:crosses val="autoZero"/>
        <c:crossBetween val="midCat"/>
      </c:valAx>
      <c:valAx>
        <c:axId val="333722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Aromatics Yield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475104"/>
        <c:crosses val="autoZero"/>
        <c:crossBetween val="midCat"/>
      </c:valAx>
      <c:spPr>
        <a:noFill/>
        <a:ln>
          <a:noFill/>
        </a:ln>
        <a:effectLst/>
      </c:spPr>
    </c:plotArea>
    <c:legend>
      <c:legendPos val="b"/>
      <c:layout>
        <c:manualLayout>
          <c:xMode val="edge"/>
          <c:yMode val="edge"/>
          <c:x val="0.20454943132108483"/>
          <c:y val="0.87473352146449879"/>
          <c:w val="0.62772751701216001"/>
          <c:h val="9.728074921043397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a:t>
            </a:r>
          </a:p>
        </c:rich>
      </c:tx>
      <c:layout>
        <c:manualLayout>
          <c:xMode val="edge"/>
          <c:yMode val="edge"/>
          <c:x val="5.55555555555524E-4"/>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4244282217759217"/>
          <c:y val="7.0131658247137282E-2"/>
          <c:w val="0.71739348206474196"/>
          <c:h val="0.73226778513295676"/>
        </c:manualLayout>
      </c:layout>
      <c:scatterChart>
        <c:scatterStyle val="smoothMarker"/>
        <c:varyColors val="0"/>
        <c:ser>
          <c:idx val="0"/>
          <c:order val="0"/>
          <c:tx>
            <c:strRef>
              <c:f>'[1L-gcat-h - Parametric Study.xlsx]Recycle - C2H4'!$B$1</c:f>
              <c:strCache>
                <c:ptCount val="1"/>
                <c:pt idx="0">
                  <c:v>CE</c:v>
                </c:pt>
              </c:strCache>
            </c:strRef>
          </c:tx>
          <c:spPr>
            <a:ln w="19050" cap="rnd">
              <a:solidFill>
                <a:schemeClr val="tx1"/>
              </a:solidFill>
              <a:prstDash val="sysDash"/>
              <a:round/>
            </a:ln>
            <a:effectLst/>
          </c:spPr>
          <c:marker>
            <c:symbol val="none"/>
          </c:marker>
          <c:xVal>
            <c:numRef>
              <c:f>'[1L-gcat-h - Parametric Study.xlsx]Recycle - C2H4'!$A$2:$A$37</c:f>
              <c:numCache>
                <c:formatCode>General</c:formatCode>
                <c:ptCount val="36"/>
                <c:pt idx="0">
                  <c:v>0</c:v>
                </c:pt>
                <c:pt idx="1">
                  <c:v>3.4479999999999997E-2</c:v>
                </c:pt>
                <c:pt idx="2">
                  <c:v>6.8970000000000004E-2</c:v>
                </c:pt>
                <c:pt idx="3">
                  <c:v>0.10340000000000001</c:v>
                </c:pt>
                <c:pt idx="4">
                  <c:v>0.13789999999999999</c:v>
                </c:pt>
                <c:pt idx="5">
                  <c:v>0.1724</c:v>
                </c:pt>
                <c:pt idx="6">
                  <c:v>0.2069</c:v>
                </c:pt>
                <c:pt idx="7">
                  <c:v>0.2414</c:v>
                </c:pt>
                <c:pt idx="8">
                  <c:v>0.27589999999999998</c:v>
                </c:pt>
                <c:pt idx="9">
                  <c:v>0.31030000000000002</c:v>
                </c:pt>
                <c:pt idx="10">
                  <c:v>0.3448</c:v>
                </c:pt>
                <c:pt idx="11">
                  <c:v>0.37930000000000003</c:v>
                </c:pt>
                <c:pt idx="12">
                  <c:v>0.4138</c:v>
                </c:pt>
                <c:pt idx="13">
                  <c:v>0.44829999999999998</c:v>
                </c:pt>
                <c:pt idx="14">
                  <c:v>0.48280000000000001</c:v>
                </c:pt>
                <c:pt idx="15">
                  <c:v>0.51719999999999999</c:v>
                </c:pt>
                <c:pt idx="16">
                  <c:v>0.55169999999999997</c:v>
                </c:pt>
                <c:pt idx="17">
                  <c:v>0.58620000000000005</c:v>
                </c:pt>
                <c:pt idx="18">
                  <c:v>0.62070000000000003</c:v>
                </c:pt>
                <c:pt idx="19">
                  <c:v>0.6552</c:v>
                </c:pt>
                <c:pt idx="20">
                  <c:v>0.68969999999999998</c:v>
                </c:pt>
                <c:pt idx="21">
                  <c:v>0.72409999999999997</c:v>
                </c:pt>
                <c:pt idx="22">
                  <c:v>0.75860000000000005</c:v>
                </c:pt>
                <c:pt idx="23">
                  <c:v>0.79310000000000003</c:v>
                </c:pt>
                <c:pt idx="24">
                  <c:v>0.8276</c:v>
                </c:pt>
                <c:pt idx="25">
                  <c:v>0.86209999999999998</c:v>
                </c:pt>
                <c:pt idx="26">
                  <c:v>0.89659999999999995</c:v>
                </c:pt>
                <c:pt idx="27">
                  <c:v>0.93100000000000005</c:v>
                </c:pt>
                <c:pt idx="28">
                  <c:v>0.96550000000000002</c:v>
                </c:pt>
                <c:pt idx="29">
                  <c:v>1</c:v>
                </c:pt>
              </c:numCache>
            </c:numRef>
          </c:xVal>
          <c:yVal>
            <c:numRef>
              <c:f>'[1L-gcat-h - Parametric Study.xlsx]Recycle - C2H4'!$B$2:$B$37</c:f>
              <c:numCache>
                <c:formatCode>General</c:formatCode>
                <c:ptCount val="36"/>
                <c:pt idx="0">
                  <c:v>73.59</c:v>
                </c:pt>
                <c:pt idx="1">
                  <c:v>73.61</c:v>
                </c:pt>
                <c:pt idx="2">
                  <c:v>73.63</c:v>
                </c:pt>
                <c:pt idx="3">
                  <c:v>73.64</c:v>
                </c:pt>
                <c:pt idx="4">
                  <c:v>73.66</c:v>
                </c:pt>
                <c:pt idx="5">
                  <c:v>73.680000000000007</c:v>
                </c:pt>
                <c:pt idx="6">
                  <c:v>73.69</c:v>
                </c:pt>
                <c:pt idx="7">
                  <c:v>73.709999999999994</c:v>
                </c:pt>
                <c:pt idx="8">
                  <c:v>73.72999999999999</c:v>
                </c:pt>
                <c:pt idx="9">
                  <c:v>73.740000000000009</c:v>
                </c:pt>
                <c:pt idx="10">
                  <c:v>73.760000000000005</c:v>
                </c:pt>
                <c:pt idx="11">
                  <c:v>73.78</c:v>
                </c:pt>
                <c:pt idx="12">
                  <c:v>73.790000000000006</c:v>
                </c:pt>
                <c:pt idx="13">
                  <c:v>73.81</c:v>
                </c:pt>
                <c:pt idx="14">
                  <c:v>73.819999999999993</c:v>
                </c:pt>
                <c:pt idx="15">
                  <c:v>73.839999999999989</c:v>
                </c:pt>
                <c:pt idx="16">
                  <c:v>73.86</c:v>
                </c:pt>
                <c:pt idx="17">
                  <c:v>73.87</c:v>
                </c:pt>
                <c:pt idx="18">
                  <c:v>73.89</c:v>
                </c:pt>
                <c:pt idx="19">
                  <c:v>73.900000000000006</c:v>
                </c:pt>
                <c:pt idx="20">
                  <c:v>73.92</c:v>
                </c:pt>
                <c:pt idx="21">
                  <c:v>73.929999999999993</c:v>
                </c:pt>
                <c:pt idx="22">
                  <c:v>73.95</c:v>
                </c:pt>
                <c:pt idx="23">
                  <c:v>73.97</c:v>
                </c:pt>
                <c:pt idx="24">
                  <c:v>73.98</c:v>
                </c:pt>
                <c:pt idx="25">
                  <c:v>74</c:v>
                </c:pt>
                <c:pt idx="26">
                  <c:v>74.009999999999991</c:v>
                </c:pt>
                <c:pt idx="27">
                  <c:v>74.03</c:v>
                </c:pt>
                <c:pt idx="28">
                  <c:v>74.039999999999992</c:v>
                </c:pt>
                <c:pt idx="29">
                  <c:v>74.06</c:v>
                </c:pt>
              </c:numCache>
            </c:numRef>
          </c:yVal>
          <c:smooth val="1"/>
          <c:extLst>
            <c:ext xmlns:c16="http://schemas.microsoft.com/office/drawing/2014/chart" uri="{C3380CC4-5D6E-409C-BE32-E72D297353CC}">
              <c16:uniqueId val="{00000000-D4B9-49CD-8688-3806EB59C661}"/>
            </c:ext>
          </c:extLst>
        </c:ser>
        <c:ser>
          <c:idx val="1"/>
          <c:order val="1"/>
          <c:tx>
            <c:strRef>
              <c:f>'[1L-gcat-h - Parametric Study.xlsx]Recycle - C2H4'!$D$1</c:f>
              <c:strCache>
                <c:ptCount val="1"/>
                <c:pt idx="0">
                  <c:v>C2H4</c:v>
                </c:pt>
              </c:strCache>
            </c:strRef>
          </c:tx>
          <c:spPr>
            <a:ln w="19050" cap="rnd">
              <a:solidFill>
                <a:schemeClr val="accent6"/>
              </a:solidFill>
              <a:round/>
            </a:ln>
            <a:effectLst/>
          </c:spPr>
          <c:marker>
            <c:symbol val="none"/>
          </c:marker>
          <c:xVal>
            <c:numRef>
              <c:f>'[1L-gcat-h - Parametric Study.xlsx]Recycle - C2H4'!$A$2:$A$37</c:f>
              <c:numCache>
                <c:formatCode>General</c:formatCode>
                <c:ptCount val="36"/>
                <c:pt idx="0">
                  <c:v>0</c:v>
                </c:pt>
                <c:pt idx="1">
                  <c:v>3.4479999999999997E-2</c:v>
                </c:pt>
                <c:pt idx="2">
                  <c:v>6.8970000000000004E-2</c:v>
                </c:pt>
                <c:pt idx="3">
                  <c:v>0.10340000000000001</c:v>
                </c:pt>
                <c:pt idx="4">
                  <c:v>0.13789999999999999</c:v>
                </c:pt>
                <c:pt idx="5">
                  <c:v>0.1724</c:v>
                </c:pt>
                <c:pt idx="6">
                  <c:v>0.2069</c:v>
                </c:pt>
                <c:pt idx="7">
                  <c:v>0.2414</c:v>
                </c:pt>
                <c:pt idx="8">
                  <c:v>0.27589999999999998</c:v>
                </c:pt>
                <c:pt idx="9">
                  <c:v>0.31030000000000002</c:v>
                </c:pt>
                <c:pt idx="10">
                  <c:v>0.3448</c:v>
                </c:pt>
                <c:pt idx="11">
                  <c:v>0.37930000000000003</c:v>
                </c:pt>
                <c:pt idx="12">
                  <c:v>0.4138</c:v>
                </c:pt>
                <c:pt idx="13">
                  <c:v>0.44829999999999998</c:v>
                </c:pt>
                <c:pt idx="14">
                  <c:v>0.48280000000000001</c:v>
                </c:pt>
                <c:pt idx="15">
                  <c:v>0.51719999999999999</c:v>
                </c:pt>
                <c:pt idx="16">
                  <c:v>0.55169999999999997</c:v>
                </c:pt>
                <c:pt idx="17">
                  <c:v>0.58620000000000005</c:v>
                </c:pt>
                <c:pt idx="18">
                  <c:v>0.62070000000000003</c:v>
                </c:pt>
                <c:pt idx="19">
                  <c:v>0.6552</c:v>
                </c:pt>
                <c:pt idx="20">
                  <c:v>0.68969999999999998</c:v>
                </c:pt>
                <c:pt idx="21">
                  <c:v>0.72409999999999997</c:v>
                </c:pt>
                <c:pt idx="22">
                  <c:v>0.75860000000000005</c:v>
                </c:pt>
                <c:pt idx="23">
                  <c:v>0.79310000000000003</c:v>
                </c:pt>
                <c:pt idx="24">
                  <c:v>0.8276</c:v>
                </c:pt>
                <c:pt idx="25">
                  <c:v>0.86209999999999998</c:v>
                </c:pt>
                <c:pt idx="26">
                  <c:v>0.89659999999999995</c:v>
                </c:pt>
                <c:pt idx="27">
                  <c:v>0.93100000000000005</c:v>
                </c:pt>
                <c:pt idx="28">
                  <c:v>0.96550000000000002</c:v>
                </c:pt>
                <c:pt idx="29">
                  <c:v>1</c:v>
                </c:pt>
              </c:numCache>
            </c:numRef>
          </c:xVal>
          <c:yVal>
            <c:numRef>
              <c:f>'[1L-gcat-h - Parametric Study.xlsx]Recycle - C2H4'!$D$2:$D$37</c:f>
              <c:numCache>
                <c:formatCode>General</c:formatCode>
                <c:ptCount val="36"/>
                <c:pt idx="0">
                  <c:v>8.1329999999999991</c:v>
                </c:pt>
                <c:pt idx="1">
                  <c:v>7.8520000000000003</c:v>
                </c:pt>
                <c:pt idx="2">
                  <c:v>7.5709999999999997</c:v>
                </c:pt>
                <c:pt idx="3">
                  <c:v>7.29</c:v>
                </c:pt>
                <c:pt idx="4">
                  <c:v>7.0090000000000003</c:v>
                </c:pt>
                <c:pt idx="5">
                  <c:v>6.7279999999999998</c:v>
                </c:pt>
                <c:pt idx="6">
                  <c:v>6.4470000000000001</c:v>
                </c:pt>
                <c:pt idx="7">
                  <c:v>6.1660000000000004</c:v>
                </c:pt>
                <c:pt idx="8">
                  <c:v>5.8860000000000001</c:v>
                </c:pt>
                <c:pt idx="9">
                  <c:v>5.6050000000000004</c:v>
                </c:pt>
                <c:pt idx="10">
                  <c:v>5.3239999999999998</c:v>
                </c:pt>
                <c:pt idx="11">
                  <c:v>5.0439999999999996</c:v>
                </c:pt>
                <c:pt idx="12">
                  <c:v>4.7629999999999999</c:v>
                </c:pt>
                <c:pt idx="13">
                  <c:v>4.4829999999999997</c:v>
                </c:pt>
                <c:pt idx="14">
                  <c:v>4.202</c:v>
                </c:pt>
                <c:pt idx="15">
                  <c:v>3.9220000000000002</c:v>
                </c:pt>
                <c:pt idx="16">
                  <c:v>3.641</c:v>
                </c:pt>
                <c:pt idx="17">
                  <c:v>3.3610000000000002</c:v>
                </c:pt>
                <c:pt idx="18">
                  <c:v>3.081</c:v>
                </c:pt>
                <c:pt idx="19">
                  <c:v>2.8</c:v>
                </c:pt>
                <c:pt idx="20">
                  <c:v>2.52</c:v>
                </c:pt>
                <c:pt idx="21">
                  <c:v>2.2400000000000002</c:v>
                </c:pt>
                <c:pt idx="22">
                  <c:v>1.96</c:v>
                </c:pt>
                <c:pt idx="23">
                  <c:v>1.68</c:v>
                </c:pt>
                <c:pt idx="24">
                  <c:v>1.4</c:v>
                </c:pt>
                <c:pt idx="25">
                  <c:v>1.1200000000000001</c:v>
                </c:pt>
                <c:pt idx="26">
                  <c:v>0.8397</c:v>
                </c:pt>
                <c:pt idx="27">
                  <c:v>0.55979999999999996</c:v>
                </c:pt>
                <c:pt idx="28">
                  <c:v>0.27989999999999998</c:v>
                </c:pt>
                <c:pt idx="29" formatCode="0.00E+00">
                  <c:v>-8.7990000000000003E-19</c:v>
                </c:pt>
              </c:numCache>
            </c:numRef>
          </c:yVal>
          <c:smooth val="1"/>
          <c:extLst>
            <c:ext xmlns:c16="http://schemas.microsoft.com/office/drawing/2014/chart" uri="{C3380CC4-5D6E-409C-BE32-E72D297353CC}">
              <c16:uniqueId val="{00000001-D4B9-49CD-8688-3806EB59C661}"/>
            </c:ext>
          </c:extLst>
        </c:ser>
        <c:ser>
          <c:idx val="2"/>
          <c:order val="2"/>
          <c:tx>
            <c:strRef>
              <c:f>'[1L-gcat-h - Parametric Study.xlsx]Recycle - C2H4'!$E$1</c:f>
              <c:strCache>
                <c:ptCount val="1"/>
                <c:pt idx="0">
                  <c:v>C6H6</c:v>
                </c:pt>
              </c:strCache>
            </c:strRef>
          </c:tx>
          <c:spPr>
            <a:ln w="19050" cap="rnd">
              <a:solidFill>
                <a:srgbClr val="C00000"/>
              </a:solidFill>
              <a:round/>
            </a:ln>
            <a:effectLst/>
          </c:spPr>
          <c:marker>
            <c:symbol val="none"/>
          </c:marker>
          <c:xVal>
            <c:numRef>
              <c:f>'[1L-gcat-h - Parametric Study.xlsx]Recycle - C2H4'!$A$2:$A$37</c:f>
              <c:numCache>
                <c:formatCode>General</c:formatCode>
                <c:ptCount val="36"/>
                <c:pt idx="0">
                  <c:v>0</c:v>
                </c:pt>
                <c:pt idx="1">
                  <c:v>3.4479999999999997E-2</c:v>
                </c:pt>
                <c:pt idx="2">
                  <c:v>6.8970000000000004E-2</c:v>
                </c:pt>
                <c:pt idx="3">
                  <c:v>0.10340000000000001</c:v>
                </c:pt>
                <c:pt idx="4">
                  <c:v>0.13789999999999999</c:v>
                </c:pt>
                <c:pt idx="5">
                  <c:v>0.1724</c:v>
                </c:pt>
                <c:pt idx="6">
                  <c:v>0.2069</c:v>
                </c:pt>
                <c:pt idx="7">
                  <c:v>0.2414</c:v>
                </c:pt>
                <c:pt idx="8">
                  <c:v>0.27589999999999998</c:v>
                </c:pt>
                <c:pt idx="9">
                  <c:v>0.31030000000000002</c:v>
                </c:pt>
                <c:pt idx="10">
                  <c:v>0.3448</c:v>
                </c:pt>
                <c:pt idx="11">
                  <c:v>0.37930000000000003</c:v>
                </c:pt>
                <c:pt idx="12">
                  <c:v>0.4138</c:v>
                </c:pt>
                <c:pt idx="13">
                  <c:v>0.44829999999999998</c:v>
                </c:pt>
                <c:pt idx="14">
                  <c:v>0.48280000000000001</c:v>
                </c:pt>
                <c:pt idx="15">
                  <c:v>0.51719999999999999</c:v>
                </c:pt>
                <c:pt idx="16">
                  <c:v>0.55169999999999997</c:v>
                </c:pt>
                <c:pt idx="17">
                  <c:v>0.58620000000000005</c:v>
                </c:pt>
                <c:pt idx="18">
                  <c:v>0.62070000000000003</c:v>
                </c:pt>
                <c:pt idx="19">
                  <c:v>0.6552</c:v>
                </c:pt>
                <c:pt idx="20">
                  <c:v>0.68969999999999998</c:v>
                </c:pt>
                <c:pt idx="21">
                  <c:v>0.72409999999999997</c:v>
                </c:pt>
                <c:pt idx="22">
                  <c:v>0.75860000000000005</c:v>
                </c:pt>
                <c:pt idx="23">
                  <c:v>0.79310000000000003</c:v>
                </c:pt>
                <c:pt idx="24">
                  <c:v>0.8276</c:v>
                </c:pt>
                <c:pt idx="25">
                  <c:v>0.86209999999999998</c:v>
                </c:pt>
                <c:pt idx="26">
                  <c:v>0.89659999999999995</c:v>
                </c:pt>
                <c:pt idx="27">
                  <c:v>0.93100000000000005</c:v>
                </c:pt>
                <c:pt idx="28">
                  <c:v>0.96550000000000002</c:v>
                </c:pt>
                <c:pt idx="29">
                  <c:v>1</c:v>
                </c:pt>
              </c:numCache>
            </c:numRef>
          </c:xVal>
          <c:yVal>
            <c:numRef>
              <c:f>'[1L-gcat-h - Parametric Study.xlsx]Recycle - C2H4'!$E$2:$E$37</c:f>
              <c:numCache>
                <c:formatCode>General</c:formatCode>
                <c:ptCount val="36"/>
                <c:pt idx="0">
                  <c:v>64.599999999999994</c:v>
                </c:pt>
                <c:pt idx="1">
                  <c:v>64.86</c:v>
                </c:pt>
                <c:pt idx="2">
                  <c:v>65.11</c:v>
                </c:pt>
                <c:pt idx="3">
                  <c:v>65.36</c:v>
                </c:pt>
                <c:pt idx="4">
                  <c:v>65.61</c:v>
                </c:pt>
                <c:pt idx="5">
                  <c:v>65.87</c:v>
                </c:pt>
                <c:pt idx="6">
                  <c:v>66.12</c:v>
                </c:pt>
                <c:pt idx="7">
                  <c:v>66.37</c:v>
                </c:pt>
                <c:pt idx="8">
                  <c:v>66.62</c:v>
                </c:pt>
                <c:pt idx="9">
                  <c:v>66.88</c:v>
                </c:pt>
                <c:pt idx="10">
                  <c:v>67.13</c:v>
                </c:pt>
                <c:pt idx="11">
                  <c:v>67.38</c:v>
                </c:pt>
                <c:pt idx="12">
                  <c:v>67.64</c:v>
                </c:pt>
                <c:pt idx="13">
                  <c:v>67.89</c:v>
                </c:pt>
                <c:pt idx="14">
                  <c:v>68.150000000000006</c:v>
                </c:pt>
                <c:pt idx="15">
                  <c:v>68.400000000000006</c:v>
                </c:pt>
                <c:pt idx="16">
                  <c:v>68.66</c:v>
                </c:pt>
                <c:pt idx="17">
                  <c:v>68.91</c:v>
                </c:pt>
                <c:pt idx="18">
                  <c:v>69.16</c:v>
                </c:pt>
                <c:pt idx="19">
                  <c:v>69.42</c:v>
                </c:pt>
                <c:pt idx="20">
                  <c:v>69.67</c:v>
                </c:pt>
                <c:pt idx="21">
                  <c:v>69.930000000000007</c:v>
                </c:pt>
                <c:pt idx="22">
                  <c:v>70.19</c:v>
                </c:pt>
                <c:pt idx="23">
                  <c:v>70.44</c:v>
                </c:pt>
                <c:pt idx="24">
                  <c:v>70.7</c:v>
                </c:pt>
                <c:pt idx="25">
                  <c:v>70.95</c:v>
                </c:pt>
                <c:pt idx="26">
                  <c:v>71.209999999999994</c:v>
                </c:pt>
                <c:pt idx="27">
                  <c:v>71.47</c:v>
                </c:pt>
                <c:pt idx="28">
                  <c:v>71.72</c:v>
                </c:pt>
                <c:pt idx="29">
                  <c:v>71.98</c:v>
                </c:pt>
              </c:numCache>
            </c:numRef>
          </c:yVal>
          <c:smooth val="1"/>
          <c:extLst>
            <c:ext xmlns:c16="http://schemas.microsoft.com/office/drawing/2014/chart" uri="{C3380CC4-5D6E-409C-BE32-E72D297353CC}">
              <c16:uniqueId val="{00000002-D4B9-49CD-8688-3806EB59C661}"/>
            </c:ext>
          </c:extLst>
        </c:ser>
        <c:ser>
          <c:idx val="3"/>
          <c:order val="3"/>
          <c:tx>
            <c:strRef>
              <c:f>'[1L-gcat-h - Parametric Study.xlsx]Recycle - C2H4'!$F$1</c:f>
              <c:strCache>
                <c:ptCount val="1"/>
                <c:pt idx="0">
                  <c:v>C7H8</c:v>
                </c:pt>
              </c:strCache>
            </c:strRef>
          </c:tx>
          <c:spPr>
            <a:ln w="19050" cap="rnd">
              <a:solidFill>
                <a:schemeClr val="accent4"/>
              </a:solidFill>
              <a:round/>
            </a:ln>
            <a:effectLst/>
          </c:spPr>
          <c:marker>
            <c:symbol val="none"/>
          </c:marker>
          <c:xVal>
            <c:numRef>
              <c:f>'[1L-gcat-h - Parametric Study.xlsx]Recycle - C2H4'!$A$2:$A$37</c:f>
              <c:numCache>
                <c:formatCode>General</c:formatCode>
                <c:ptCount val="36"/>
                <c:pt idx="0">
                  <c:v>0</c:v>
                </c:pt>
                <c:pt idx="1">
                  <c:v>3.4479999999999997E-2</c:v>
                </c:pt>
                <c:pt idx="2">
                  <c:v>6.8970000000000004E-2</c:v>
                </c:pt>
                <c:pt idx="3">
                  <c:v>0.10340000000000001</c:v>
                </c:pt>
                <c:pt idx="4">
                  <c:v>0.13789999999999999</c:v>
                </c:pt>
                <c:pt idx="5">
                  <c:v>0.1724</c:v>
                </c:pt>
                <c:pt idx="6">
                  <c:v>0.2069</c:v>
                </c:pt>
                <c:pt idx="7">
                  <c:v>0.2414</c:v>
                </c:pt>
                <c:pt idx="8">
                  <c:v>0.27589999999999998</c:v>
                </c:pt>
                <c:pt idx="9">
                  <c:v>0.31030000000000002</c:v>
                </c:pt>
                <c:pt idx="10">
                  <c:v>0.3448</c:v>
                </c:pt>
                <c:pt idx="11">
                  <c:v>0.37930000000000003</c:v>
                </c:pt>
                <c:pt idx="12">
                  <c:v>0.4138</c:v>
                </c:pt>
                <c:pt idx="13">
                  <c:v>0.44829999999999998</c:v>
                </c:pt>
                <c:pt idx="14">
                  <c:v>0.48280000000000001</c:v>
                </c:pt>
                <c:pt idx="15">
                  <c:v>0.51719999999999999</c:v>
                </c:pt>
                <c:pt idx="16">
                  <c:v>0.55169999999999997</c:v>
                </c:pt>
                <c:pt idx="17">
                  <c:v>0.58620000000000005</c:v>
                </c:pt>
                <c:pt idx="18">
                  <c:v>0.62070000000000003</c:v>
                </c:pt>
                <c:pt idx="19">
                  <c:v>0.6552</c:v>
                </c:pt>
                <c:pt idx="20">
                  <c:v>0.68969999999999998</c:v>
                </c:pt>
                <c:pt idx="21">
                  <c:v>0.72409999999999997</c:v>
                </c:pt>
                <c:pt idx="22">
                  <c:v>0.75860000000000005</c:v>
                </c:pt>
                <c:pt idx="23">
                  <c:v>0.79310000000000003</c:v>
                </c:pt>
                <c:pt idx="24">
                  <c:v>0.8276</c:v>
                </c:pt>
                <c:pt idx="25">
                  <c:v>0.86209999999999998</c:v>
                </c:pt>
                <c:pt idx="26">
                  <c:v>0.89659999999999995</c:v>
                </c:pt>
                <c:pt idx="27">
                  <c:v>0.93100000000000005</c:v>
                </c:pt>
                <c:pt idx="28">
                  <c:v>0.96550000000000002</c:v>
                </c:pt>
                <c:pt idx="29">
                  <c:v>1</c:v>
                </c:pt>
              </c:numCache>
            </c:numRef>
          </c:xVal>
          <c:yVal>
            <c:numRef>
              <c:f>'[1L-gcat-h - Parametric Study.xlsx]Recycle - C2H4'!$F$2:$F$37</c:f>
              <c:numCache>
                <c:formatCode>General</c:formatCode>
                <c:ptCount val="36"/>
                <c:pt idx="0">
                  <c:v>9.4290000000000003</c:v>
                </c:pt>
                <c:pt idx="1">
                  <c:v>9.4570000000000007</c:v>
                </c:pt>
                <c:pt idx="2">
                  <c:v>9.4849999999999994</c:v>
                </c:pt>
                <c:pt idx="3">
                  <c:v>9.5129999999999999</c:v>
                </c:pt>
                <c:pt idx="4">
                  <c:v>9.5410000000000004</c:v>
                </c:pt>
                <c:pt idx="5">
                  <c:v>9.5679999999999996</c:v>
                </c:pt>
                <c:pt idx="6">
                  <c:v>9.5960000000000001</c:v>
                </c:pt>
                <c:pt idx="7">
                  <c:v>9.6229999999999993</c:v>
                </c:pt>
                <c:pt idx="8">
                  <c:v>9.6489999999999991</c:v>
                </c:pt>
                <c:pt idx="9">
                  <c:v>9.6760000000000002</c:v>
                </c:pt>
                <c:pt idx="10">
                  <c:v>9.702</c:v>
                </c:pt>
                <c:pt idx="11">
                  <c:v>9.7289999999999992</c:v>
                </c:pt>
                <c:pt idx="12">
                  <c:v>9.7550000000000008</c:v>
                </c:pt>
                <c:pt idx="13">
                  <c:v>9.7799999999999994</c:v>
                </c:pt>
                <c:pt idx="14">
                  <c:v>9.8059999999999992</c:v>
                </c:pt>
                <c:pt idx="15">
                  <c:v>9.8309999999999995</c:v>
                </c:pt>
                <c:pt idx="16">
                  <c:v>9.8559999999999999</c:v>
                </c:pt>
                <c:pt idx="17">
                  <c:v>9.8810000000000002</c:v>
                </c:pt>
                <c:pt idx="18">
                  <c:v>9.9060000000000006</c:v>
                </c:pt>
                <c:pt idx="19">
                  <c:v>9.93</c:v>
                </c:pt>
                <c:pt idx="20">
                  <c:v>9.9550000000000001</c:v>
                </c:pt>
                <c:pt idx="21">
                  <c:v>9.9789999999999992</c:v>
                </c:pt>
                <c:pt idx="22">
                  <c:v>10</c:v>
                </c:pt>
                <c:pt idx="23">
                  <c:v>10.029999999999999</c:v>
                </c:pt>
                <c:pt idx="24">
                  <c:v>10.050000000000001</c:v>
                </c:pt>
                <c:pt idx="25">
                  <c:v>10.07</c:v>
                </c:pt>
                <c:pt idx="26">
                  <c:v>10.1</c:v>
                </c:pt>
                <c:pt idx="27">
                  <c:v>10.119999999999999</c:v>
                </c:pt>
                <c:pt idx="28">
                  <c:v>10.14</c:v>
                </c:pt>
                <c:pt idx="29">
                  <c:v>10.16</c:v>
                </c:pt>
              </c:numCache>
            </c:numRef>
          </c:yVal>
          <c:smooth val="1"/>
          <c:extLst>
            <c:ext xmlns:c16="http://schemas.microsoft.com/office/drawing/2014/chart" uri="{C3380CC4-5D6E-409C-BE32-E72D297353CC}">
              <c16:uniqueId val="{00000003-D4B9-49CD-8688-3806EB59C661}"/>
            </c:ext>
          </c:extLst>
        </c:ser>
        <c:ser>
          <c:idx val="4"/>
          <c:order val="4"/>
          <c:tx>
            <c:strRef>
              <c:f>'[1L-gcat-h - Parametric Study.xlsx]Recycle - C2H4'!$G$1</c:f>
              <c:strCache>
                <c:ptCount val="1"/>
                <c:pt idx="0">
                  <c:v>Emissions</c:v>
                </c:pt>
              </c:strCache>
            </c:strRef>
          </c:tx>
          <c:spPr>
            <a:ln w="19050" cap="rnd">
              <a:solidFill>
                <a:schemeClr val="tx2"/>
              </a:solidFill>
              <a:round/>
            </a:ln>
            <a:effectLst/>
          </c:spPr>
          <c:marker>
            <c:symbol val="none"/>
          </c:marker>
          <c:xVal>
            <c:numRef>
              <c:f>'[1L-gcat-h - Parametric Study.xlsx]Recycle - C2H4'!$A$2:$A$37</c:f>
              <c:numCache>
                <c:formatCode>General</c:formatCode>
                <c:ptCount val="36"/>
                <c:pt idx="0">
                  <c:v>0</c:v>
                </c:pt>
                <c:pt idx="1">
                  <c:v>3.4479999999999997E-2</c:v>
                </c:pt>
                <c:pt idx="2">
                  <c:v>6.8970000000000004E-2</c:v>
                </c:pt>
                <c:pt idx="3">
                  <c:v>0.10340000000000001</c:v>
                </c:pt>
                <c:pt idx="4">
                  <c:v>0.13789999999999999</c:v>
                </c:pt>
                <c:pt idx="5">
                  <c:v>0.1724</c:v>
                </c:pt>
                <c:pt idx="6">
                  <c:v>0.2069</c:v>
                </c:pt>
                <c:pt idx="7">
                  <c:v>0.2414</c:v>
                </c:pt>
                <c:pt idx="8">
                  <c:v>0.27589999999999998</c:v>
                </c:pt>
                <c:pt idx="9">
                  <c:v>0.31030000000000002</c:v>
                </c:pt>
                <c:pt idx="10">
                  <c:v>0.3448</c:v>
                </c:pt>
                <c:pt idx="11">
                  <c:v>0.37930000000000003</c:v>
                </c:pt>
                <c:pt idx="12">
                  <c:v>0.4138</c:v>
                </c:pt>
                <c:pt idx="13">
                  <c:v>0.44829999999999998</c:v>
                </c:pt>
                <c:pt idx="14">
                  <c:v>0.48280000000000001</c:v>
                </c:pt>
                <c:pt idx="15">
                  <c:v>0.51719999999999999</c:v>
                </c:pt>
                <c:pt idx="16">
                  <c:v>0.55169999999999997</c:v>
                </c:pt>
                <c:pt idx="17">
                  <c:v>0.58620000000000005</c:v>
                </c:pt>
                <c:pt idx="18">
                  <c:v>0.62070000000000003</c:v>
                </c:pt>
                <c:pt idx="19">
                  <c:v>0.6552</c:v>
                </c:pt>
                <c:pt idx="20">
                  <c:v>0.68969999999999998</c:v>
                </c:pt>
                <c:pt idx="21">
                  <c:v>0.72409999999999997</c:v>
                </c:pt>
                <c:pt idx="22">
                  <c:v>0.75860000000000005</c:v>
                </c:pt>
                <c:pt idx="23">
                  <c:v>0.79310000000000003</c:v>
                </c:pt>
                <c:pt idx="24">
                  <c:v>0.8276</c:v>
                </c:pt>
                <c:pt idx="25">
                  <c:v>0.86209999999999998</c:v>
                </c:pt>
                <c:pt idx="26">
                  <c:v>0.89659999999999995</c:v>
                </c:pt>
                <c:pt idx="27">
                  <c:v>0.93100000000000005</c:v>
                </c:pt>
                <c:pt idx="28">
                  <c:v>0.96550000000000002</c:v>
                </c:pt>
                <c:pt idx="29">
                  <c:v>1</c:v>
                </c:pt>
              </c:numCache>
            </c:numRef>
          </c:xVal>
          <c:yVal>
            <c:numRef>
              <c:f>'[1L-gcat-h - Parametric Study.xlsx]Recycle - C2H4'!$G$2:$G$37</c:f>
              <c:numCache>
                <c:formatCode>General</c:formatCode>
                <c:ptCount val="36"/>
                <c:pt idx="0">
                  <c:v>17.829999999999998</c:v>
                </c:pt>
                <c:pt idx="1">
                  <c:v>17.84</c:v>
                </c:pt>
                <c:pt idx="2">
                  <c:v>17.84</c:v>
                </c:pt>
                <c:pt idx="3">
                  <c:v>17.84</c:v>
                </c:pt>
                <c:pt idx="4">
                  <c:v>17.84</c:v>
                </c:pt>
                <c:pt idx="5">
                  <c:v>17.84</c:v>
                </c:pt>
                <c:pt idx="6">
                  <c:v>17.84</c:v>
                </c:pt>
                <c:pt idx="7">
                  <c:v>17.84</c:v>
                </c:pt>
                <c:pt idx="8">
                  <c:v>17.84</c:v>
                </c:pt>
                <c:pt idx="9">
                  <c:v>17.84</c:v>
                </c:pt>
                <c:pt idx="10">
                  <c:v>17.84</c:v>
                </c:pt>
                <c:pt idx="11">
                  <c:v>17.84</c:v>
                </c:pt>
                <c:pt idx="12">
                  <c:v>17.84</c:v>
                </c:pt>
                <c:pt idx="13">
                  <c:v>17.84</c:v>
                </c:pt>
                <c:pt idx="14">
                  <c:v>17.850000000000001</c:v>
                </c:pt>
                <c:pt idx="15">
                  <c:v>17.850000000000001</c:v>
                </c:pt>
                <c:pt idx="16">
                  <c:v>17.850000000000001</c:v>
                </c:pt>
                <c:pt idx="17">
                  <c:v>17.850000000000001</c:v>
                </c:pt>
                <c:pt idx="18">
                  <c:v>17.850000000000001</c:v>
                </c:pt>
                <c:pt idx="19">
                  <c:v>17.850000000000001</c:v>
                </c:pt>
                <c:pt idx="20">
                  <c:v>17.850000000000001</c:v>
                </c:pt>
                <c:pt idx="21">
                  <c:v>17.850000000000001</c:v>
                </c:pt>
                <c:pt idx="22">
                  <c:v>17.850000000000001</c:v>
                </c:pt>
                <c:pt idx="23">
                  <c:v>17.850000000000001</c:v>
                </c:pt>
                <c:pt idx="24">
                  <c:v>17.850000000000001</c:v>
                </c:pt>
                <c:pt idx="25">
                  <c:v>17.850000000000001</c:v>
                </c:pt>
                <c:pt idx="26">
                  <c:v>17.850000000000001</c:v>
                </c:pt>
                <c:pt idx="27">
                  <c:v>17.86</c:v>
                </c:pt>
                <c:pt idx="28">
                  <c:v>17.86</c:v>
                </c:pt>
                <c:pt idx="29">
                  <c:v>17.86</c:v>
                </c:pt>
              </c:numCache>
            </c:numRef>
          </c:yVal>
          <c:smooth val="1"/>
          <c:extLst>
            <c:ext xmlns:c16="http://schemas.microsoft.com/office/drawing/2014/chart" uri="{C3380CC4-5D6E-409C-BE32-E72D297353CC}">
              <c16:uniqueId val="{00000004-D4B9-49CD-8688-3806EB59C661}"/>
            </c:ext>
          </c:extLst>
        </c:ser>
        <c:dLbls>
          <c:showLegendKey val="0"/>
          <c:showVal val="0"/>
          <c:showCatName val="0"/>
          <c:showSerName val="0"/>
          <c:showPercent val="0"/>
          <c:showBubbleSize val="0"/>
        </c:dLbls>
        <c:axId val="868985247"/>
        <c:axId val="868987167"/>
      </c:scatterChart>
      <c:valAx>
        <c:axId val="868985247"/>
        <c:scaling>
          <c:orientation val="minMax"/>
          <c:max val="1"/>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r>
                  <a:rPr lang="en-US" baseline="0"/>
                  <a:t> of C</a:t>
                </a:r>
                <a:r>
                  <a:rPr lang="en-US" baseline="-25000"/>
                  <a:t>2</a:t>
                </a:r>
                <a:r>
                  <a:rPr lang="en-US" baseline="0"/>
                  <a:t>H</a:t>
                </a:r>
                <a:r>
                  <a:rPr lang="en-US" baseline="-25000"/>
                  <a:t>4</a:t>
                </a:r>
                <a:r>
                  <a:rPr lang="en-US" baseline="0"/>
                  <a:t> Recycled</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8987167"/>
        <c:crosses val="autoZero"/>
        <c:crossBetween val="midCat"/>
      </c:valAx>
      <c:valAx>
        <c:axId val="868987167"/>
        <c:scaling>
          <c:orientation val="minMax"/>
          <c:max val="100"/>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Selectivity &amp; CE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898524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t>
            </a:r>
          </a:p>
        </c:rich>
      </c:tx>
      <c:layout>
        <c:manualLayout>
          <c:xMode val="edge"/>
          <c:yMode val="edge"/>
          <c:x val="1.9090303754732104E-3"/>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603115130312957"/>
          <c:y val="3.3089226956458481E-2"/>
          <c:w val="0.65637733232604412"/>
          <c:h val="0.65292049369069294"/>
        </c:manualLayout>
      </c:layout>
      <c:scatterChart>
        <c:scatterStyle val="smoothMarker"/>
        <c:varyColors val="0"/>
        <c:ser>
          <c:idx val="2"/>
          <c:order val="1"/>
          <c:tx>
            <c:strRef>
              <c:f>'[1L-gcat-h - Parametric Study.xlsx]Recycle - Full'!$E$1</c:f>
              <c:strCache>
                <c:ptCount val="1"/>
                <c:pt idx="0">
                  <c:v>C6H6</c:v>
                </c:pt>
              </c:strCache>
            </c:strRef>
          </c:tx>
          <c:spPr>
            <a:ln w="19050" cap="rnd">
              <a:solidFill>
                <a:srgbClr val="C00000"/>
              </a:solidFill>
              <a:round/>
            </a:ln>
            <a:effectLst/>
          </c:spPr>
          <c:marker>
            <c:symbol val="none"/>
          </c:marker>
          <c:xVal>
            <c:numRef>
              <c:f>'[1L-gcat-h - Parametric Study.xlsx]Recycle - Full'!$A$2:$A$31</c:f>
              <c:numCache>
                <c:formatCode>General</c:formatCode>
                <c:ptCount val="30"/>
                <c:pt idx="0">
                  <c:v>0</c:v>
                </c:pt>
                <c:pt idx="1">
                  <c:v>3.4479999999999997E-2</c:v>
                </c:pt>
                <c:pt idx="2">
                  <c:v>6.8970000000000004E-2</c:v>
                </c:pt>
                <c:pt idx="3">
                  <c:v>0.10340000000000001</c:v>
                </c:pt>
                <c:pt idx="4">
                  <c:v>0.13789999999999999</c:v>
                </c:pt>
                <c:pt idx="5">
                  <c:v>0.1724</c:v>
                </c:pt>
                <c:pt idx="6">
                  <c:v>0.2069</c:v>
                </c:pt>
                <c:pt idx="7">
                  <c:v>0.2414</c:v>
                </c:pt>
                <c:pt idx="8">
                  <c:v>0.27589999999999998</c:v>
                </c:pt>
                <c:pt idx="9">
                  <c:v>0.31030000000000002</c:v>
                </c:pt>
                <c:pt idx="10">
                  <c:v>0.3448</c:v>
                </c:pt>
                <c:pt idx="11">
                  <c:v>0.37930000000000003</c:v>
                </c:pt>
                <c:pt idx="12">
                  <c:v>0.4138</c:v>
                </c:pt>
                <c:pt idx="13">
                  <c:v>0.44829999999999998</c:v>
                </c:pt>
                <c:pt idx="14">
                  <c:v>0.48280000000000001</c:v>
                </c:pt>
                <c:pt idx="15">
                  <c:v>0.51719999999999999</c:v>
                </c:pt>
                <c:pt idx="16">
                  <c:v>0.55169999999999997</c:v>
                </c:pt>
                <c:pt idx="17">
                  <c:v>0.58620000000000005</c:v>
                </c:pt>
                <c:pt idx="18">
                  <c:v>0.62070000000000003</c:v>
                </c:pt>
                <c:pt idx="19">
                  <c:v>0.6552</c:v>
                </c:pt>
                <c:pt idx="20">
                  <c:v>0.68969999999999998</c:v>
                </c:pt>
                <c:pt idx="21">
                  <c:v>0.72409999999999997</c:v>
                </c:pt>
                <c:pt idx="22">
                  <c:v>0.75860000000000005</c:v>
                </c:pt>
                <c:pt idx="23">
                  <c:v>0.79310000000000003</c:v>
                </c:pt>
                <c:pt idx="24">
                  <c:v>0.8276</c:v>
                </c:pt>
                <c:pt idx="25">
                  <c:v>0.86209999999999998</c:v>
                </c:pt>
                <c:pt idx="26">
                  <c:v>0.89659999999999995</c:v>
                </c:pt>
                <c:pt idx="27">
                  <c:v>0.93100000000000005</c:v>
                </c:pt>
                <c:pt idx="28">
                  <c:v>0.96550000000000002</c:v>
                </c:pt>
                <c:pt idx="29">
                  <c:v>1</c:v>
                </c:pt>
              </c:numCache>
            </c:numRef>
          </c:xVal>
          <c:yVal>
            <c:numRef>
              <c:f>'[1L-gcat-h - Parametric Study.xlsx]Recycle - Full'!$E$2:$E$31</c:f>
              <c:numCache>
                <c:formatCode>General</c:formatCode>
                <c:ptCount val="30"/>
                <c:pt idx="0">
                  <c:v>64.599999999999994</c:v>
                </c:pt>
                <c:pt idx="1">
                  <c:v>64.94</c:v>
                </c:pt>
                <c:pt idx="2">
                  <c:v>65.28</c:v>
                </c:pt>
                <c:pt idx="3">
                  <c:v>65.63</c:v>
                </c:pt>
                <c:pt idx="4">
                  <c:v>65.98</c:v>
                </c:pt>
                <c:pt idx="5">
                  <c:v>66.33</c:v>
                </c:pt>
                <c:pt idx="6">
                  <c:v>66.69</c:v>
                </c:pt>
                <c:pt idx="7">
                  <c:v>67.05</c:v>
                </c:pt>
                <c:pt idx="8">
                  <c:v>67.42</c:v>
                </c:pt>
                <c:pt idx="9">
                  <c:v>67.790000000000006</c:v>
                </c:pt>
                <c:pt idx="10">
                  <c:v>68.16</c:v>
                </c:pt>
                <c:pt idx="11">
                  <c:v>68.540000000000006</c:v>
                </c:pt>
                <c:pt idx="12">
                  <c:v>68.930000000000007</c:v>
                </c:pt>
                <c:pt idx="13">
                  <c:v>69.319999999999993</c:v>
                </c:pt>
                <c:pt idx="14">
                  <c:v>69.72</c:v>
                </c:pt>
                <c:pt idx="15">
                  <c:v>70.12</c:v>
                </c:pt>
                <c:pt idx="16">
                  <c:v>70.53</c:v>
                </c:pt>
                <c:pt idx="17">
                  <c:v>70.94</c:v>
                </c:pt>
                <c:pt idx="18">
                  <c:v>71.36</c:v>
                </c:pt>
                <c:pt idx="19">
                  <c:v>71.78</c:v>
                </c:pt>
                <c:pt idx="20">
                  <c:v>72.209999999999994</c:v>
                </c:pt>
                <c:pt idx="21">
                  <c:v>72.64</c:v>
                </c:pt>
                <c:pt idx="22">
                  <c:v>73.08</c:v>
                </c:pt>
                <c:pt idx="23">
                  <c:v>73.53</c:v>
                </c:pt>
                <c:pt idx="24">
                  <c:v>73.98</c:v>
                </c:pt>
                <c:pt idx="25">
                  <c:v>74.430000000000007</c:v>
                </c:pt>
                <c:pt idx="26">
                  <c:v>74.89</c:v>
                </c:pt>
                <c:pt idx="27">
                  <c:v>75.349999999999994</c:v>
                </c:pt>
                <c:pt idx="28">
                  <c:v>75.819999999999993</c:v>
                </c:pt>
                <c:pt idx="29">
                  <c:v>76.290000000000006</c:v>
                </c:pt>
              </c:numCache>
            </c:numRef>
          </c:yVal>
          <c:smooth val="1"/>
          <c:extLst>
            <c:ext xmlns:c16="http://schemas.microsoft.com/office/drawing/2014/chart" uri="{C3380CC4-5D6E-409C-BE32-E72D297353CC}">
              <c16:uniqueId val="{00000000-B452-4CDE-8185-D21D5562C2AF}"/>
            </c:ext>
          </c:extLst>
        </c:ser>
        <c:ser>
          <c:idx val="4"/>
          <c:order val="2"/>
          <c:tx>
            <c:strRef>
              <c:f>'[1L-gcat-h - Parametric Study.xlsx]Recycle - Full'!$G$1</c:f>
              <c:strCache>
                <c:ptCount val="1"/>
                <c:pt idx="0">
                  <c:v>Emissions</c:v>
                </c:pt>
              </c:strCache>
            </c:strRef>
          </c:tx>
          <c:spPr>
            <a:ln w="19050" cap="rnd">
              <a:solidFill>
                <a:schemeClr val="tx2"/>
              </a:solidFill>
              <a:round/>
            </a:ln>
            <a:effectLst/>
          </c:spPr>
          <c:marker>
            <c:symbol val="none"/>
          </c:marker>
          <c:xVal>
            <c:numRef>
              <c:f>'[1L-gcat-h - Parametric Study.xlsx]Recycle - Full'!$A$2:$A$31</c:f>
              <c:numCache>
                <c:formatCode>General</c:formatCode>
                <c:ptCount val="30"/>
                <c:pt idx="0">
                  <c:v>0</c:v>
                </c:pt>
                <c:pt idx="1">
                  <c:v>3.4479999999999997E-2</c:v>
                </c:pt>
                <c:pt idx="2">
                  <c:v>6.8970000000000004E-2</c:v>
                </c:pt>
                <c:pt idx="3">
                  <c:v>0.10340000000000001</c:v>
                </c:pt>
                <c:pt idx="4">
                  <c:v>0.13789999999999999</c:v>
                </c:pt>
                <c:pt idx="5">
                  <c:v>0.1724</c:v>
                </c:pt>
                <c:pt idx="6">
                  <c:v>0.2069</c:v>
                </c:pt>
                <c:pt idx="7">
                  <c:v>0.2414</c:v>
                </c:pt>
                <c:pt idx="8">
                  <c:v>0.27589999999999998</c:v>
                </c:pt>
                <c:pt idx="9">
                  <c:v>0.31030000000000002</c:v>
                </c:pt>
                <c:pt idx="10">
                  <c:v>0.3448</c:v>
                </c:pt>
                <c:pt idx="11">
                  <c:v>0.37930000000000003</c:v>
                </c:pt>
                <c:pt idx="12">
                  <c:v>0.4138</c:v>
                </c:pt>
                <c:pt idx="13">
                  <c:v>0.44829999999999998</c:v>
                </c:pt>
                <c:pt idx="14">
                  <c:v>0.48280000000000001</c:v>
                </c:pt>
                <c:pt idx="15">
                  <c:v>0.51719999999999999</c:v>
                </c:pt>
                <c:pt idx="16">
                  <c:v>0.55169999999999997</c:v>
                </c:pt>
                <c:pt idx="17">
                  <c:v>0.58620000000000005</c:v>
                </c:pt>
                <c:pt idx="18">
                  <c:v>0.62070000000000003</c:v>
                </c:pt>
                <c:pt idx="19">
                  <c:v>0.6552</c:v>
                </c:pt>
                <c:pt idx="20">
                  <c:v>0.68969999999999998</c:v>
                </c:pt>
                <c:pt idx="21">
                  <c:v>0.72409999999999997</c:v>
                </c:pt>
                <c:pt idx="22">
                  <c:v>0.75860000000000005</c:v>
                </c:pt>
                <c:pt idx="23">
                  <c:v>0.79310000000000003</c:v>
                </c:pt>
                <c:pt idx="24">
                  <c:v>0.8276</c:v>
                </c:pt>
                <c:pt idx="25">
                  <c:v>0.86209999999999998</c:v>
                </c:pt>
                <c:pt idx="26">
                  <c:v>0.89659999999999995</c:v>
                </c:pt>
                <c:pt idx="27">
                  <c:v>0.93100000000000005</c:v>
                </c:pt>
                <c:pt idx="28">
                  <c:v>0.96550000000000002</c:v>
                </c:pt>
                <c:pt idx="29">
                  <c:v>1</c:v>
                </c:pt>
              </c:numCache>
            </c:numRef>
          </c:xVal>
          <c:yVal>
            <c:numRef>
              <c:f>'[1L-gcat-h - Parametric Study.xlsx]Recycle - Full'!$G$2:$G$31</c:f>
              <c:numCache>
                <c:formatCode>General</c:formatCode>
                <c:ptCount val="30"/>
                <c:pt idx="0">
                  <c:v>17.829999999999998</c:v>
                </c:pt>
                <c:pt idx="1">
                  <c:v>17.850000000000001</c:v>
                </c:pt>
                <c:pt idx="2">
                  <c:v>17.86</c:v>
                </c:pt>
                <c:pt idx="3">
                  <c:v>17.87</c:v>
                </c:pt>
                <c:pt idx="4">
                  <c:v>17.89</c:v>
                </c:pt>
                <c:pt idx="5">
                  <c:v>17.899999999999999</c:v>
                </c:pt>
                <c:pt idx="6">
                  <c:v>17.920000000000002</c:v>
                </c:pt>
                <c:pt idx="7">
                  <c:v>17.93</c:v>
                </c:pt>
                <c:pt idx="8">
                  <c:v>17.95</c:v>
                </c:pt>
                <c:pt idx="9">
                  <c:v>17.97</c:v>
                </c:pt>
                <c:pt idx="10">
                  <c:v>17.989999999999998</c:v>
                </c:pt>
                <c:pt idx="11">
                  <c:v>18.010000000000002</c:v>
                </c:pt>
                <c:pt idx="12">
                  <c:v>18.03</c:v>
                </c:pt>
                <c:pt idx="13">
                  <c:v>18.05</c:v>
                </c:pt>
                <c:pt idx="14">
                  <c:v>18.079999999999998</c:v>
                </c:pt>
                <c:pt idx="15">
                  <c:v>18.100000000000001</c:v>
                </c:pt>
                <c:pt idx="16">
                  <c:v>18.13</c:v>
                </c:pt>
                <c:pt idx="17">
                  <c:v>18.16</c:v>
                </c:pt>
                <c:pt idx="18">
                  <c:v>18.190000000000001</c:v>
                </c:pt>
                <c:pt idx="19">
                  <c:v>18.23</c:v>
                </c:pt>
                <c:pt idx="20">
                  <c:v>18.27</c:v>
                </c:pt>
                <c:pt idx="21">
                  <c:v>18.309999999999999</c:v>
                </c:pt>
                <c:pt idx="22">
                  <c:v>18.350000000000001</c:v>
                </c:pt>
                <c:pt idx="23">
                  <c:v>18.399999999999999</c:v>
                </c:pt>
                <c:pt idx="24">
                  <c:v>18.45</c:v>
                </c:pt>
                <c:pt idx="25">
                  <c:v>18.510000000000002</c:v>
                </c:pt>
                <c:pt idx="26">
                  <c:v>18.579999999999998</c:v>
                </c:pt>
                <c:pt idx="27">
                  <c:v>18.649999999999999</c:v>
                </c:pt>
                <c:pt idx="28">
                  <c:v>18.73</c:v>
                </c:pt>
                <c:pt idx="29">
                  <c:v>18.82</c:v>
                </c:pt>
              </c:numCache>
            </c:numRef>
          </c:yVal>
          <c:smooth val="1"/>
          <c:extLst>
            <c:ext xmlns:c16="http://schemas.microsoft.com/office/drawing/2014/chart" uri="{C3380CC4-5D6E-409C-BE32-E72D297353CC}">
              <c16:uniqueId val="{00000001-B452-4CDE-8185-D21D5562C2AF}"/>
            </c:ext>
          </c:extLst>
        </c:ser>
        <c:ser>
          <c:idx val="7"/>
          <c:order val="3"/>
          <c:spPr>
            <a:ln w="19050" cap="rnd">
              <a:solidFill>
                <a:srgbClr val="C00000"/>
              </a:solidFill>
              <a:prstDash val="sysDash"/>
              <a:round/>
            </a:ln>
            <a:effectLst/>
          </c:spPr>
          <c:marker>
            <c:symbol val="none"/>
          </c:marker>
          <c:xVal>
            <c:numRef>
              <c:f>'[1L-gcat-h - Parametric Study.xlsx]Recycle - Full'!$A$2:$A$31</c:f>
              <c:numCache>
                <c:formatCode>General</c:formatCode>
                <c:ptCount val="30"/>
                <c:pt idx="0">
                  <c:v>0</c:v>
                </c:pt>
                <c:pt idx="1">
                  <c:v>3.4479999999999997E-2</c:v>
                </c:pt>
                <c:pt idx="2">
                  <c:v>6.8970000000000004E-2</c:v>
                </c:pt>
                <c:pt idx="3">
                  <c:v>0.10340000000000001</c:v>
                </c:pt>
                <c:pt idx="4">
                  <c:v>0.13789999999999999</c:v>
                </c:pt>
                <c:pt idx="5">
                  <c:v>0.1724</c:v>
                </c:pt>
                <c:pt idx="6">
                  <c:v>0.2069</c:v>
                </c:pt>
                <c:pt idx="7">
                  <c:v>0.2414</c:v>
                </c:pt>
                <c:pt idx="8">
                  <c:v>0.27589999999999998</c:v>
                </c:pt>
                <c:pt idx="9">
                  <c:v>0.31030000000000002</c:v>
                </c:pt>
                <c:pt idx="10">
                  <c:v>0.3448</c:v>
                </c:pt>
                <c:pt idx="11">
                  <c:v>0.37930000000000003</c:v>
                </c:pt>
                <c:pt idx="12">
                  <c:v>0.4138</c:v>
                </c:pt>
                <c:pt idx="13">
                  <c:v>0.44829999999999998</c:v>
                </c:pt>
                <c:pt idx="14">
                  <c:v>0.48280000000000001</c:v>
                </c:pt>
                <c:pt idx="15">
                  <c:v>0.51719999999999999</c:v>
                </c:pt>
                <c:pt idx="16">
                  <c:v>0.55169999999999997</c:v>
                </c:pt>
                <c:pt idx="17">
                  <c:v>0.58620000000000005</c:v>
                </c:pt>
                <c:pt idx="18">
                  <c:v>0.62070000000000003</c:v>
                </c:pt>
                <c:pt idx="19">
                  <c:v>0.6552</c:v>
                </c:pt>
                <c:pt idx="20">
                  <c:v>0.68969999999999998</c:v>
                </c:pt>
                <c:pt idx="21">
                  <c:v>0.72409999999999997</c:v>
                </c:pt>
                <c:pt idx="22">
                  <c:v>0.75860000000000005</c:v>
                </c:pt>
                <c:pt idx="23">
                  <c:v>0.79310000000000003</c:v>
                </c:pt>
                <c:pt idx="24">
                  <c:v>0.8276</c:v>
                </c:pt>
                <c:pt idx="25">
                  <c:v>0.86209999999999998</c:v>
                </c:pt>
                <c:pt idx="26">
                  <c:v>0.89659999999999995</c:v>
                </c:pt>
                <c:pt idx="27">
                  <c:v>0.93100000000000005</c:v>
                </c:pt>
                <c:pt idx="28">
                  <c:v>0.96550000000000002</c:v>
                </c:pt>
                <c:pt idx="29">
                  <c:v>1</c:v>
                </c:pt>
              </c:numCache>
            </c:numRef>
          </c:xVal>
          <c:yVal>
            <c:numRef>
              <c:f>'[1L-gcat-h - Parametric Study.xlsx]Recycle - Full'!$I$2:$I$31</c:f>
              <c:numCache>
                <c:formatCode>General</c:formatCode>
                <c:ptCount val="30"/>
                <c:pt idx="0">
                  <c:v>64</c:v>
                </c:pt>
                <c:pt idx="1">
                  <c:v>64</c:v>
                </c:pt>
                <c:pt idx="2">
                  <c:v>64</c:v>
                </c:pt>
                <c:pt idx="3">
                  <c:v>64</c:v>
                </c:pt>
                <c:pt idx="4">
                  <c:v>64</c:v>
                </c:pt>
                <c:pt idx="5">
                  <c:v>64</c:v>
                </c:pt>
                <c:pt idx="6">
                  <c:v>64</c:v>
                </c:pt>
                <c:pt idx="7">
                  <c:v>64</c:v>
                </c:pt>
                <c:pt idx="8">
                  <c:v>64</c:v>
                </c:pt>
                <c:pt idx="9">
                  <c:v>64</c:v>
                </c:pt>
                <c:pt idx="10">
                  <c:v>64</c:v>
                </c:pt>
                <c:pt idx="11">
                  <c:v>64</c:v>
                </c:pt>
                <c:pt idx="12">
                  <c:v>64</c:v>
                </c:pt>
                <c:pt idx="13">
                  <c:v>64</c:v>
                </c:pt>
                <c:pt idx="14">
                  <c:v>64</c:v>
                </c:pt>
                <c:pt idx="15">
                  <c:v>64</c:v>
                </c:pt>
                <c:pt idx="16">
                  <c:v>64</c:v>
                </c:pt>
                <c:pt idx="17">
                  <c:v>64</c:v>
                </c:pt>
                <c:pt idx="18">
                  <c:v>64</c:v>
                </c:pt>
                <c:pt idx="19">
                  <c:v>64</c:v>
                </c:pt>
                <c:pt idx="20">
                  <c:v>64</c:v>
                </c:pt>
                <c:pt idx="21">
                  <c:v>64</c:v>
                </c:pt>
                <c:pt idx="22">
                  <c:v>64</c:v>
                </c:pt>
                <c:pt idx="23">
                  <c:v>64</c:v>
                </c:pt>
                <c:pt idx="24">
                  <c:v>64</c:v>
                </c:pt>
                <c:pt idx="25">
                  <c:v>64</c:v>
                </c:pt>
                <c:pt idx="26">
                  <c:v>64</c:v>
                </c:pt>
                <c:pt idx="27">
                  <c:v>64</c:v>
                </c:pt>
                <c:pt idx="28">
                  <c:v>64</c:v>
                </c:pt>
                <c:pt idx="29">
                  <c:v>64</c:v>
                </c:pt>
              </c:numCache>
            </c:numRef>
          </c:yVal>
          <c:smooth val="1"/>
          <c:extLst>
            <c:ext xmlns:c16="http://schemas.microsoft.com/office/drawing/2014/chart" uri="{C3380CC4-5D6E-409C-BE32-E72D297353CC}">
              <c16:uniqueId val="{00000002-B452-4CDE-8185-D21D5562C2AF}"/>
            </c:ext>
          </c:extLst>
        </c:ser>
        <c:ser>
          <c:idx val="5"/>
          <c:order val="5"/>
          <c:spPr>
            <a:ln w="19050" cap="rnd">
              <a:solidFill>
                <a:schemeClr val="accent5"/>
              </a:solidFill>
              <a:prstDash val="sysDash"/>
              <a:round/>
            </a:ln>
            <a:effectLst/>
          </c:spPr>
          <c:marker>
            <c:symbol val="none"/>
          </c:marker>
          <c:xVal>
            <c:numRef>
              <c:f>'[1L-gcat-h - Parametric Study.xlsx]Recycle - Full'!$A$2:$A$31</c:f>
              <c:numCache>
                <c:formatCode>General</c:formatCode>
                <c:ptCount val="30"/>
                <c:pt idx="0">
                  <c:v>0</c:v>
                </c:pt>
                <c:pt idx="1">
                  <c:v>3.4479999999999997E-2</c:v>
                </c:pt>
                <c:pt idx="2">
                  <c:v>6.8970000000000004E-2</c:v>
                </c:pt>
                <c:pt idx="3">
                  <c:v>0.10340000000000001</c:v>
                </c:pt>
                <c:pt idx="4">
                  <c:v>0.13789999999999999</c:v>
                </c:pt>
                <c:pt idx="5">
                  <c:v>0.1724</c:v>
                </c:pt>
                <c:pt idx="6">
                  <c:v>0.2069</c:v>
                </c:pt>
                <c:pt idx="7">
                  <c:v>0.2414</c:v>
                </c:pt>
                <c:pt idx="8">
                  <c:v>0.27589999999999998</c:v>
                </c:pt>
                <c:pt idx="9">
                  <c:v>0.31030000000000002</c:v>
                </c:pt>
                <c:pt idx="10">
                  <c:v>0.3448</c:v>
                </c:pt>
                <c:pt idx="11">
                  <c:v>0.37930000000000003</c:v>
                </c:pt>
                <c:pt idx="12">
                  <c:v>0.4138</c:v>
                </c:pt>
                <c:pt idx="13">
                  <c:v>0.44829999999999998</c:v>
                </c:pt>
                <c:pt idx="14">
                  <c:v>0.48280000000000001</c:v>
                </c:pt>
                <c:pt idx="15">
                  <c:v>0.51719999999999999</c:v>
                </c:pt>
                <c:pt idx="16">
                  <c:v>0.55169999999999997</c:v>
                </c:pt>
                <c:pt idx="17">
                  <c:v>0.58620000000000005</c:v>
                </c:pt>
                <c:pt idx="18">
                  <c:v>0.62070000000000003</c:v>
                </c:pt>
                <c:pt idx="19">
                  <c:v>0.6552</c:v>
                </c:pt>
                <c:pt idx="20">
                  <c:v>0.68969999999999998</c:v>
                </c:pt>
                <c:pt idx="21">
                  <c:v>0.72409999999999997</c:v>
                </c:pt>
                <c:pt idx="22">
                  <c:v>0.75860000000000005</c:v>
                </c:pt>
                <c:pt idx="23">
                  <c:v>0.79310000000000003</c:v>
                </c:pt>
                <c:pt idx="24">
                  <c:v>0.8276</c:v>
                </c:pt>
                <c:pt idx="25">
                  <c:v>0.86209999999999998</c:v>
                </c:pt>
                <c:pt idx="26">
                  <c:v>0.89659999999999995</c:v>
                </c:pt>
                <c:pt idx="27">
                  <c:v>0.93100000000000005</c:v>
                </c:pt>
                <c:pt idx="28">
                  <c:v>0.96550000000000002</c:v>
                </c:pt>
                <c:pt idx="29">
                  <c:v>1</c:v>
                </c:pt>
              </c:numCache>
            </c:numRef>
          </c:xVal>
          <c:yVal>
            <c:numRef>
              <c:f>'[1L-gcat-h - Parametric Study.xlsx]Recycle - Full'!$K$2:$K$31</c:f>
              <c:numCache>
                <c:formatCode>General</c:formatCode>
                <c:ptCount val="30"/>
                <c:pt idx="0">
                  <c:v>17.829999999999998</c:v>
                </c:pt>
                <c:pt idx="1">
                  <c:v>17.829999999999998</c:v>
                </c:pt>
                <c:pt idx="2">
                  <c:v>17.829999999999998</c:v>
                </c:pt>
                <c:pt idx="3">
                  <c:v>17.829999999999998</c:v>
                </c:pt>
                <c:pt idx="4">
                  <c:v>17.829999999999998</c:v>
                </c:pt>
                <c:pt idx="5">
                  <c:v>17.829999999999998</c:v>
                </c:pt>
                <c:pt idx="6">
                  <c:v>17.829999999999998</c:v>
                </c:pt>
                <c:pt idx="7">
                  <c:v>17.829999999999998</c:v>
                </c:pt>
                <c:pt idx="8">
                  <c:v>17.829999999999998</c:v>
                </c:pt>
                <c:pt idx="9">
                  <c:v>17.829999999999998</c:v>
                </c:pt>
                <c:pt idx="10">
                  <c:v>17.829999999999998</c:v>
                </c:pt>
                <c:pt idx="11">
                  <c:v>17.829999999999998</c:v>
                </c:pt>
                <c:pt idx="12">
                  <c:v>17.829999999999998</c:v>
                </c:pt>
                <c:pt idx="13">
                  <c:v>17.829999999999998</c:v>
                </c:pt>
                <c:pt idx="14">
                  <c:v>17.829999999999998</c:v>
                </c:pt>
                <c:pt idx="15">
                  <c:v>17.829999999999998</c:v>
                </c:pt>
                <c:pt idx="16">
                  <c:v>17.829999999999998</c:v>
                </c:pt>
                <c:pt idx="17">
                  <c:v>17.829999999999998</c:v>
                </c:pt>
                <c:pt idx="18">
                  <c:v>17.829999999999998</c:v>
                </c:pt>
                <c:pt idx="19">
                  <c:v>17.829999999999998</c:v>
                </c:pt>
                <c:pt idx="20">
                  <c:v>17.829999999999998</c:v>
                </c:pt>
                <c:pt idx="21">
                  <c:v>17.829999999999998</c:v>
                </c:pt>
                <c:pt idx="22">
                  <c:v>17.829999999999998</c:v>
                </c:pt>
                <c:pt idx="23">
                  <c:v>17.829999999999998</c:v>
                </c:pt>
                <c:pt idx="24">
                  <c:v>17.829999999999998</c:v>
                </c:pt>
                <c:pt idx="25">
                  <c:v>17.829999999999998</c:v>
                </c:pt>
                <c:pt idx="26">
                  <c:v>17.829999999999998</c:v>
                </c:pt>
                <c:pt idx="27">
                  <c:v>17.829999999999998</c:v>
                </c:pt>
                <c:pt idx="28">
                  <c:v>17.829999999999998</c:v>
                </c:pt>
                <c:pt idx="29">
                  <c:v>17.829999999999998</c:v>
                </c:pt>
              </c:numCache>
            </c:numRef>
          </c:yVal>
          <c:smooth val="1"/>
          <c:extLst>
            <c:ext xmlns:c16="http://schemas.microsoft.com/office/drawing/2014/chart" uri="{C3380CC4-5D6E-409C-BE32-E72D297353CC}">
              <c16:uniqueId val="{00000003-B452-4CDE-8185-D21D5562C2AF}"/>
            </c:ext>
          </c:extLst>
        </c:ser>
        <c:ser>
          <c:idx val="1"/>
          <c:order val="6"/>
          <c:tx>
            <c:strRef>
              <c:f>'[1L-gcat-h - Parametric Study.xlsx]Recycle - Full'!$D$1</c:f>
              <c:strCache>
                <c:ptCount val="1"/>
                <c:pt idx="0">
                  <c:v>C2H4</c:v>
                </c:pt>
              </c:strCache>
            </c:strRef>
          </c:tx>
          <c:spPr>
            <a:ln w="19050" cap="rnd">
              <a:solidFill>
                <a:schemeClr val="accent6"/>
              </a:solidFill>
              <a:round/>
            </a:ln>
            <a:effectLst/>
          </c:spPr>
          <c:marker>
            <c:symbol val="none"/>
          </c:marker>
          <c:xVal>
            <c:numRef>
              <c:f>'[1L-gcat-h - Parametric Study.xlsx]Recycle - Full'!$A$2:$A$31</c:f>
              <c:numCache>
                <c:formatCode>General</c:formatCode>
                <c:ptCount val="30"/>
                <c:pt idx="0">
                  <c:v>0</c:v>
                </c:pt>
                <c:pt idx="1">
                  <c:v>3.4479999999999997E-2</c:v>
                </c:pt>
                <c:pt idx="2">
                  <c:v>6.8970000000000004E-2</c:v>
                </c:pt>
                <c:pt idx="3">
                  <c:v>0.10340000000000001</c:v>
                </c:pt>
                <c:pt idx="4">
                  <c:v>0.13789999999999999</c:v>
                </c:pt>
                <c:pt idx="5">
                  <c:v>0.1724</c:v>
                </c:pt>
                <c:pt idx="6">
                  <c:v>0.2069</c:v>
                </c:pt>
                <c:pt idx="7">
                  <c:v>0.2414</c:v>
                </c:pt>
                <c:pt idx="8">
                  <c:v>0.27589999999999998</c:v>
                </c:pt>
                <c:pt idx="9">
                  <c:v>0.31030000000000002</c:v>
                </c:pt>
                <c:pt idx="10">
                  <c:v>0.3448</c:v>
                </c:pt>
                <c:pt idx="11">
                  <c:v>0.37930000000000003</c:v>
                </c:pt>
                <c:pt idx="12">
                  <c:v>0.4138</c:v>
                </c:pt>
                <c:pt idx="13">
                  <c:v>0.44829999999999998</c:v>
                </c:pt>
                <c:pt idx="14">
                  <c:v>0.48280000000000001</c:v>
                </c:pt>
                <c:pt idx="15">
                  <c:v>0.51719999999999999</c:v>
                </c:pt>
                <c:pt idx="16">
                  <c:v>0.55169999999999997</c:v>
                </c:pt>
                <c:pt idx="17">
                  <c:v>0.58620000000000005</c:v>
                </c:pt>
                <c:pt idx="18">
                  <c:v>0.62070000000000003</c:v>
                </c:pt>
                <c:pt idx="19">
                  <c:v>0.6552</c:v>
                </c:pt>
                <c:pt idx="20">
                  <c:v>0.68969999999999998</c:v>
                </c:pt>
                <c:pt idx="21">
                  <c:v>0.72409999999999997</c:v>
                </c:pt>
                <c:pt idx="22">
                  <c:v>0.75860000000000005</c:v>
                </c:pt>
                <c:pt idx="23">
                  <c:v>0.79310000000000003</c:v>
                </c:pt>
                <c:pt idx="24">
                  <c:v>0.8276</c:v>
                </c:pt>
                <c:pt idx="25">
                  <c:v>0.86209999999999998</c:v>
                </c:pt>
                <c:pt idx="26">
                  <c:v>0.89659999999999995</c:v>
                </c:pt>
                <c:pt idx="27">
                  <c:v>0.93100000000000005</c:v>
                </c:pt>
                <c:pt idx="28">
                  <c:v>0.96550000000000002</c:v>
                </c:pt>
                <c:pt idx="29">
                  <c:v>1</c:v>
                </c:pt>
              </c:numCache>
            </c:numRef>
          </c:xVal>
          <c:yVal>
            <c:numRef>
              <c:f>'[1L-gcat-h - Parametric Study.xlsx]Recycle - Full'!$D$2:$D$31</c:f>
              <c:numCache>
                <c:formatCode>General</c:formatCode>
                <c:ptCount val="30"/>
                <c:pt idx="0">
                  <c:v>8.1329999999999991</c:v>
                </c:pt>
                <c:pt idx="1">
                  <c:v>7.8630000000000004</c:v>
                </c:pt>
                <c:pt idx="2">
                  <c:v>7.593</c:v>
                </c:pt>
                <c:pt idx="3">
                  <c:v>7.3230000000000004</c:v>
                </c:pt>
                <c:pt idx="4">
                  <c:v>7.0529999999999999</c:v>
                </c:pt>
                <c:pt idx="5">
                  <c:v>6.7830000000000004</c:v>
                </c:pt>
                <c:pt idx="6">
                  <c:v>6.5119999999999996</c:v>
                </c:pt>
                <c:pt idx="7">
                  <c:v>6.2409999999999997</c:v>
                </c:pt>
                <c:pt idx="8">
                  <c:v>5.97</c:v>
                </c:pt>
                <c:pt idx="9">
                  <c:v>5.6980000000000004</c:v>
                </c:pt>
                <c:pt idx="10">
                  <c:v>5.4260000000000002</c:v>
                </c:pt>
                <c:pt idx="11">
                  <c:v>5.1529999999999996</c:v>
                </c:pt>
                <c:pt idx="12">
                  <c:v>4.88</c:v>
                </c:pt>
                <c:pt idx="13">
                  <c:v>4.6059999999999999</c:v>
                </c:pt>
                <c:pt idx="14">
                  <c:v>4.3310000000000004</c:v>
                </c:pt>
                <c:pt idx="15">
                  <c:v>4.0549999999999997</c:v>
                </c:pt>
                <c:pt idx="16">
                  <c:v>3.778</c:v>
                </c:pt>
                <c:pt idx="17">
                  <c:v>3.5009999999999999</c:v>
                </c:pt>
                <c:pt idx="18">
                  <c:v>3.222</c:v>
                </c:pt>
                <c:pt idx="19">
                  <c:v>2.9420000000000002</c:v>
                </c:pt>
                <c:pt idx="20">
                  <c:v>2.66</c:v>
                </c:pt>
                <c:pt idx="21">
                  <c:v>2.3759999999999999</c:v>
                </c:pt>
                <c:pt idx="22">
                  <c:v>2.0910000000000002</c:v>
                </c:pt>
                <c:pt idx="23">
                  <c:v>1.8029999999999999</c:v>
                </c:pt>
                <c:pt idx="24">
                  <c:v>1.512</c:v>
                </c:pt>
                <c:pt idx="25">
                  <c:v>1.2190000000000001</c:v>
                </c:pt>
                <c:pt idx="26">
                  <c:v>0.9214</c:v>
                </c:pt>
                <c:pt idx="27">
                  <c:v>0.61970000000000003</c:v>
                </c:pt>
                <c:pt idx="28">
                  <c:v>0.313</c:v>
                </c:pt>
                <c:pt idx="29" formatCode="0.00E+00">
                  <c:v>-9.9519999999999991E-19</c:v>
                </c:pt>
              </c:numCache>
            </c:numRef>
          </c:yVal>
          <c:smooth val="1"/>
          <c:extLst>
            <c:ext xmlns:c16="http://schemas.microsoft.com/office/drawing/2014/chart" uri="{C3380CC4-5D6E-409C-BE32-E72D297353CC}">
              <c16:uniqueId val="{00000004-B452-4CDE-8185-D21D5562C2AF}"/>
            </c:ext>
          </c:extLst>
        </c:ser>
        <c:ser>
          <c:idx val="6"/>
          <c:order val="7"/>
          <c:spPr>
            <a:ln w="19050" cap="rnd">
              <a:solidFill>
                <a:schemeClr val="accent6"/>
              </a:solidFill>
              <a:prstDash val="sysDash"/>
              <a:round/>
            </a:ln>
            <a:effectLst/>
          </c:spPr>
          <c:marker>
            <c:symbol val="none"/>
          </c:marker>
          <c:xVal>
            <c:numRef>
              <c:f>'[1L-gcat-h - Parametric Study.xlsx]Recycle - Full'!$A$2:$A$31</c:f>
              <c:numCache>
                <c:formatCode>General</c:formatCode>
                <c:ptCount val="30"/>
                <c:pt idx="0">
                  <c:v>0</c:v>
                </c:pt>
                <c:pt idx="1">
                  <c:v>3.4479999999999997E-2</c:v>
                </c:pt>
                <c:pt idx="2">
                  <c:v>6.8970000000000004E-2</c:v>
                </c:pt>
                <c:pt idx="3">
                  <c:v>0.10340000000000001</c:v>
                </c:pt>
                <c:pt idx="4">
                  <c:v>0.13789999999999999</c:v>
                </c:pt>
                <c:pt idx="5">
                  <c:v>0.1724</c:v>
                </c:pt>
                <c:pt idx="6">
                  <c:v>0.2069</c:v>
                </c:pt>
                <c:pt idx="7">
                  <c:v>0.2414</c:v>
                </c:pt>
                <c:pt idx="8">
                  <c:v>0.27589999999999998</c:v>
                </c:pt>
                <c:pt idx="9">
                  <c:v>0.31030000000000002</c:v>
                </c:pt>
                <c:pt idx="10">
                  <c:v>0.3448</c:v>
                </c:pt>
                <c:pt idx="11">
                  <c:v>0.37930000000000003</c:v>
                </c:pt>
                <c:pt idx="12">
                  <c:v>0.4138</c:v>
                </c:pt>
                <c:pt idx="13">
                  <c:v>0.44829999999999998</c:v>
                </c:pt>
                <c:pt idx="14">
                  <c:v>0.48280000000000001</c:v>
                </c:pt>
                <c:pt idx="15">
                  <c:v>0.51719999999999999</c:v>
                </c:pt>
                <c:pt idx="16">
                  <c:v>0.55169999999999997</c:v>
                </c:pt>
                <c:pt idx="17">
                  <c:v>0.58620000000000005</c:v>
                </c:pt>
                <c:pt idx="18">
                  <c:v>0.62070000000000003</c:v>
                </c:pt>
                <c:pt idx="19">
                  <c:v>0.6552</c:v>
                </c:pt>
                <c:pt idx="20">
                  <c:v>0.68969999999999998</c:v>
                </c:pt>
                <c:pt idx="21">
                  <c:v>0.72409999999999997</c:v>
                </c:pt>
                <c:pt idx="22">
                  <c:v>0.75860000000000005</c:v>
                </c:pt>
                <c:pt idx="23">
                  <c:v>0.79310000000000003</c:v>
                </c:pt>
                <c:pt idx="24">
                  <c:v>0.8276</c:v>
                </c:pt>
                <c:pt idx="25">
                  <c:v>0.86209999999999998</c:v>
                </c:pt>
                <c:pt idx="26">
                  <c:v>0.89659999999999995</c:v>
                </c:pt>
                <c:pt idx="27">
                  <c:v>0.93100000000000005</c:v>
                </c:pt>
                <c:pt idx="28">
                  <c:v>0.96550000000000002</c:v>
                </c:pt>
                <c:pt idx="29">
                  <c:v>1</c:v>
                </c:pt>
              </c:numCache>
            </c:numRef>
          </c:xVal>
          <c:yVal>
            <c:numRef>
              <c:f>'[1L-gcat-h - Parametric Study.xlsx]Recycle - Full'!$L$2:$L$31</c:f>
              <c:numCache>
                <c:formatCode>General</c:formatCode>
                <c:ptCount val="30"/>
                <c:pt idx="0">
                  <c:v>8.1329999999999991</c:v>
                </c:pt>
                <c:pt idx="1">
                  <c:v>8.1329999999999991</c:v>
                </c:pt>
                <c:pt idx="2">
                  <c:v>8.1329999999999991</c:v>
                </c:pt>
                <c:pt idx="3">
                  <c:v>8.1329999999999991</c:v>
                </c:pt>
                <c:pt idx="4">
                  <c:v>8.1329999999999991</c:v>
                </c:pt>
                <c:pt idx="5">
                  <c:v>8.1329999999999991</c:v>
                </c:pt>
                <c:pt idx="6">
                  <c:v>8.1329999999999991</c:v>
                </c:pt>
                <c:pt idx="7">
                  <c:v>8.1329999999999991</c:v>
                </c:pt>
                <c:pt idx="8">
                  <c:v>8.1329999999999991</c:v>
                </c:pt>
                <c:pt idx="9">
                  <c:v>8.1329999999999991</c:v>
                </c:pt>
                <c:pt idx="10">
                  <c:v>8.1329999999999991</c:v>
                </c:pt>
                <c:pt idx="11">
                  <c:v>8.1329999999999991</c:v>
                </c:pt>
                <c:pt idx="12">
                  <c:v>8.1329999999999991</c:v>
                </c:pt>
                <c:pt idx="13">
                  <c:v>8.1329999999999991</c:v>
                </c:pt>
                <c:pt idx="14">
                  <c:v>8.1329999999999991</c:v>
                </c:pt>
                <c:pt idx="15">
                  <c:v>8.1329999999999991</c:v>
                </c:pt>
                <c:pt idx="16">
                  <c:v>8.1329999999999991</c:v>
                </c:pt>
                <c:pt idx="17">
                  <c:v>8.1329999999999991</c:v>
                </c:pt>
                <c:pt idx="18">
                  <c:v>8.1329999999999991</c:v>
                </c:pt>
                <c:pt idx="19">
                  <c:v>8.1329999999999991</c:v>
                </c:pt>
                <c:pt idx="20">
                  <c:v>8.1329999999999991</c:v>
                </c:pt>
                <c:pt idx="21">
                  <c:v>8.1329999999999991</c:v>
                </c:pt>
                <c:pt idx="22">
                  <c:v>8.1329999999999991</c:v>
                </c:pt>
                <c:pt idx="23">
                  <c:v>8.1329999999999991</c:v>
                </c:pt>
                <c:pt idx="24">
                  <c:v>8.1329999999999991</c:v>
                </c:pt>
                <c:pt idx="25">
                  <c:v>8.1329999999999991</c:v>
                </c:pt>
                <c:pt idx="26">
                  <c:v>8.1329999999999991</c:v>
                </c:pt>
                <c:pt idx="27">
                  <c:v>8.1329999999999991</c:v>
                </c:pt>
                <c:pt idx="28">
                  <c:v>8.1329999999999991</c:v>
                </c:pt>
                <c:pt idx="29">
                  <c:v>8.1329999999999991</c:v>
                </c:pt>
              </c:numCache>
            </c:numRef>
          </c:yVal>
          <c:smooth val="1"/>
          <c:extLst>
            <c:ext xmlns:c16="http://schemas.microsoft.com/office/drawing/2014/chart" uri="{C3380CC4-5D6E-409C-BE32-E72D297353CC}">
              <c16:uniqueId val="{00000005-B452-4CDE-8185-D21D5562C2AF}"/>
            </c:ext>
          </c:extLst>
        </c:ser>
        <c:ser>
          <c:idx val="8"/>
          <c:order val="8"/>
          <c:tx>
            <c:strRef>
              <c:f>'[1L-gcat-h - Parametric Study.xlsx]Recycle - Full'!$F$1</c:f>
              <c:strCache>
                <c:ptCount val="1"/>
                <c:pt idx="0">
                  <c:v>C7H8</c:v>
                </c:pt>
              </c:strCache>
            </c:strRef>
          </c:tx>
          <c:spPr>
            <a:ln w="19050" cap="rnd">
              <a:solidFill>
                <a:srgbClr val="FFC000"/>
              </a:solidFill>
              <a:round/>
            </a:ln>
            <a:effectLst/>
          </c:spPr>
          <c:marker>
            <c:symbol val="none"/>
          </c:marker>
          <c:xVal>
            <c:numRef>
              <c:f>'[1L-gcat-h - Parametric Study.xlsx]Recycle - Full'!$A$2:$A$31</c:f>
              <c:numCache>
                <c:formatCode>General</c:formatCode>
                <c:ptCount val="30"/>
                <c:pt idx="0">
                  <c:v>0</c:v>
                </c:pt>
                <c:pt idx="1">
                  <c:v>3.4479999999999997E-2</c:v>
                </c:pt>
                <c:pt idx="2">
                  <c:v>6.8970000000000004E-2</c:v>
                </c:pt>
                <c:pt idx="3">
                  <c:v>0.10340000000000001</c:v>
                </c:pt>
                <c:pt idx="4">
                  <c:v>0.13789999999999999</c:v>
                </c:pt>
                <c:pt idx="5">
                  <c:v>0.1724</c:v>
                </c:pt>
                <c:pt idx="6">
                  <c:v>0.2069</c:v>
                </c:pt>
                <c:pt idx="7">
                  <c:v>0.2414</c:v>
                </c:pt>
                <c:pt idx="8">
                  <c:v>0.27589999999999998</c:v>
                </c:pt>
                <c:pt idx="9">
                  <c:v>0.31030000000000002</c:v>
                </c:pt>
                <c:pt idx="10">
                  <c:v>0.3448</c:v>
                </c:pt>
                <c:pt idx="11">
                  <c:v>0.37930000000000003</c:v>
                </c:pt>
                <c:pt idx="12">
                  <c:v>0.4138</c:v>
                </c:pt>
                <c:pt idx="13">
                  <c:v>0.44829999999999998</c:v>
                </c:pt>
                <c:pt idx="14">
                  <c:v>0.48280000000000001</c:v>
                </c:pt>
                <c:pt idx="15">
                  <c:v>0.51719999999999999</c:v>
                </c:pt>
                <c:pt idx="16">
                  <c:v>0.55169999999999997</c:v>
                </c:pt>
                <c:pt idx="17">
                  <c:v>0.58620000000000005</c:v>
                </c:pt>
                <c:pt idx="18">
                  <c:v>0.62070000000000003</c:v>
                </c:pt>
                <c:pt idx="19">
                  <c:v>0.6552</c:v>
                </c:pt>
                <c:pt idx="20">
                  <c:v>0.68969999999999998</c:v>
                </c:pt>
                <c:pt idx="21">
                  <c:v>0.72409999999999997</c:v>
                </c:pt>
                <c:pt idx="22">
                  <c:v>0.75860000000000005</c:v>
                </c:pt>
                <c:pt idx="23">
                  <c:v>0.79310000000000003</c:v>
                </c:pt>
                <c:pt idx="24">
                  <c:v>0.8276</c:v>
                </c:pt>
                <c:pt idx="25">
                  <c:v>0.86209999999999998</c:v>
                </c:pt>
                <c:pt idx="26">
                  <c:v>0.89659999999999995</c:v>
                </c:pt>
                <c:pt idx="27">
                  <c:v>0.93100000000000005</c:v>
                </c:pt>
                <c:pt idx="28">
                  <c:v>0.96550000000000002</c:v>
                </c:pt>
                <c:pt idx="29">
                  <c:v>1</c:v>
                </c:pt>
              </c:numCache>
            </c:numRef>
          </c:xVal>
          <c:yVal>
            <c:numRef>
              <c:f>'[1L-gcat-h - Parametric Study.xlsx]Recycle - Full'!$F$2:$F$31</c:f>
              <c:numCache>
                <c:formatCode>General</c:formatCode>
                <c:ptCount val="30"/>
                <c:pt idx="0">
                  <c:v>9.4290000000000003</c:v>
                </c:pt>
                <c:pt idx="1">
                  <c:v>9.3490000000000002</c:v>
                </c:pt>
                <c:pt idx="2">
                  <c:v>9.266</c:v>
                </c:pt>
                <c:pt idx="3">
                  <c:v>9.1780000000000008</c:v>
                </c:pt>
                <c:pt idx="4">
                  <c:v>9.0850000000000009</c:v>
                </c:pt>
                <c:pt idx="5">
                  <c:v>8.9870000000000001</c:v>
                </c:pt>
                <c:pt idx="6">
                  <c:v>8.8849999999999998</c:v>
                </c:pt>
                <c:pt idx="7">
                  <c:v>8.7769999999999992</c:v>
                </c:pt>
                <c:pt idx="8">
                  <c:v>8.6649999999999991</c:v>
                </c:pt>
                <c:pt idx="9">
                  <c:v>8.5470000000000006</c:v>
                </c:pt>
                <c:pt idx="10">
                  <c:v>8.423</c:v>
                </c:pt>
                <c:pt idx="11">
                  <c:v>8.2940000000000005</c:v>
                </c:pt>
                <c:pt idx="12">
                  <c:v>8.16</c:v>
                </c:pt>
                <c:pt idx="13">
                  <c:v>8.02</c:v>
                </c:pt>
                <c:pt idx="14">
                  <c:v>7.8730000000000002</c:v>
                </c:pt>
                <c:pt idx="15">
                  <c:v>7.7210000000000001</c:v>
                </c:pt>
                <c:pt idx="16">
                  <c:v>7.5629999999999997</c:v>
                </c:pt>
                <c:pt idx="17">
                  <c:v>7.3979999999999997</c:v>
                </c:pt>
                <c:pt idx="18">
                  <c:v>7.2270000000000003</c:v>
                </c:pt>
                <c:pt idx="19">
                  <c:v>7.0490000000000004</c:v>
                </c:pt>
                <c:pt idx="20">
                  <c:v>6.8639999999999999</c:v>
                </c:pt>
                <c:pt idx="21">
                  <c:v>6.673</c:v>
                </c:pt>
                <c:pt idx="22">
                  <c:v>6.4749999999999996</c:v>
                </c:pt>
                <c:pt idx="23">
                  <c:v>6.27</c:v>
                </c:pt>
                <c:pt idx="24">
                  <c:v>6.0570000000000004</c:v>
                </c:pt>
                <c:pt idx="25">
                  <c:v>5.8380000000000001</c:v>
                </c:pt>
                <c:pt idx="26">
                  <c:v>5.6109999999999998</c:v>
                </c:pt>
                <c:pt idx="27">
                  <c:v>5.3769999999999998</c:v>
                </c:pt>
                <c:pt idx="28">
                  <c:v>5.1349999999999998</c:v>
                </c:pt>
                <c:pt idx="29">
                  <c:v>4.8849999999999998</c:v>
                </c:pt>
              </c:numCache>
            </c:numRef>
          </c:yVal>
          <c:smooth val="1"/>
          <c:extLst>
            <c:ext xmlns:c16="http://schemas.microsoft.com/office/drawing/2014/chart" uri="{C3380CC4-5D6E-409C-BE32-E72D297353CC}">
              <c16:uniqueId val="{00000006-B452-4CDE-8185-D21D5562C2AF}"/>
            </c:ext>
          </c:extLst>
        </c:ser>
        <c:ser>
          <c:idx val="9"/>
          <c:order val="9"/>
          <c:spPr>
            <a:ln w="19050" cap="rnd">
              <a:solidFill>
                <a:srgbClr val="FFC000"/>
              </a:solidFill>
              <a:prstDash val="sysDash"/>
              <a:round/>
            </a:ln>
            <a:effectLst/>
          </c:spPr>
          <c:marker>
            <c:symbol val="none"/>
          </c:marker>
          <c:xVal>
            <c:numRef>
              <c:f>'[1L-gcat-h - Parametric Study.xlsx]Recycle - Full'!$A$2:$A$31</c:f>
              <c:numCache>
                <c:formatCode>General</c:formatCode>
                <c:ptCount val="30"/>
                <c:pt idx="0">
                  <c:v>0</c:v>
                </c:pt>
                <c:pt idx="1">
                  <c:v>3.4479999999999997E-2</c:v>
                </c:pt>
                <c:pt idx="2">
                  <c:v>6.8970000000000004E-2</c:v>
                </c:pt>
                <c:pt idx="3">
                  <c:v>0.10340000000000001</c:v>
                </c:pt>
                <c:pt idx="4">
                  <c:v>0.13789999999999999</c:v>
                </c:pt>
                <c:pt idx="5">
                  <c:v>0.1724</c:v>
                </c:pt>
                <c:pt idx="6">
                  <c:v>0.2069</c:v>
                </c:pt>
                <c:pt idx="7">
                  <c:v>0.2414</c:v>
                </c:pt>
                <c:pt idx="8">
                  <c:v>0.27589999999999998</c:v>
                </c:pt>
                <c:pt idx="9">
                  <c:v>0.31030000000000002</c:v>
                </c:pt>
                <c:pt idx="10">
                  <c:v>0.3448</c:v>
                </c:pt>
                <c:pt idx="11">
                  <c:v>0.37930000000000003</c:v>
                </c:pt>
                <c:pt idx="12">
                  <c:v>0.4138</c:v>
                </c:pt>
                <c:pt idx="13">
                  <c:v>0.44829999999999998</c:v>
                </c:pt>
                <c:pt idx="14">
                  <c:v>0.48280000000000001</c:v>
                </c:pt>
                <c:pt idx="15">
                  <c:v>0.51719999999999999</c:v>
                </c:pt>
                <c:pt idx="16">
                  <c:v>0.55169999999999997</c:v>
                </c:pt>
                <c:pt idx="17">
                  <c:v>0.58620000000000005</c:v>
                </c:pt>
                <c:pt idx="18">
                  <c:v>0.62070000000000003</c:v>
                </c:pt>
                <c:pt idx="19">
                  <c:v>0.6552</c:v>
                </c:pt>
                <c:pt idx="20">
                  <c:v>0.68969999999999998</c:v>
                </c:pt>
                <c:pt idx="21">
                  <c:v>0.72409999999999997</c:v>
                </c:pt>
                <c:pt idx="22">
                  <c:v>0.75860000000000005</c:v>
                </c:pt>
                <c:pt idx="23">
                  <c:v>0.79310000000000003</c:v>
                </c:pt>
                <c:pt idx="24">
                  <c:v>0.8276</c:v>
                </c:pt>
                <c:pt idx="25">
                  <c:v>0.86209999999999998</c:v>
                </c:pt>
                <c:pt idx="26">
                  <c:v>0.89659999999999995</c:v>
                </c:pt>
                <c:pt idx="27">
                  <c:v>0.93100000000000005</c:v>
                </c:pt>
                <c:pt idx="28">
                  <c:v>0.96550000000000002</c:v>
                </c:pt>
                <c:pt idx="29">
                  <c:v>1</c:v>
                </c:pt>
              </c:numCache>
            </c:numRef>
          </c:xVal>
          <c:yVal>
            <c:numRef>
              <c:f>'[1L-gcat-h - Parametric Study.xlsx]Recycle - Full'!$M$2:$M$31</c:f>
              <c:numCache>
                <c:formatCode>General</c:formatCode>
                <c:ptCount val="30"/>
                <c:pt idx="0">
                  <c:v>9.5</c:v>
                </c:pt>
                <c:pt idx="1">
                  <c:v>9.5</c:v>
                </c:pt>
                <c:pt idx="2">
                  <c:v>9.5</c:v>
                </c:pt>
                <c:pt idx="3">
                  <c:v>9.5</c:v>
                </c:pt>
                <c:pt idx="4">
                  <c:v>9.5</c:v>
                </c:pt>
                <c:pt idx="5">
                  <c:v>9.5</c:v>
                </c:pt>
                <c:pt idx="6">
                  <c:v>9.5</c:v>
                </c:pt>
                <c:pt idx="7">
                  <c:v>9.5</c:v>
                </c:pt>
                <c:pt idx="8">
                  <c:v>9.5</c:v>
                </c:pt>
                <c:pt idx="9">
                  <c:v>9.5</c:v>
                </c:pt>
                <c:pt idx="10">
                  <c:v>9.5</c:v>
                </c:pt>
                <c:pt idx="11">
                  <c:v>9.5</c:v>
                </c:pt>
                <c:pt idx="12">
                  <c:v>9.5</c:v>
                </c:pt>
                <c:pt idx="13">
                  <c:v>9.5</c:v>
                </c:pt>
                <c:pt idx="14">
                  <c:v>9.5</c:v>
                </c:pt>
                <c:pt idx="15">
                  <c:v>9.5</c:v>
                </c:pt>
                <c:pt idx="16">
                  <c:v>9.5</c:v>
                </c:pt>
                <c:pt idx="17">
                  <c:v>9.5</c:v>
                </c:pt>
                <c:pt idx="18">
                  <c:v>9.5</c:v>
                </c:pt>
                <c:pt idx="19">
                  <c:v>9.5</c:v>
                </c:pt>
                <c:pt idx="20">
                  <c:v>9.5</c:v>
                </c:pt>
                <c:pt idx="21">
                  <c:v>9.5</c:v>
                </c:pt>
                <c:pt idx="22">
                  <c:v>9.5</c:v>
                </c:pt>
                <c:pt idx="23">
                  <c:v>9.5</c:v>
                </c:pt>
                <c:pt idx="24">
                  <c:v>9.5</c:v>
                </c:pt>
                <c:pt idx="25">
                  <c:v>9.5</c:v>
                </c:pt>
                <c:pt idx="26">
                  <c:v>9.5</c:v>
                </c:pt>
                <c:pt idx="27">
                  <c:v>9.5</c:v>
                </c:pt>
                <c:pt idx="28">
                  <c:v>9.5</c:v>
                </c:pt>
                <c:pt idx="29">
                  <c:v>9.5</c:v>
                </c:pt>
              </c:numCache>
            </c:numRef>
          </c:yVal>
          <c:smooth val="1"/>
          <c:extLst>
            <c:ext xmlns:c16="http://schemas.microsoft.com/office/drawing/2014/chart" uri="{C3380CC4-5D6E-409C-BE32-E72D297353CC}">
              <c16:uniqueId val="{00000007-B452-4CDE-8185-D21D5562C2AF}"/>
            </c:ext>
          </c:extLst>
        </c:ser>
        <c:dLbls>
          <c:showLegendKey val="0"/>
          <c:showVal val="0"/>
          <c:showCatName val="0"/>
          <c:showSerName val="0"/>
          <c:showPercent val="0"/>
          <c:showBubbleSize val="0"/>
        </c:dLbls>
        <c:axId val="1766384207"/>
        <c:axId val="1766384687"/>
      </c:scatterChart>
      <c:scatterChart>
        <c:scatterStyle val="smoothMarker"/>
        <c:varyColors val="0"/>
        <c:ser>
          <c:idx val="0"/>
          <c:order val="0"/>
          <c:tx>
            <c:strRef>
              <c:f>'[1L-gcat-h - Parametric Study.xlsx]Recycle - Full'!$B$1</c:f>
              <c:strCache>
                <c:ptCount val="1"/>
                <c:pt idx="0">
                  <c:v>Power Density</c:v>
                </c:pt>
              </c:strCache>
            </c:strRef>
          </c:tx>
          <c:spPr>
            <a:ln w="19050" cap="rnd">
              <a:solidFill>
                <a:sysClr val="windowText" lastClr="000000"/>
              </a:solidFill>
              <a:round/>
            </a:ln>
            <a:effectLst/>
          </c:spPr>
          <c:marker>
            <c:symbol val="none"/>
          </c:marker>
          <c:xVal>
            <c:numRef>
              <c:f>'[1L-gcat-h - Parametric Study.xlsx]Recycle - Full'!$A$2:$A$31</c:f>
              <c:numCache>
                <c:formatCode>General</c:formatCode>
                <c:ptCount val="30"/>
                <c:pt idx="0">
                  <c:v>0</c:v>
                </c:pt>
                <c:pt idx="1">
                  <c:v>3.4479999999999997E-2</c:v>
                </c:pt>
                <c:pt idx="2">
                  <c:v>6.8970000000000004E-2</c:v>
                </c:pt>
                <c:pt idx="3">
                  <c:v>0.10340000000000001</c:v>
                </c:pt>
                <c:pt idx="4">
                  <c:v>0.13789999999999999</c:v>
                </c:pt>
                <c:pt idx="5">
                  <c:v>0.1724</c:v>
                </c:pt>
                <c:pt idx="6">
                  <c:v>0.2069</c:v>
                </c:pt>
                <c:pt idx="7">
                  <c:v>0.2414</c:v>
                </c:pt>
                <c:pt idx="8">
                  <c:v>0.27589999999999998</c:v>
                </c:pt>
                <c:pt idx="9">
                  <c:v>0.31030000000000002</c:v>
                </c:pt>
                <c:pt idx="10">
                  <c:v>0.3448</c:v>
                </c:pt>
                <c:pt idx="11">
                  <c:v>0.37930000000000003</c:v>
                </c:pt>
                <c:pt idx="12">
                  <c:v>0.4138</c:v>
                </c:pt>
                <c:pt idx="13">
                  <c:v>0.44829999999999998</c:v>
                </c:pt>
                <c:pt idx="14">
                  <c:v>0.48280000000000001</c:v>
                </c:pt>
                <c:pt idx="15">
                  <c:v>0.51719999999999999</c:v>
                </c:pt>
                <c:pt idx="16">
                  <c:v>0.55169999999999997</c:v>
                </c:pt>
                <c:pt idx="17">
                  <c:v>0.58620000000000005</c:v>
                </c:pt>
                <c:pt idx="18">
                  <c:v>0.62070000000000003</c:v>
                </c:pt>
                <c:pt idx="19">
                  <c:v>0.6552</c:v>
                </c:pt>
                <c:pt idx="20">
                  <c:v>0.68969999999999998</c:v>
                </c:pt>
                <c:pt idx="21">
                  <c:v>0.72409999999999997</c:v>
                </c:pt>
                <c:pt idx="22">
                  <c:v>0.75860000000000005</c:v>
                </c:pt>
                <c:pt idx="23">
                  <c:v>0.79310000000000003</c:v>
                </c:pt>
                <c:pt idx="24">
                  <c:v>0.8276</c:v>
                </c:pt>
                <c:pt idx="25">
                  <c:v>0.86209999999999998</c:v>
                </c:pt>
                <c:pt idx="26">
                  <c:v>0.89659999999999995</c:v>
                </c:pt>
                <c:pt idx="27">
                  <c:v>0.93100000000000005</c:v>
                </c:pt>
                <c:pt idx="28">
                  <c:v>0.96550000000000002</c:v>
                </c:pt>
                <c:pt idx="29">
                  <c:v>1</c:v>
                </c:pt>
              </c:numCache>
            </c:numRef>
          </c:xVal>
          <c:yVal>
            <c:numRef>
              <c:f>'[1L-gcat-h - Parametric Study.xlsx]Recycle - Full'!$B$2:$B$31</c:f>
              <c:numCache>
                <c:formatCode>General</c:formatCode>
                <c:ptCount val="30"/>
                <c:pt idx="0">
                  <c:v>1.315E-2</c:v>
                </c:pt>
                <c:pt idx="1">
                  <c:v>1.316E-2</c:v>
                </c:pt>
                <c:pt idx="2">
                  <c:v>1.3180000000000001E-2</c:v>
                </c:pt>
                <c:pt idx="3">
                  <c:v>1.32E-2</c:v>
                </c:pt>
                <c:pt idx="4">
                  <c:v>1.3220000000000001E-2</c:v>
                </c:pt>
                <c:pt idx="5">
                  <c:v>1.323E-2</c:v>
                </c:pt>
                <c:pt idx="6">
                  <c:v>1.325E-2</c:v>
                </c:pt>
                <c:pt idx="7">
                  <c:v>1.3270000000000001E-2</c:v>
                </c:pt>
                <c:pt idx="8">
                  <c:v>1.329E-2</c:v>
                </c:pt>
                <c:pt idx="9">
                  <c:v>1.3310000000000001E-2</c:v>
                </c:pt>
                <c:pt idx="10">
                  <c:v>1.333E-2</c:v>
                </c:pt>
                <c:pt idx="11">
                  <c:v>1.3350000000000001E-2</c:v>
                </c:pt>
                <c:pt idx="12">
                  <c:v>1.337E-2</c:v>
                </c:pt>
                <c:pt idx="13">
                  <c:v>1.3390000000000001E-2</c:v>
                </c:pt>
                <c:pt idx="14">
                  <c:v>1.341E-2</c:v>
                </c:pt>
                <c:pt idx="15">
                  <c:v>1.3429999999999999E-2</c:v>
                </c:pt>
                <c:pt idx="16">
                  <c:v>1.346E-2</c:v>
                </c:pt>
                <c:pt idx="17">
                  <c:v>1.3480000000000001E-2</c:v>
                </c:pt>
                <c:pt idx="18">
                  <c:v>1.35E-2</c:v>
                </c:pt>
                <c:pt idx="19">
                  <c:v>1.353E-2</c:v>
                </c:pt>
                <c:pt idx="20">
                  <c:v>1.355E-2</c:v>
                </c:pt>
                <c:pt idx="21">
                  <c:v>1.358E-2</c:v>
                </c:pt>
                <c:pt idx="22">
                  <c:v>1.3599999999999999E-2</c:v>
                </c:pt>
                <c:pt idx="23">
                  <c:v>1.363E-2</c:v>
                </c:pt>
                <c:pt idx="24">
                  <c:v>1.366E-2</c:v>
                </c:pt>
                <c:pt idx="25">
                  <c:v>1.3690000000000001E-2</c:v>
                </c:pt>
                <c:pt idx="26">
                  <c:v>1.372E-2</c:v>
                </c:pt>
                <c:pt idx="27">
                  <c:v>1.376E-2</c:v>
                </c:pt>
                <c:pt idx="28">
                  <c:v>1.379E-2</c:v>
                </c:pt>
                <c:pt idx="29">
                  <c:v>1.383E-2</c:v>
                </c:pt>
              </c:numCache>
            </c:numRef>
          </c:yVal>
          <c:smooth val="1"/>
          <c:extLst>
            <c:ext xmlns:c16="http://schemas.microsoft.com/office/drawing/2014/chart" uri="{C3380CC4-5D6E-409C-BE32-E72D297353CC}">
              <c16:uniqueId val="{00000008-B452-4CDE-8185-D21D5562C2AF}"/>
            </c:ext>
          </c:extLst>
        </c:ser>
        <c:ser>
          <c:idx val="3"/>
          <c:order val="4"/>
          <c:spPr>
            <a:ln w="19050" cap="rnd">
              <a:solidFill>
                <a:sysClr val="windowText" lastClr="000000"/>
              </a:solidFill>
              <a:prstDash val="sysDash"/>
              <a:round/>
            </a:ln>
            <a:effectLst/>
          </c:spPr>
          <c:marker>
            <c:symbol val="none"/>
          </c:marker>
          <c:xVal>
            <c:numRef>
              <c:f>'[1L-gcat-h - Parametric Study.xlsx]Recycle - Full'!$A$2:$A$31</c:f>
              <c:numCache>
                <c:formatCode>General</c:formatCode>
                <c:ptCount val="30"/>
                <c:pt idx="0">
                  <c:v>0</c:v>
                </c:pt>
                <c:pt idx="1">
                  <c:v>3.4479999999999997E-2</c:v>
                </c:pt>
                <c:pt idx="2">
                  <c:v>6.8970000000000004E-2</c:v>
                </c:pt>
                <c:pt idx="3">
                  <c:v>0.10340000000000001</c:v>
                </c:pt>
                <c:pt idx="4">
                  <c:v>0.13789999999999999</c:v>
                </c:pt>
                <c:pt idx="5">
                  <c:v>0.1724</c:v>
                </c:pt>
                <c:pt idx="6">
                  <c:v>0.2069</c:v>
                </c:pt>
                <c:pt idx="7">
                  <c:v>0.2414</c:v>
                </c:pt>
                <c:pt idx="8">
                  <c:v>0.27589999999999998</c:v>
                </c:pt>
                <c:pt idx="9">
                  <c:v>0.31030000000000002</c:v>
                </c:pt>
                <c:pt idx="10">
                  <c:v>0.3448</c:v>
                </c:pt>
                <c:pt idx="11">
                  <c:v>0.37930000000000003</c:v>
                </c:pt>
                <c:pt idx="12">
                  <c:v>0.4138</c:v>
                </c:pt>
                <c:pt idx="13">
                  <c:v>0.44829999999999998</c:v>
                </c:pt>
                <c:pt idx="14">
                  <c:v>0.48280000000000001</c:v>
                </c:pt>
                <c:pt idx="15">
                  <c:v>0.51719999999999999</c:v>
                </c:pt>
                <c:pt idx="16">
                  <c:v>0.55169999999999997</c:v>
                </c:pt>
                <c:pt idx="17">
                  <c:v>0.58620000000000005</c:v>
                </c:pt>
                <c:pt idx="18">
                  <c:v>0.62070000000000003</c:v>
                </c:pt>
                <c:pt idx="19">
                  <c:v>0.6552</c:v>
                </c:pt>
                <c:pt idx="20">
                  <c:v>0.68969999999999998</c:v>
                </c:pt>
                <c:pt idx="21">
                  <c:v>0.72409999999999997</c:v>
                </c:pt>
                <c:pt idx="22">
                  <c:v>0.75860000000000005</c:v>
                </c:pt>
                <c:pt idx="23">
                  <c:v>0.79310000000000003</c:v>
                </c:pt>
                <c:pt idx="24">
                  <c:v>0.8276</c:v>
                </c:pt>
                <c:pt idx="25">
                  <c:v>0.86209999999999998</c:v>
                </c:pt>
                <c:pt idx="26">
                  <c:v>0.89659999999999995</c:v>
                </c:pt>
                <c:pt idx="27">
                  <c:v>0.93100000000000005</c:v>
                </c:pt>
                <c:pt idx="28">
                  <c:v>0.96550000000000002</c:v>
                </c:pt>
                <c:pt idx="29">
                  <c:v>1</c:v>
                </c:pt>
              </c:numCache>
            </c:numRef>
          </c:xVal>
          <c:yVal>
            <c:numRef>
              <c:f>'[1L-gcat-h - Parametric Study.xlsx]Recycle - Full'!$J$2:$J$31</c:f>
              <c:numCache>
                <c:formatCode>General</c:formatCode>
                <c:ptCount val="30"/>
                <c:pt idx="0">
                  <c:v>1.315E-2</c:v>
                </c:pt>
                <c:pt idx="1">
                  <c:v>1.315E-2</c:v>
                </c:pt>
                <c:pt idx="2">
                  <c:v>1.315E-2</c:v>
                </c:pt>
                <c:pt idx="3">
                  <c:v>1.315E-2</c:v>
                </c:pt>
                <c:pt idx="4">
                  <c:v>1.315E-2</c:v>
                </c:pt>
                <c:pt idx="5">
                  <c:v>1.315E-2</c:v>
                </c:pt>
                <c:pt idx="6">
                  <c:v>1.315E-2</c:v>
                </c:pt>
                <c:pt idx="7">
                  <c:v>1.315E-2</c:v>
                </c:pt>
                <c:pt idx="8">
                  <c:v>1.315E-2</c:v>
                </c:pt>
                <c:pt idx="9">
                  <c:v>1.315E-2</c:v>
                </c:pt>
                <c:pt idx="10">
                  <c:v>1.315E-2</c:v>
                </c:pt>
                <c:pt idx="11">
                  <c:v>1.315E-2</c:v>
                </c:pt>
                <c:pt idx="12">
                  <c:v>1.315E-2</c:v>
                </c:pt>
                <c:pt idx="13">
                  <c:v>1.315E-2</c:v>
                </c:pt>
                <c:pt idx="14">
                  <c:v>1.315E-2</c:v>
                </c:pt>
                <c:pt idx="15">
                  <c:v>1.315E-2</c:v>
                </c:pt>
                <c:pt idx="16">
                  <c:v>1.315E-2</c:v>
                </c:pt>
                <c:pt idx="17">
                  <c:v>1.315E-2</c:v>
                </c:pt>
                <c:pt idx="18">
                  <c:v>1.315E-2</c:v>
                </c:pt>
                <c:pt idx="19">
                  <c:v>1.315E-2</c:v>
                </c:pt>
                <c:pt idx="20">
                  <c:v>1.315E-2</c:v>
                </c:pt>
                <c:pt idx="21">
                  <c:v>1.315E-2</c:v>
                </c:pt>
                <c:pt idx="22">
                  <c:v>1.315E-2</c:v>
                </c:pt>
                <c:pt idx="23">
                  <c:v>1.315E-2</c:v>
                </c:pt>
                <c:pt idx="24">
                  <c:v>1.315E-2</c:v>
                </c:pt>
                <c:pt idx="25">
                  <c:v>1.315E-2</c:v>
                </c:pt>
                <c:pt idx="26">
                  <c:v>1.315E-2</c:v>
                </c:pt>
                <c:pt idx="27">
                  <c:v>1.315E-2</c:v>
                </c:pt>
                <c:pt idx="28">
                  <c:v>1.315E-2</c:v>
                </c:pt>
                <c:pt idx="29">
                  <c:v>1.315E-2</c:v>
                </c:pt>
              </c:numCache>
            </c:numRef>
          </c:yVal>
          <c:smooth val="1"/>
          <c:extLst>
            <c:ext xmlns:c16="http://schemas.microsoft.com/office/drawing/2014/chart" uri="{C3380CC4-5D6E-409C-BE32-E72D297353CC}">
              <c16:uniqueId val="{00000009-B452-4CDE-8185-D21D5562C2AF}"/>
            </c:ext>
          </c:extLst>
        </c:ser>
        <c:dLbls>
          <c:showLegendKey val="0"/>
          <c:showVal val="0"/>
          <c:showCatName val="0"/>
          <c:showSerName val="0"/>
          <c:showPercent val="0"/>
          <c:showBubbleSize val="0"/>
        </c:dLbls>
        <c:axId val="613203727"/>
        <c:axId val="613201327"/>
      </c:scatterChart>
      <c:valAx>
        <c:axId val="1766384207"/>
        <c:scaling>
          <c:orientation val="minMax"/>
          <c:max val="1"/>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of H</a:t>
                </a:r>
                <a:r>
                  <a:rPr lang="en-US" baseline="-25000"/>
                  <a:t>2</a:t>
                </a:r>
                <a:r>
                  <a:rPr lang="en-US" baseline="0"/>
                  <a:t> and C</a:t>
                </a:r>
                <a:r>
                  <a:rPr lang="en-US" baseline="-25000"/>
                  <a:t>2</a:t>
                </a:r>
                <a:r>
                  <a:rPr lang="en-US" baseline="0"/>
                  <a:t>H</a:t>
                </a:r>
                <a:r>
                  <a:rPr lang="en-US" baseline="-25000"/>
                  <a:t>4</a:t>
                </a:r>
                <a:r>
                  <a:rPr lang="en-US" baseline="0"/>
                  <a:t> Recycled</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6384687"/>
        <c:crosses val="autoZero"/>
        <c:crossBetween val="midCat"/>
      </c:valAx>
      <c:valAx>
        <c:axId val="1766384687"/>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Selectivity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6384207"/>
        <c:crosses val="autoZero"/>
        <c:crossBetween val="midCat"/>
      </c:valAx>
      <c:valAx>
        <c:axId val="613201327"/>
        <c:scaling>
          <c:orientation val="minMax"/>
          <c:max val="2.0000000000000004E-2"/>
          <c:min val="7.5000000000000023E-3"/>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Power Density (Wcm</a:t>
                </a:r>
                <a:r>
                  <a:rPr lang="en-US" baseline="30000"/>
                  <a:t>-2</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3203727"/>
        <c:crosses val="max"/>
        <c:crossBetween val="midCat"/>
      </c:valAx>
      <c:valAx>
        <c:axId val="613203727"/>
        <c:scaling>
          <c:orientation val="minMax"/>
        </c:scaling>
        <c:delete val="1"/>
        <c:axPos val="b"/>
        <c:numFmt formatCode="General" sourceLinked="1"/>
        <c:majorTickMark val="out"/>
        <c:minorTickMark val="none"/>
        <c:tickLblPos val="nextTo"/>
        <c:crossAx val="613201327"/>
        <c:crosses val="autoZero"/>
        <c:crossBetween val="midCat"/>
      </c:valAx>
      <c:spPr>
        <a:noFill/>
        <a:ln>
          <a:noFill/>
        </a:ln>
        <a:effectLst/>
      </c:spPr>
    </c:plotArea>
    <c:legend>
      <c:legendPos val="b"/>
      <c:legendEntry>
        <c:idx val="2"/>
        <c:delete val="1"/>
      </c:legendEntry>
      <c:legendEntry>
        <c:idx val="3"/>
        <c:delete val="1"/>
      </c:legendEntry>
      <c:legendEntry>
        <c:idx val="5"/>
        <c:delete val="1"/>
      </c:legendEntry>
      <c:legendEntry>
        <c:idx val="7"/>
        <c:delete val="1"/>
      </c:legendEntry>
      <c:legendEntry>
        <c:idx val="9"/>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'[1L-gcat-h - Parametric Study.xlsx]Recycle - Full'!$P$29</c:f>
              <c:strCache>
                <c:ptCount val="1"/>
                <c:pt idx="0">
                  <c:v>No recycle</c:v>
                </c:pt>
              </c:strCache>
            </c:strRef>
          </c:tx>
          <c:spPr>
            <a:solidFill>
              <a:schemeClr val="accent6"/>
            </a:solidFill>
            <a:ln>
              <a:noFill/>
            </a:ln>
            <a:effectLst/>
          </c:spPr>
          <c:invertIfNegative val="0"/>
          <c:cat>
            <c:strRef>
              <c:f>'[1L-gcat-h - Parametric Study.xlsx]Recycle - Full'!$O$31:$O$34</c:f>
              <c:strCache>
                <c:ptCount val="4"/>
                <c:pt idx="0">
                  <c:v>C2H4</c:v>
                </c:pt>
                <c:pt idx="1">
                  <c:v>C6H6</c:v>
                </c:pt>
                <c:pt idx="2">
                  <c:v>C7H8</c:v>
                </c:pt>
                <c:pt idx="3">
                  <c:v>Emissions</c:v>
                </c:pt>
              </c:strCache>
            </c:strRef>
          </c:cat>
          <c:val>
            <c:numRef>
              <c:f>'[1L-gcat-h - Parametric Study.xlsx]Recycle - Full'!$P$31:$P$34</c:f>
              <c:numCache>
                <c:formatCode>General</c:formatCode>
                <c:ptCount val="4"/>
                <c:pt idx="0">
                  <c:v>8.1329999999999991</c:v>
                </c:pt>
                <c:pt idx="1">
                  <c:v>64.599999999999994</c:v>
                </c:pt>
                <c:pt idx="2">
                  <c:v>9.4290000000000003</c:v>
                </c:pt>
                <c:pt idx="3">
                  <c:v>17.829999999999998</c:v>
                </c:pt>
              </c:numCache>
            </c:numRef>
          </c:val>
          <c:extLst>
            <c:ext xmlns:c16="http://schemas.microsoft.com/office/drawing/2014/chart" uri="{C3380CC4-5D6E-409C-BE32-E72D297353CC}">
              <c16:uniqueId val="{00000000-8C29-4BAA-8783-83819B67BA93}"/>
            </c:ext>
          </c:extLst>
        </c:ser>
        <c:ser>
          <c:idx val="1"/>
          <c:order val="1"/>
          <c:tx>
            <c:strRef>
              <c:f>'[1L-gcat-h - Parametric Study.xlsx]Recycle - Full'!$Q$29</c:f>
              <c:strCache>
                <c:ptCount val="1"/>
                <c:pt idx="0">
                  <c:v>H2 Recycle</c:v>
                </c:pt>
              </c:strCache>
            </c:strRef>
          </c:tx>
          <c:spPr>
            <a:solidFill>
              <a:schemeClr val="accent5"/>
            </a:solidFill>
            <a:ln>
              <a:noFill/>
            </a:ln>
            <a:effectLst/>
          </c:spPr>
          <c:invertIfNegative val="0"/>
          <c:cat>
            <c:strRef>
              <c:f>'[1L-gcat-h - Parametric Study.xlsx]Recycle - Full'!$O$31:$O$34</c:f>
              <c:strCache>
                <c:ptCount val="4"/>
                <c:pt idx="0">
                  <c:v>C2H4</c:v>
                </c:pt>
                <c:pt idx="1">
                  <c:v>C6H6</c:v>
                </c:pt>
                <c:pt idx="2">
                  <c:v>C7H8</c:v>
                </c:pt>
                <c:pt idx="3">
                  <c:v>Emissions</c:v>
                </c:pt>
              </c:strCache>
            </c:strRef>
          </c:cat>
          <c:val>
            <c:numRef>
              <c:f>'[1L-gcat-h - Parametric Study.xlsx]Recycle - Full'!$Q$31:$Q$34</c:f>
              <c:numCache>
                <c:formatCode>General</c:formatCode>
                <c:ptCount val="4"/>
                <c:pt idx="0">
                  <c:v>9.0559999999999992</c:v>
                </c:pt>
                <c:pt idx="1">
                  <c:v>67.52</c:v>
                </c:pt>
                <c:pt idx="2">
                  <c:v>4.7569999999999997</c:v>
                </c:pt>
                <c:pt idx="3">
                  <c:v>18.670000000000002</c:v>
                </c:pt>
              </c:numCache>
            </c:numRef>
          </c:val>
          <c:extLst>
            <c:ext xmlns:c16="http://schemas.microsoft.com/office/drawing/2014/chart" uri="{C3380CC4-5D6E-409C-BE32-E72D297353CC}">
              <c16:uniqueId val="{00000001-8C29-4BAA-8783-83819B67BA93}"/>
            </c:ext>
          </c:extLst>
        </c:ser>
        <c:ser>
          <c:idx val="2"/>
          <c:order val="2"/>
          <c:tx>
            <c:strRef>
              <c:f>'[1L-gcat-h - Parametric Study.xlsx]Recycle - Full'!$R$29</c:f>
              <c:strCache>
                <c:ptCount val="1"/>
                <c:pt idx="0">
                  <c:v>C2H4 Recycle</c:v>
                </c:pt>
              </c:strCache>
            </c:strRef>
          </c:tx>
          <c:spPr>
            <a:solidFill>
              <a:schemeClr val="accent4"/>
            </a:solidFill>
            <a:ln>
              <a:noFill/>
            </a:ln>
            <a:effectLst/>
          </c:spPr>
          <c:invertIfNegative val="0"/>
          <c:cat>
            <c:strRef>
              <c:f>'[1L-gcat-h - Parametric Study.xlsx]Recycle - Full'!$O$31:$O$34</c:f>
              <c:strCache>
                <c:ptCount val="4"/>
                <c:pt idx="0">
                  <c:v>C2H4</c:v>
                </c:pt>
                <c:pt idx="1">
                  <c:v>C6H6</c:v>
                </c:pt>
                <c:pt idx="2">
                  <c:v>C7H8</c:v>
                </c:pt>
                <c:pt idx="3">
                  <c:v>Emissions</c:v>
                </c:pt>
              </c:strCache>
            </c:strRef>
          </c:cat>
          <c:val>
            <c:numRef>
              <c:f>'[1L-gcat-h - Parametric Study.xlsx]Recycle - Full'!$R$31:$R$34</c:f>
              <c:numCache>
                <c:formatCode>General</c:formatCode>
                <c:ptCount val="4"/>
                <c:pt idx="0" formatCode="0.00E+00">
                  <c:v>-9.9519999999999991E-19</c:v>
                </c:pt>
                <c:pt idx="1">
                  <c:v>71.98</c:v>
                </c:pt>
                <c:pt idx="2">
                  <c:v>10.16</c:v>
                </c:pt>
                <c:pt idx="3">
                  <c:v>17.86</c:v>
                </c:pt>
              </c:numCache>
            </c:numRef>
          </c:val>
          <c:extLst>
            <c:ext xmlns:c16="http://schemas.microsoft.com/office/drawing/2014/chart" uri="{C3380CC4-5D6E-409C-BE32-E72D297353CC}">
              <c16:uniqueId val="{00000002-8C29-4BAA-8783-83819B67BA93}"/>
            </c:ext>
          </c:extLst>
        </c:ser>
        <c:ser>
          <c:idx val="3"/>
          <c:order val="3"/>
          <c:tx>
            <c:strRef>
              <c:f>'[1L-gcat-h - Parametric Study.xlsx]Recycle - Full'!$S$29</c:f>
              <c:strCache>
                <c:ptCount val="1"/>
                <c:pt idx="0">
                  <c:v>Full Recycle</c:v>
                </c:pt>
              </c:strCache>
            </c:strRef>
          </c:tx>
          <c:spPr>
            <a:solidFill>
              <a:schemeClr val="accent6">
                <a:lumMod val="60000"/>
              </a:schemeClr>
            </a:solidFill>
            <a:ln>
              <a:noFill/>
            </a:ln>
            <a:effectLst/>
          </c:spPr>
          <c:invertIfNegative val="0"/>
          <c:cat>
            <c:strRef>
              <c:f>'[1L-gcat-h - Parametric Study.xlsx]Recycle - Full'!$O$31:$O$34</c:f>
              <c:strCache>
                <c:ptCount val="4"/>
                <c:pt idx="0">
                  <c:v>C2H4</c:v>
                </c:pt>
                <c:pt idx="1">
                  <c:v>C6H6</c:v>
                </c:pt>
                <c:pt idx="2">
                  <c:v>C7H8</c:v>
                </c:pt>
                <c:pt idx="3">
                  <c:v>Emissions</c:v>
                </c:pt>
              </c:strCache>
            </c:strRef>
          </c:cat>
          <c:val>
            <c:numRef>
              <c:f>'[1L-gcat-h - Parametric Study.xlsx]Recycle - Full'!$S$31:$S$34</c:f>
              <c:numCache>
                <c:formatCode>General</c:formatCode>
                <c:ptCount val="4"/>
                <c:pt idx="0" formatCode="0.00E+00">
                  <c:v>-8.7990000000000003E-19</c:v>
                </c:pt>
                <c:pt idx="1">
                  <c:v>76.290000000000006</c:v>
                </c:pt>
                <c:pt idx="2">
                  <c:v>4.8849999999999998</c:v>
                </c:pt>
                <c:pt idx="3">
                  <c:v>18.82</c:v>
                </c:pt>
              </c:numCache>
            </c:numRef>
          </c:val>
          <c:extLst>
            <c:ext xmlns:c16="http://schemas.microsoft.com/office/drawing/2014/chart" uri="{C3380CC4-5D6E-409C-BE32-E72D297353CC}">
              <c16:uniqueId val="{00000003-8C29-4BAA-8783-83819B67BA93}"/>
            </c:ext>
          </c:extLst>
        </c:ser>
        <c:dLbls>
          <c:showLegendKey val="0"/>
          <c:showVal val="0"/>
          <c:showCatName val="0"/>
          <c:showSerName val="0"/>
          <c:showPercent val="0"/>
          <c:showBubbleSize val="0"/>
        </c:dLbls>
        <c:gapWidth val="219"/>
        <c:overlap val="-27"/>
        <c:axId val="1773548127"/>
        <c:axId val="834214095"/>
      </c:barChart>
      <c:catAx>
        <c:axId val="1773548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4214095"/>
        <c:crosses val="autoZero"/>
        <c:auto val="1"/>
        <c:lblAlgn val="ctr"/>
        <c:lblOffset val="100"/>
        <c:noMultiLvlLbl val="0"/>
      </c:catAx>
      <c:valAx>
        <c:axId val="834214095"/>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Selectivity</a:t>
                </a:r>
                <a:r>
                  <a:rPr lang="en-US" baseline="0"/>
                  <a:t>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ysClr val="windowText" lastClr="000000">
                <a:lumMod val="50000"/>
                <a:lumOff val="50000"/>
              </a:sys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3548127"/>
        <c:crosses val="autoZero"/>
        <c:crossBetween val="between"/>
      </c:valAx>
      <c:spPr>
        <a:noFill/>
        <a:ln>
          <a:noFill/>
        </a:ln>
        <a:effectLst/>
      </c:spPr>
    </c:plotArea>
    <c:legend>
      <c:legendPos val="b"/>
      <c:layout>
        <c:manualLayout>
          <c:xMode val="edge"/>
          <c:yMode val="edge"/>
          <c:x val="9.1640559296109245E-2"/>
          <c:y val="0.87904275305371204"/>
          <c:w val="0.89999983606046741"/>
          <c:h val="9.331002549204435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738071354383971"/>
          <c:y val="7.3725014403952127E-2"/>
          <c:w val="0.65082690481051775"/>
          <c:h val="0.72355775295529934"/>
        </c:manualLayout>
      </c:layout>
      <c:barChart>
        <c:barDir val="col"/>
        <c:grouping val="clustered"/>
        <c:varyColors val="0"/>
        <c:ser>
          <c:idx val="0"/>
          <c:order val="0"/>
          <c:tx>
            <c:strRef>
              <c:f>'[1L-gcat-h - Parametric Study.xlsx]Recycle - Full'!$O$30</c:f>
              <c:strCache>
                <c:ptCount val="1"/>
                <c:pt idx="0">
                  <c:v>Power Density</c:v>
                </c:pt>
              </c:strCache>
            </c:strRef>
          </c:tx>
          <c:spPr>
            <a:solidFill>
              <a:schemeClr val="accent6"/>
            </a:solidFill>
            <a:ln>
              <a:noFill/>
            </a:ln>
            <a:effectLst/>
          </c:spPr>
          <c:invertIfNegative val="0"/>
          <c:dPt>
            <c:idx val="1"/>
            <c:invertIfNegative val="0"/>
            <c:bubble3D val="0"/>
            <c:spPr>
              <a:solidFill>
                <a:srgbClr val="0070C0"/>
              </a:solidFill>
              <a:ln>
                <a:noFill/>
              </a:ln>
              <a:effectLst/>
            </c:spPr>
            <c:extLst>
              <c:ext xmlns:c16="http://schemas.microsoft.com/office/drawing/2014/chart" uri="{C3380CC4-5D6E-409C-BE32-E72D297353CC}">
                <c16:uniqueId val="{00000001-C4AA-429D-8FAB-F698218D7DA4}"/>
              </c:ext>
            </c:extLst>
          </c:dPt>
          <c:dPt>
            <c:idx val="2"/>
            <c:invertIfNegative val="0"/>
            <c:bubble3D val="0"/>
            <c:spPr>
              <a:solidFill>
                <a:srgbClr val="FFC000"/>
              </a:solidFill>
              <a:ln>
                <a:solidFill>
                  <a:srgbClr val="FFC000"/>
                </a:solidFill>
              </a:ln>
              <a:effectLst/>
            </c:spPr>
            <c:extLst>
              <c:ext xmlns:c16="http://schemas.microsoft.com/office/drawing/2014/chart" uri="{C3380CC4-5D6E-409C-BE32-E72D297353CC}">
                <c16:uniqueId val="{00000003-C4AA-429D-8FAB-F698218D7DA4}"/>
              </c:ext>
            </c:extLst>
          </c:dPt>
          <c:dPt>
            <c:idx val="3"/>
            <c:invertIfNegative val="0"/>
            <c:bubble3D val="0"/>
            <c:spPr>
              <a:solidFill>
                <a:schemeClr val="accent3"/>
              </a:solidFill>
              <a:ln>
                <a:noFill/>
              </a:ln>
              <a:effectLst/>
            </c:spPr>
            <c:extLst>
              <c:ext xmlns:c16="http://schemas.microsoft.com/office/drawing/2014/chart" uri="{C3380CC4-5D6E-409C-BE32-E72D297353CC}">
                <c16:uniqueId val="{00000005-C4AA-429D-8FAB-F698218D7DA4}"/>
              </c:ext>
            </c:extLst>
          </c:dPt>
          <c:cat>
            <c:strRef>
              <c:f>'[1L-gcat-h - Parametric Study.xlsx]Recycle - Full'!$P$29:$S$29</c:f>
              <c:strCache>
                <c:ptCount val="4"/>
                <c:pt idx="0">
                  <c:v>No recycle</c:v>
                </c:pt>
                <c:pt idx="1">
                  <c:v>H2 Recycle</c:v>
                </c:pt>
                <c:pt idx="2">
                  <c:v>C2H4 Recycle</c:v>
                </c:pt>
                <c:pt idx="3">
                  <c:v>Full Recycle</c:v>
                </c:pt>
              </c:strCache>
            </c:strRef>
          </c:cat>
          <c:val>
            <c:numRef>
              <c:f>'[1L-gcat-h - Parametric Study.xlsx]Recycle - Full'!$P$30:$S$30</c:f>
              <c:numCache>
                <c:formatCode>General</c:formatCode>
                <c:ptCount val="4"/>
                <c:pt idx="0">
                  <c:v>1.315E-2</c:v>
                </c:pt>
                <c:pt idx="1">
                  <c:v>1.375E-2</c:v>
                </c:pt>
                <c:pt idx="2">
                  <c:v>1.323E-2</c:v>
                </c:pt>
                <c:pt idx="3">
                  <c:v>1.383E-2</c:v>
                </c:pt>
              </c:numCache>
            </c:numRef>
          </c:val>
          <c:extLst>
            <c:ext xmlns:c16="http://schemas.microsoft.com/office/drawing/2014/chart" uri="{C3380CC4-5D6E-409C-BE32-E72D297353CC}">
              <c16:uniqueId val="{00000006-C4AA-429D-8FAB-F698218D7DA4}"/>
            </c:ext>
          </c:extLst>
        </c:ser>
        <c:dLbls>
          <c:showLegendKey val="0"/>
          <c:showVal val="0"/>
          <c:showCatName val="0"/>
          <c:showSerName val="0"/>
          <c:showPercent val="0"/>
          <c:showBubbleSize val="0"/>
        </c:dLbls>
        <c:gapWidth val="219"/>
        <c:overlap val="-27"/>
        <c:axId val="1754319807"/>
        <c:axId val="1754314047"/>
      </c:barChart>
      <c:catAx>
        <c:axId val="1754319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4314047"/>
        <c:crosses val="autoZero"/>
        <c:auto val="1"/>
        <c:lblAlgn val="ctr"/>
        <c:lblOffset val="100"/>
        <c:noMultiLvlLbl val="0"/>
      </c:catAx>
      <c:valAx>
        <c:axId val="175431404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Power</a:t>
                </a:r>
                <a:r>
                  <a:rPr lang="en-US" baseline="0"/>
                  <a:t> Density (W/cm2)</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431980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732910454445524"/>
          <c:y val="0.10583184897870851"/>
          <c:w val="0.61055069253882044"/>
          <c:h val="0.56396347655274592"/>
        </c:manualLayout>
      </c:layout>
      <c:barChart>
        <c:barDir val="col"/>
        <c:grouping val="clustered"/>
        <c:varyColors val="0"/>
        <c:ser>
          <c:idx val="0"/>
          <c:order val="0"/>
          <c:tx>
            <c:strRef>
              <c:f>'Standard Plants'!$T$47</c:f>
              <c:strCache>
                <c:ptCount val="1"/>
                <c:pt idx="0">
                  <c:v>Power Capacity (MW)</c:v>
                </c:pt>
              </c:strCache>
            </c:strRef>
          </c:tx>
          <c:spPr>
            <a:solidFill>
              <a:schemeClr val="accent1"/>
            </a:solidFill>
            <a:ln>
              <a:noFill/>
            </a:ln>
            <a:effectLst/>
          </c:spPr>
          <c:invertIfNegative val="0"/>
          <c:dLbls>
            <c:dLbl>
              <c:idx val="0"/>
              <c:layout>
                <c:manualLayout>
                  <c:x val="-1.6905901116427431E-2"/>
                  <c:y val="3.7326247274059032E-2"/>
                </c:manualLayout>
              </c:layout>
              <c:numFmt formatCode="#,##0\ &quot;MW&quot;" sourceLinked="0"/>
              <c:spPr>
                <a:noFill/>
                <a:ln>
                  <a:noFill/>
                </a:ln>
                <a:effectLst/>
              </c:spPr>
              <c:txPr>
                <a:bodyPr rot="0" spcFirstLastPara="1" vertOverflow="overflow" horzOverflow="overflow"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0.14846322040685903"/>
                      <c:h val="0.10396575322777153"/>
                    </c:manualLayout>
                  </c15:layout>
                </c:ext>
                <c:ext xmlns:c16="http://schemas.microsoft.com/office/drawing/2014/chart" uri="{C3380CC4-5D6E-409C-BE32-E72D297353CC}">
                  <c16:uniqueId val="{00000000-983B-4EB3-A571-B257AC9552DF}"/>
                </c:ext>
              </c:extLst>
            </c:dLbl>
            <c:dLbl>
              <c:idx val="1"/>
              <c:layout>
                <c:manualLayout>
                  <c:x val="-8.2846626577977728E-3"/>
                  <c:y val="-2.6838612059460407E-3"/>
                </c:manualLayout>
              </c:layout>
              <c:numFmt formatCode="#,##0\ &quot;MW&quot;"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0.16680578404573429"/>
                      <c:h val="9.6467638259623609E-2"/>
                    </c:manualLayout>
                  </c15:layout>
                </c:ext>
                <c:ext xmlns:c16="http://schemas.microsoft.com/office/drawing/2014/chart" uri="{C3380CC4-5D6E-409C-BE32-E72D297353CC}">
                  <c16:uniqueId val="{00000001-983B-4EB3-A571-B257AC9552DF}"/>
                </c:ext>
              </c:extLst>
            </c:dLbl>
            <c:dLbl>
              <c:idx val="2"/>
              <c:numFmt formatCode="#,##0\ &quot;MW&quot;"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0.12204543012665682"/>
                      <c:h val="7.1041709508299661E-2"/>
                    </c:manualLayout>
                  </c15:layout>
                </c:ext>
                <c:ext xmlns:c16="http://schemas.microsoft.com/office/drawing/2014/chart" uri="{C3380CC4-5D6E-409C-BE32-E72D297353CC}">
                  <c16:uniqueId val="{00000002-983B-4EB3-A571-B257AC9552DF}"/>
                </c:ext>
              </c:extLst>
            </c:dLbl>
            <c:numFmt formatCode="#,##0\ &quot;MW&quot;"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'Standard Plants'!$S$48:$S$50</c:f>
              <c:strCache>
                <c:ptCount val="3"/>
                <c:pt idx="0">
                  <c:v>Combined cycle</c:v>
                </c:pt>
                <c:pt idx="1">
                  <c:v>Combustion 
turbine</c:v>
                </c:pt>
                <c:pt idx="2">
                  <c:v>Internal combustion engine</c:v>
                </c:pt>
              </c:strCache>
            </c:strRef>
          </c:cat>
          <c:val>
            <c:numRef>
              <c:f>'Standard Plants'!$T$48:$T$50</c:f>
              <c:numCache>
                <c:formatCode>#,##0</c:formatCode>
                <c:ptCount val="3"/>
                <c:pt idx="0">
                  <c:v>889</c:v>
                </c:pt>
                <c:pt idx="1">
                  <c:v>120</c:v>
                </c:pt>
                <c:pt idx="2">
                  <c:v>2</c:v>
                </c:pt>
              </c:numCache>
            </c:numRef>
          </c:val>
          <c:extLst>
            <c:ext xmlns:c16="http://schemas.microsoft.com/office/drawing/2014/chart" uri="{C3380CC4-5D6E-409C-BE32-E72D297353CC}">
              <c16:uniqueId val="{00000003-983B-4EB3-A571-B257AC9552DF}"/>
            </c:ext>
          </c:extLst>
        </c:ser>
        <c:ser>
          <c:idx val="2"/>
          <c:order val="2"/>
          <c:tx>
            <c:strRef>
              <c:f>'Standard Plants'!$V$47</c:f>
              <c:strCache>
                <c:ptCount val="1"/>
                <c:pt idx="0">
                  <c:v>pad</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'Standard Plants'!$S$48:$S$50</c:f>
              <c:strCache>
                <c:ptCount val="3"/>
                <c:pt idx="0">
                  <c:v>Combined cycle</c:v>
                </c:pt>
                <c:pt idx="1">
                  <c:v>Combustion 
turbine</c:v>
                </c:pt>
                <c:pt idx="2">
                  <c:v>Internal combustion engine</c:v>
                </c:pt>
              </c:strCache>
            </c:strRef>
          </c:cat>
          <c:val>
            <c:numRef>
              <c:f>'Standard Plants'!$V$48:$V$50</c:f>
              <c:numCache>
                <c:formatCode>General</c:formatCode>
                <c:ptCount val="3"/>
              </c:numCache>
            </c:numRef>
          </c:val>
          <c:extLst>
            <c:ext xmlns:c16="http://schemas.microsoft.com/office/drawing/2014/chart" uri="{C3380CC4-5D6E-409C-BE32-E72D297353CC}">
              <c16:uniqueId val="{00000004-983B-4EB3-A571-B257AC9552DF}"/>
            </c:ext>
          </c:extLst>
        </c:ser>
        <c:dLbls>
          <c:showLegendKey val="0"/>
          <c:showVal val="1"/>
          <c:showCatName val="0"/>
          <c:showSerName val="0"/>
          <c:showPercent val="0"/>
          <c:showBubbleSize val="0"/>
        </c:dLbls>
        <c:gapWidth val="219"/>
        <c:overlap val="-100"/>
        <c:axId val="1707619328"/>
        <c:axId val="2041910480"/>
      </c:barChart>
      <c:barChart>
        <c:barDir val="col"/>
        <c:grouping val="clustered"/>
        <c:varyColors val="0"/>
        <c:ser>
          <c:idx val="1"/>
          <c:order val="1"/>
          <c:tx>
            <c:strRef>
              <c:f>'Standard Plants'!$U$47</c:f>
              <c:strCache>
                <c:ptCount val="1"/>
                <c:pt idx="0">
                  <c:v>pad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'Standard Plants'!$S$48:$S$50</c:f>
              <c:strCache>
                <c:ptCount val="3"/>
                <c:pt idx="0">
                  <c:v>Combined cycle</c:v>
                </c:pt>
                <c:pt idx="1">
                  <c:v>Combustion 
turbine</c:v>
                </c:pt>
                <c:pt idx="2">
                  <c:v>Internal combustion engine</c:v>
                </c:pt>
              </c:strCache>
            </c:strRef>
          </c:cat>
          <c:val>
            <c:numRef>
              <c:f>'Standard Plants'!$U$48:$U$50</c:f>
              <c:numCache>
                <c:formatCode>General</c:formatCode>
                <c:ptCount val="3"/>
              </c:numCache>
            </c:numRef>
          </c:val>
          <c:extLst>
            <c:ext xmlns:c16="http://schemas.microsoft.com/office/drawing/2014/chart" uri="{C3380CC4-5D6E-409C-BE32-E72D297353CC}">
              <c16:uniqueId val="{00000005-983B-4EB3-A571-B257AC9552DF}"/>
            </c:ext>
          </c:extLst>
        </c:ser>
        <c:ser>
          <c:idx val="3"/>
          <c:order val="3"/>
          <c:tx>
            <c:strRef>
              <c:f>'Standard Plants'!$W$47</c:f>
              <c:strCache>
                <c:ptCount val="1"/>
                <c:pt idx="0">
                  <c:v>Cost per kW ($/kW)</c:v>
                </c:pt>
              </c:strCache>
            </c:strRef>
          </c:tx>
          <c:spPr>
            <a:solidFill>
              <a:schemeClr val="accent3"/>
            </a:solidFill>
            <a:ln>
              <a:noFill/>
            </a:ln>
            <a:effectLst/>
          </c:spPr>
          <c:invertIfNegative val="0"/>
          <c:dLbls>
            <c:dLbl>
              <c:idx val="0"/>
              <c:layout>
                <c:manualLayout>
                  <c:x val="5.3163350593934927E-2"/>
                  <c:y val="0"/>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C740AFD8-C897-4DE1-9C85-9F880E73FB46}" type="CELLRANGE">
                      <a:rPr lang="en-US" b="1"/>
                      <a:pPr>
                        <a:defRPr/>
                      </a:pPr>
                      <a:t>[CELLRANGE]</a:t>
                    </a:fld>
                    <a:r>
                      <a:rPr lang="en-US" b="1" baseline="0"/>
                      <a:t>, </a:t>
                    </a:r>
                    <a:fld id="{028BE5A2-DD7E-47A2-9862-790CA716A605}" type="VALUE">
                      <a:rPr lang="en-US" baseline="0"/>
                      <a:pPr>
                        <a:defRPr/>
                      </a:pPr>
                      <a:t>[VALUE]</a:t>
                    </a:fld>
                    <a:endParaRPr lang="en-US" b="1" baseline="0"/>
                  </a:p>
                </c:rich>
              </c:tx>
              <c:numFmt formatCode="&quot;$&quot;#,##0&quot;/kW&quot;"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eparator>
</c:separator>
              <c:extLst>
                <c:ext xmlns:c15="http://schemas.microsoft.com/office/drawing/2012/chart" uri="{CE6537A1-D6FC-4f65-9D91-7224C49458BB}">
                  <c15:layout>
                    <c:manualLayout>
                      <c:w val="0.18004914457463148"/>
                      <c:h val="0.13842877896370789"/>
                    </c:manualLayout>
                  </c15:layout>
                  <c15:dlblFieldTable/>
                  <c15:showDataLabelsRange val="1"/>
                </c:ext>
                <c:ext xmlns:c16="http://schemas.microsoft.com/office/drawing/2014/chart" uri="{C3380CC4-5D6E-409C-BE32-E72D297353CC}">
                  <c16:uniqueId val="{00000006-983B-4EB3-A571-B257AC9552DF}"/>
                </c:ext>
              </c:extLst>
            </c:dLbl>
            <c:dLbl>
              <c:idx val="1"/>
              <c:layout>
                <c:manualLayout>
                  <c:x val="1.3953598696375813E-7"/>
                  <c:y val="2.2465707246425014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7BECE2E5-2609-4984-BABB-16B0C6FEEA9B}" type="CELLRANGE">
                      <a:rPr lang="en-US" b="1"/>
                      <a:pPr>
                        <a:defRPr/>
                      </a:pPr>
                      <a:t>[CELLRANGE]</a:t>
                    </a:fld>
                    <a:r>
                      <a:rPr lang="en-US" baseline="0"/>
                      <a:t>, </a:t>
                    </a:r>
                    <a:fld id="{A6A6FF5D-A06D-4354-B69B-844714EAF42A}" type="VALUE">
                      <a:rPr lang="en-US" baseline="0"/>
                      <a:pPr>
                        <a:defRPr/>
                      </a:pPr>
                      <a:t>[VALUE]</a:t>
                    </a:fld>
                    <a:endParaRPr lang="en-US" baseline="0"/>
                  </a:p>
                </c:rich>
              </c:tx>
              <c:numFmt formatCode="&quot;$&quot;#,##0&quot;/kW&quot;"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eparator>
</c:separator>
              <c:extLst>
                <c:ext xmlns:c15="http://schemas.microsoft.com/office/drawing/2012/chart" uri="{CE6537A1-D6FC-4f65-9D91-7224C49458BB}">
                  <c15:layout>
                    <c:manualLayout>
                      <c:w val="0.15426397380787679"/>
                      <c:h val="0.16689906179587702"/>
                    </c:manualLayout>
                  </c15:layout>
                  <c15:dlblFieldTable/>
                  <c15:showDataLabelsRange val="1"/>
                </c:ext>
                <c:ext xmlns:c16="http://schemas.microsoft.com/office/drawing/2014/chart" uri="{C3380CC4-5D6E-409C-BE32-E72D297353CC}">
                  <c16:uniqueId val="{00000007-983B-4EB3-A571-B257AC9552DF}"/>
                </c:ext>
              </c:extLst>
            </c:dLbl>
            <c:dLbl>
              <c:idx val="2"/>
              <c:layout>
                <c:manualLayout>
                  <c:x val="-3.5442140705298601E-3"/>
                  <c:y val="5.6164788333804994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F2D9538D-52E5-47C2-AB88-14F6BB673587}" type="CELLRANGE">
                      <a:rPr lang="en-US" b="1"/>
                      <a:pPr>
                        <a:defRPr/>
                      </a:pPr>
                      <a:t>[CELLRANGE]</a:t>
                    </a:fld>
                    <a:r>
                      <a:rPr lang="en-US" baseline="0"/>
                      <a:t>, </a:t>
                    </a:r>
                    <a:fld id="{6C24A0D7-CF9E-4480-BC63-F97BE048D197}" type="VALUE">
                      <a:rPr lang="en-US" baseline="0"/>
                      <a:pPr>
                        <a:defRPr/>
                      </a:pPr>
                      <a:t>[VALUE]</a:t>
                    </a:fld>
                    <a:endParaRPr lang="en-US" baseline="0"/>
                  </a:p>
                </c:rich>
              </c:tx>
              <c:numFmt formatCode="&quot;$&quot;#,##0&quot;/kW&quot;"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eparator>
</c:separator>
              <c:extLst>
                <c:ext xmlns:c15="http://schemas.microsoft.com/office/drawing/2012/chart" uri="{CE6537A1-D6FC-4f65-9D91-7224C49458BB}">
                  <c15:layout>
                    <c:manualLayout>
                      <c:w val="0.19410376733211379"/>
                      <c:h val="0.14098269308585795"/>
                    </c:manualLayout>
                  </c15:layout>
                  <c15:dlblFieldTable/>
                  <c15:showDataLabelsRange val="1"/>
                </c:ext>
                <c:ext xmlns:c16="http://schemas.microsoft.com/office/drawing/2014/chart" uri="{C3380CC4-5D6E-409C-BE32-E72D297353CC}">
                  <c16:uniqueId val="{00000008-983B-4EB3-A571-B257AC9552DF}"/>
                </c:ext>
              </c:extLst>
            </c:dLbl>
            <c:numFmt formatCode="&quot;$&quot;#,##0&quot;/kW&quot;"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eparator>
</c:separator>
            <c:showLeaderLines val="0"/>
            <c:extLst>
              <c:ext xmlns:c15="http://schemas.microsoft.com/office/drawing/2012/chart" uri="{CE6537A1-D6FC-4f65-9D91-7224C49458BB}">
                <c15:showDataLabelsRange val="1"/>
                <c15:showLeaderLines val="0"/>
              </c:ext>
            </c:extLst>
          </c:dLbls>
          <c:cat>
            <c:strRef>
              <c:f>'Standard Plants'!$S$48:$S$50</c:f>
              <c:strCache>
                <c:ptCount val="3"/>
                <c:pt idx="0">
                  <c:v>Combined cycle</c:v>
                </c:pt>
                <c:pt idx="1">
                  <c:v>Combustion 
turbine</c:v>
                </c:pt>
                <c:pt idx="2">
                  <c:v>Internal combustion engine</c:v>
                </c:pt>
              </c:strCache>
            </c:strRef>
          </c:cat>
          <c:val>
            <c:numRef>
              <c:f>'Standard Plants'!$W$48:$W$50</c:f>
              <c:numCache>
                <c:formatCode>#,##0</c:formatCode>
                <c:ptCount val="3"/>
                <c:pt idx="0">
                  <c:v>1155</c:v>
                </c:pt>
                <c:pt idx="1">
                  <c:v>636</c:v>
                </c:pt>
                <c:pt idx="2">
                  <c:v>1103</c:v>
                </c:pt>
              </c:numCache>
            </c:numRef>
          </c:val>
          <c:extLst>
            <c:ext xmlns:c15="http://schemas.microsoft.com/office/drawing/2012/chart" uri="{02D57815-91ED-43cb-92C2-25804820EDAC}">
              <c15:datalabelsRange>
                <c15:f>'Standard Plants'!$Q$48:$Q$50</c15:f>
                <c15:dlblRangeCache>
                  <c:ptCount val="3"/>
                  <c:pt idx="0">
                    <c:v>5 Plants</c:v>
                  </c:pt>
                  <c:pt idx="1">
                    <c:v>2 Plants</c:v>
                  </c:pt>
                  <c:pt idx="2">
                    <c:v>13 Plants</c:v>
                  </c:pt>
                </c15:dlblRangeCache>
              </c15:datalabelsRange>
            </c:ext>
            <c:ext xmlns:c16="http://schemas.microsoft.com/office/drawing/2014/chart" uri="{C3380CC4-5D6E-409C-BE32-E72D297353CC}">
              <c16:uniqueId val="{00000009-983B-4EB3-A571-B257AC9552DF}"/>
            </c:ext>
          </c:extLst>
        </c:ser>
        <c:dLbls>
          <c:showLegendKey val="0"/>
          <c:showVal val="1"/>
          <c:showCatName val="0"/>
          <c:showSerName val="0"/>
          <c:showPercent val="0"/>
          <c:showBubbleSize val="0"/>
        </c:dLbls>
        <c:gapWidth val="219"/>
        <c:overlap val="-100"/>
        <c:axId val="1108288096"/>
        <c:axId val="1191759840"/>
      </c:barChart>
      <c:catAx>
        <c:axId val="1707619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1910480"/>
        <c:crosses val="autoZero"/>
        <c:auto val="1"/>
        <c:lblAlgn val="ctr"/>
        <c:lblOffset val="100"/>
        <c:noMultiLvlLbl val="0"/>
      </c:catAx>
      <c:valAx>
        <c:axId val="204191048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Power Capacity (MW)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7619328"/>
        <c:crosses val="autoZero"/>
        <c:crossBetween val="between"/>
        <c:majorUnit val="200"/>
      </c:valAx>
      <c:valAx>
        <c:axId val="1191759840"/>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Avg Total Cost per kW</a:t>
                </a:r>
                <a:r>
                  <a:rPr lang="en-US" baseline="0"/>
                  <a:t>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8288096"/>
        <c:crosses val="max"/>
        <c:crossBetween val="between"/>
        <c:majorUnit val="250"/>
      </c:valAx>
      <c:catAx>
        <c:axId val="1108288096"/>
        <c:scaling>
          <c:orientation val="minMax"/>
        </c:scaling>
        <c:delete val="1"/>
        <c:axPos val="b"/>
        <c:numFmt formatCode="General" sourceLinked="1"/>
        <c:majorTickMark val="out"/>
        <c:minorTickMark val="none"/>
        <c:tickLblPos val="nextTo"/>
        <c:crossAx val="1191759840"/>
        <c:crosses val="autoZero"/>
        <c:auto val="1"/>
        <c:lblAlgn val="ctr"/>
        <c:lblOffset val="100"/>
        <c:noMultiLvlLbl val="0"/>
      </c:cat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7930875821261228"/>
          <c:y val="3.8469373741073072E-2"/>
          <c:w val="0.50887708318579539"/>
          <c:h val="0.76732436061771347"/>
        </c:manualLayout>
      </c:layout>
      <c:barChart>
        <c:barDir val="bar"/>
        <c:grouping val="clustered"/>
        <c:varyColors val="0"/>
        <c:ser>
          <c:idx val="0"/>
          <c:order val="0"/>
          <c:tx>
            <c:strRef>
              <c:f>'Alternative Energy'!$B$1</c:f>
              <c:strCache>
                <c:ptCount val="1"/>
                <c:pt idx="0">
                  <c:v>Capital Cost ($/kW)</c:v>
                </c:pt>
              </c:strCache>
            </c:strRef>
          </c:tx>
          <c:spPr>
            <a:solidFill>
              <a:schemeClr val="accent1"/>
            </a:solidFill>
            <a:ln>
              <a:noFill/>
            </a:ln>
            <a:effectLst/>
          </c:spPr>
          <c:invertIfNegative val="0"/>
          <c:dLbls>
            <c:numFmt formatCode="&quot;$&quot;#,##0\ &quot;/ kW&quot;"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'Alternative Energy'!$A$2:$A$9</c:f>
              <c:strCache>
                <c:ptCount val="8"/>
                <c:pt idx="0">
                  <c:v>Fuel Cell</c:v>
                </c:pt>
                <c:pt idx="1">
                  <c:v>Nuclear</c:v>
                </c:pt>
                <c:pt idx="2">
                  <c:v>Biomass</c:v>
                </c:pt>
                <c:pt idx="3">
                  <c:v>Geothermal</c:v>
                </c:pt>
                <c:pt idx="4">
                  <c:v>Hydroelectric</c:v>
                </c:pt>
                <c:pt idx="5">
                  <c:v>Wind</c:v>
                </c:pt>
                <c:pt idx="6">
                  <c:v>Concentrating Solar Power Tower</c:v>
                </c:pt>
                <c:pt idx="7">
                  <c:v>Solar w/ tracking +battery storage</c:v>
                </c:pt>
              </c:strCache>
            </c:strRef>
          </c:cat>
          <c:val>
            <c:numRef>
              <c:f>'Alternative Energy'!$B$2:$B$9</c:f>
              <c:numCache>
                <c:formatCode>General</c:formatCode>
                <c:ptCount val="8"/>
                <c:pt idx="0">
                  <c:v>6700</c:v>
                </c:pt>
                <c:pt idx="1">
                  <c:v>6100</c:v>
                </c:pt>
                <c:pt idx="2">
                  <c:v>4097</c:v>
                </c:pt>
                <c:pt idx="3">
                  <c:v>2521</c:v>
                </c:pt>
                <c:pt idx="4">
                  <c:v>5316</c:v>
                </c:pt>
                <c:pt idx="5">
                  <c:v>1265</c:v>
                </c:pt>
                <c:pt idx="6">
                  <c:v>7221</c:v>
                </c:pt>
                <c:pt idx="7">
                  <c:v>1755</c:v>
                </c:pt>
              </c:numCache>
            </c:numRef>
          </c:val>
          <c:extLst>
            <c:ext xmlns:c16="http://schemas.microsoft.com/office/drawing/2014/chart" uri="{C3380CC4-5D6E-409C-BE32-E72D297353CC}">
              <c16:uniqueId val="{00000000-2951-467C-B188-01A530E8B259}"/>
            </c:ext>
          </c:extLst>
        </c:ser>
        <c:ser>
          <c:idx val="1"/>
          <c:order val="1"/>
          <c:tx>
            <c:strRef>
              <c:f>'Alternative Energy'!$C$1</c:f>
              <c:strCache>
                <c:ptCount val="1"/>
                <c:pt idx="0">
                  <c:v>O&amp;M ($/kW-y)</c:v>
                </c:pt>
              </c:strCache>
            </c:strRef>
          </c:tx>
          <c:spPr>
            <a:solidFill>
              <a:schemeClr val="accent2"/>
            </a:solidFill>
            <a:ln>
              <a:noFill/>
            </a:ln>
            <a:effectLst/>
          </c:spPr>
          <c:invertIfNegative val="0"/>
          <c:dLbls>
            <c:numFmt formatCode="&quot;$&quot;#,##0.00\ &quot;/ KW-y&quot;"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'Alternative Energy'!$A$2:$A$9</c:f>
              <c:strCache>
                <c:ptCount val="8"/>
                <c:pt idx="0">
                  <c:v>Fuel Cell</c:v>
                </c:pt>
                <c:pt idx="1">
                  <c:v>Nuclear</c:v>
                </c:pt>
                <c:pt idx="2">
                  <c:v>Biomass</c:v>
                </c:pt>
                <c:pt idx="3">
                  <c:v>Geothermal</c:v>
                </c:pt>
                <c:pt idx="4">
                  <c:v>Hydroelectric</c:v>
                </c:pt>
                <c:pt idx="5">
                  <c:v>Wind</c:v>
                </c:pt>
                <c:pt idx="6">
                  <c:v>Concentrating Solar Power Tower</c:v>
                </c:pt>
                <c:pt idx="7">
                  <c:v>Solar w/ tracking +battery storage</c:v>
                </c:pt>
              </c:strCache>
            </c:strRef>
          </c:cat>
          <c:val>
            <c:numRef>
              <c:f>'Alternative Energy'!$C$2:$C$9</c:f>
              <c:numCache>
                <c:formatCode>General</c:formatCode>
                <c:ptCount val="8"/>
                <c:pt idx="0">
                  <c:v>30.78</c:v>
                </c:pt>
                <c:pt idx="1">
                  <c:v>105</c:v>
                </c:pt>
                <c:pt idx="2">
                  <c:v>125.72</c:v>
                </c:pt>
                <c:pt idx="3">
                  <c:v>128.5</c:v>
                </c:pt>
                <c:pt idx="4">
                  <c:v>29.86</c:v>
                </c:pt>
                <c:pt idx="5">
                  <c:v>26.34</c:v>
                </c:pt>
                <c:pt idx="6">
                  <c:v>85.4</c:v>
                </c:pt>
                <c:pt idx="7">
                  <c:v>31.27</c:v>
                </c:pt>
              </c:numCache>
            </c:numRef>
          </c:val>
          <c:extLst>
            <c:ext xmlns:c16="http://schemas.microsoft.com/office/drawing/2014/chart" uri="{C3380CC4-5D6E-409C-BE32-E72D297353CC}">
              <c16:uniqueId val="{00000001-2951-467C-B188-01A530E8B259}"/>
            </c:ext>
          </c:extLst>
        </c:ser>
        <c:dLbls>
          <c:dLblPos val="outEnd"/>
          <c:showLegendKey val="0"/>
          <c:showVal val="1"/>
          <c:showCatName val="0"/>
          <c:showSerName val="0"/>
          <c:showPercent val="0"/>
          <c:showBubbleSize val="0"/>
        </c:dLbls>
        <c:gapWidth val="182"/>
        <c:overlap val="-100"/>
        <c:axId val="1108288560"/>
        <c:axId val="1191756960"/>
      </c:barChart>
      <c:catAx>
        <c:axId val="110828856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1756960"/>
        <c:crosses val="autoZero"/>
        <c:auto val="1"/>
        <c:lblAlgn val="ctr"/>
        <c:lblOffset val="100"/>
        <c:noMultiLvlLbl val="0"/>
      </c:catAx>
      <c:valAx>
        <c:axId val="1191756960"/>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8288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900"/>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spPr>
            <a:solidFill>
              <a:schemeClr val="accent1"/>
            </a:solidFill>
            <a:ln>
              <a:noFill/>
            </a:ln>
            <a:effectLst/>
          </c:spPr>
          <c:invertIfNegative val="0"/>
          <c:dLbls>
            <c:dLbl>
              <c:idx val="0"/>
              <c:layout>
                <c:manualLayout>
                  <c:x val="3.125E-2"/>
                  <c:y val="4.62469134003947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8A1-4233-8BA6-72E61BFDF073}"/>
                </c:ext>
              </c:extLst>
            </c:dLbl>
            <c:dLbl>
              <c:idx val="1"/>
              <c:layout>
                <c:manualLayout>
                  <c:x val="0.14583333333333334"/>
                  <c:y val="5.54977555090807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A1-4233-8BA6-72E61BFDF073}"/>
                </c:ext>
              </c:extLst>
            </c:dLbl>
            <c:dLbl>
              <c:idx val="2"/>
              <c:layout>
                <c:manualLayout>
                  <c:x val="0.10416666666666677"/>
                  <c:y val="5.54977555090807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8A1-4233-8BA6-72E61BFDF073}"/>
                </c:ext>
              </c:extLst>
            </c:dLbl>
            <c:dLbl>
              <c:idx val="3"/>
              <c:layout>
                <c:manualLayout>
                  <c:x val="3.6458333333333336E-2"/>
                  <c:y val="5.08729425499907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8A1-4233-8BA6-72E61BFDF073}"/>
                </c:ext>
              </c:extLst>
            </c:dLbl>
            <c:dLbl>
              <c:idx val="4"/>
              <c:layout>
                <c:manualLayout>
                  <c:x val="3.3854166666666664E-2"/>
                  <c:y val="5.54977555090808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8A1-4233-8BA6-72E61BFDF07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Efficiencies!$B$2:$F$2</c:f>
              <c:strCache>
                <c:ptCount val="5"/>
                <c:pt idx="0">
                  <c:v>MDA PCFC</c:v>
                </c:pt>
                <c:pt idx="1">
                  <c:v>FTS</c:v>
                </c:pt>
                <c:pt idx="2">
                  <c:v>Benzene from Ethane</c:v>
                </c:pt>
                <c:pt idx="3">
                  <c:v>Non-oxididative Methane Dehydroaromatization (NO-MDA)</c:v>
                </c:pt>
                <c:pt idx="4">
                  <c:v>Natural Gas via Methanol Synthesis</c:v>
                </c:pt>
              </c:strCache>
            </c:strRef>
          </c:cat>
          <c:val>
            <c:numRef>
              <c:f>Efficiencies!$B$7:$F$7</c:f>
              <c:numCache>
                <c:formatCode>General</c:formatCode>
                <c:ptCount val="5"/>
                <c:pt idx="0">
                  <c:v>0.12</c:v>
                </c:pt>
                <c:pt idx="1">
                  <c:v>0.54</c:v>
                </c:pt>
                <c:pt idx="2">
                  <c:v>0.46600000000000003</c:v>
                </c:pt>
                <c:pt idx="3">
                  <c:v>0.16700000000000001</c:v>
                </c:pt>
                <c:pt idx="4">
                  <c:v>0.13</c:v>
                </c:pt>
              </c:numCache>
            </c:numRef>
          </c:val>
          <c:extLst>
            <c:ext xmlns:c16="http://schemas.microsoft.com/office/drawing/2014/chart" uri="{C3380CC4-5D6E-409C-BE32-E72D297353CC}">
              <c16:uniqueId val="{00000005-08A1-4233-8BA6-72E61BFDF073}"/>
            </c:ext>
          </c:extLst>
        </c:ser>
        <c:ser>
          <c:idx val="1"/>
          <c:order val="1"/>
          <c:spPr>
            <a:pattFill prst="dkVert">
              <a:fgClr>
                <a:schemeClr val="accent5"/>
              </a:fgClr>
              <a:bgClr>
                <a:schemeClr val="bg1"/>
              </a:bgClr>
            </a:pattFill>
            <a:ln>
              <a:noFill/>
            </a:ln>
            <a:effectLst/>
          </c:spPr>
          <c:invertIfNegative val="0"/>
          <c:dPt>
            <c:idx val="1"/>
            <c:invertIfNegative val="0"/>
            <c:bubble3D val="0"/>
            <c:spPr>
              <a:pattFill prst="dkVert">
                <a:fgClr>
                  <a:srgbClr val="C00000"/>
                </a:fgClr>
                <a:bgClr>
                  <a:schemeClr val="bg1"/>
                </a:bgClr>
              </a:pattFill>
              <a:ln>
                <a:noFill/>
              </a:ln>
              <a:effectLst/>
            </c:spPr>
            <c:extLst>
              <c:ext xmlns:c16="http://schemas.microsoft.com/office/drawing/2014/chart" uri="{C3380CC4-5D6E-409C-BE32-E72D297353CC}">
                <c16:uniqueId val="{00000007-08A1-4233-8BA6-72E61BFDF073}"/>
              </c:ext>
            </c:extLst>
          </c:dPt>
          <c:cat>
            <c:strRef>
              <c:f>Efficiencies!$B$2:$F$2</c:f>
              <c:strCache>
                <c:ptCount val="5"/>
                <c:pt idx="0">
                  <c:v>MDA PCFC</c:v>
                </c:pt>
                <c:pt idx="1">
                  <c:v>FTS</c:v>
                </c:pt>
                <c:pt idx="2">
                  <c:v>Benzene from Ethane</c:v>
                </c:pt>
                <c:pt idx="3">
                  <c:v>Non-oxididative Methane Dehydroaromatization (NO-MDA)</c:v>
                </c:pt>
                <c:pt idx="4">
                  <c:v>Natural Gas via Methanol Synthesis</c:v>
                </c:pt>
              </c:strCache>
            </c:strRef>
          </c:cat>
          <c:val>
            <c:numRef>
              <c:f>Efficiencies!$B$8:$F$8</c:f>
              <c:numCache>
                <c:formatCode>General</c:formatCode>
                <c:ptCount val="5"/>
                <c:pt idx="0">
                  <c:v>0.18</c:v>
                </c:pt>
                <c:pt idx="1">
                  <c:v>0.36</c:v>
                </c:pt>
              </c:numCache>
            </c:numRef>
          </c:val>
          <c:extLst>
            <c:ext xmlns:c16="http://schemas.microsoft.com/office/drawing/2014/chart" uri="{C3380CC4-5D6E-409C-BE32-E72D297353CC}">
              <c16:uniqueId val="{00000008-08A1-4233-8BA6-72E61BFDF073}"/>
            </c:ext>
          </c:extLst>
        </c:ser>
        <c:dLbls>
          <c:showLegendKey val="0"/>
          <c:showVal val="0"/>
          <c:showCatName val="0"/>
          <c:showSerName val="0"/>
          <c:showPercent val="0"/>
          <c:showBubbleSize val="0"/>
        </c:dLbls>
        <c:gapWidth val="182"/>
        <c:overlap val="100"/>
        <c:axId val="99082944"/>
        <c:axId val="97864016"/>
      </c:barChart>
      <c:catAx>
        <c:axId val="99082944"/>
        <c:scaling>
          <c:orientation val="minMax"/>
        </c:scaling>
        <c:delete val="0"/>
        <c:axPos val="l"/>
        <c:numFmt formatCode="General" sourceLinked="1"/>
        <c:majorTickMark val="none"/>
        <c:minorTickMark val="out"/>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864016"/>
        <c:crosses val="autoZero"/>
        <c:auto val="1"/>
        <c:lblAlgn val="ctr"/>
        <c:lblOffset val="100"/>
        <c:noMultiLvlLbl val="0"/>
      </c:catAx>
      <c:valAx>
        <c:axId val="978640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Conversion</a:t>
                </a:r>
                <a:r>
                  <a:rPr lang="en-US" baseline="0"/>
                  <a:t> Efficiency %</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082944"/>
        <c:crosses val="autoZero"/>
        <c:crossBetween val="between"/>
        <c:majorUnit val="0.2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'All Trues'!$F$173</c:f>
              <c:strCache>
                <c:ptCount val="1"/>
                <c:pt idx="0">
                  <c:v>Total Chemical Product Sales</c:v>
                </c:pt>
              </c:strCache>
            </c:strRef>
          </c:tx>
          <c:spPr>
            <a:solidFill>
              <a:schemeClr val="accent1"/>
            </a:solidFill>
            <a:ln>
              <a:noFill/>
            </a:ln>
            <a:effectLst/>
          </c:spPr>
          <c:invertIfNegative val="0"/>
          <c:cat>
            <c:numRef>
              <c:f>'All Trues'!$E$183:$E$186</c:f>
              <c:numCache>
                <c:formatCode>General</c:formatCode>
                <c:ptCount val="4"/>
                <c:pt idx="0">
                  <c:v>1</c:v>
                </c:pt>
                <c:pt idx="1">
                  <c:v>1.5</c:v>
                </c:pt>
                <c:pt idx="2">
                  <c:v>2</c:v>
                </c:pt>
                <c:pt idx="3">
                  <c:v>3</c:v>
                </c:pt>
              </c:numCache>
            </c:numRef>
          </c:cat>
          <c:val>
            <c:numRef>
              <c:f>'All Trues'!$G$183:$G$186</c:f>
              <c:numCache>
                <c:formatCode>"$"#,##0_);[Red]\("$"#,##0\)</c:formatCode>
                <c:ptCount val="4"/>
                <c:pt idx="0">
                  <c:v>880215</c:v>
                </c:pt>
                <c:pt idx="1">
                  <c:v>802974</c:v>
                </c:pt>
                <c:pt idx="2">
                  <c:v>742975</c:v>
                </c:pt>
                <c:pt idx="3">
                  <c:v>640641</c:v>
                </c:pt>
              </c:numCache>
            </c:numRef>
          </c:val>
          <c:extLst>
            <c:ext xmlns:c16="http://schemas.microsoft.com/office/drawing/2014/chart" uri="{C3380CC4-5D6E-409C-BE32-E72D297353CC}">
              <c16:uniqueId val="{00000000-C183-45EF-BC64-6CAF8F2B6F80}"/>
            </c:ext>
          </c:extLst>
        </c:ser>
        <c:ser>
          <c:idx val="1"/>
          <c:order val="1"/>
          <c:tx>
            <c:strRef>
              <c:f>'All Trues'!$F$174</c:f>
              <c:strCache>
                <c:ptCount val="1"/>
                <c:pt idx="0">
                  <c:v>Total Electricity Value</c:v>
                </c:pt>
              </c:strCache>
            </c:strRef>
          </c:tx>
          <c:spPr>
            <a:solidFill>
              <a:schemeClr val="accent2"/>
            </a:solidFill>
            <a:ln>
              <a:noFill/>
            </a:ln>
            <a:effectLst/>
          </c:spPr>
          <c:invertIfNegative val="0"/>
          <c:cat>
            <c:numRef>
              <c:f>'All Trues'!$E$183:$E$186</c:f>
              <c:numCache>
                <c:formatCode>General</c:formatCode>
                <c:ptCount val="4"/>
                <c:pt idx="0">
                  <c:v>1</c:v>
                </c:pt>
                <c:pt idx="1">
                  <c:v>1.5</c:v>
                </c:pt>
                <c:pt idx="2">
                  <c:v>2</c:v>
                </c:pt>
                <c:pt idx="3">
                  <c:v>3</c:v>
                </c:pt>
              </c:numCache>
            </c:numRef>
          </c:cat>
          <c:val>
            <c:numRef>
              <c:f>'All Trues'!$H$183:$H$186</c:f>
              <c:numCache>
                <c:formatCode>"$"#,##0_);[Red]\("$"#,##0\)</c:formatCode>
                <c:ptCount val="4"/>
                <c:pt idx="0">
                  <c:v>790748</c:v>
                </c:pt>
                <c:pt idx="1">
                  <c:v>837952</c:v>
                </c:pt>
                <c:pt idx="2">
                  <c:v>858680</c:v>
                </c:pt>
                <c:pt idx="3">
                  <c:v>924670</c:v>
                </c:pt>
              </c:numCache>
            </c:numRef>
          </c:val>
          <c:extLst>
            <c:ext xmlns:c16="http://schemas.microsoft.com/office/drawing/2014/chart" uri="{C3380CC4-5D6E-409C-BE32-E72D297353CC}">
              <c16:uniqueId val="{00000001-C183-45EF-BC64-6CAF8F2B6F80}"/>
            </c:ext>
          </c:extLst>
        </c:ser>
        <c:ser>
          <c:idx val="3"/>
          <c:order val="3"/>
          <c:tx>
            <c:strRef>
              <c:f>'All Trues'!$M$182</c:f>
              <c:strCache>
                <c:ptCount val="1"/>
                <c:pt idx="0">
                  <c:v>Operational Profits</c:v>
                </c:pt>
              </c:strCache>
            </c:strRef>
          </c:tx>
          <c:spPr>
            <a:solidFill>
              <a:schemeClr val="accent6">
                <a:lumMod val="60000"/>
                <a:lumOff val="40000"/>
              </a:schemeClr>
            </a:solidFill>
            <a:ln>
              <a:noFill/>
            </a:ln>
            <a:effectLst/>
          </c:spPr>
          <c:invertIfNegative val="0"/>
          <c:cat>
            <c:numRef>
              <c:f>'All Trues'!$E$183:$E$186</c:f>
              <c:numCache>
                <c:formatCode>General</c:formatCode>
                <c:ptCount val="4"/>
                <c:pt idx="0">
                  <c:v>1</c:v>
                </c:pt>
                <c:pt idx="1">
                  <c:v>1.5</c:v>
                </c:pt>
                <c:pt idx="2">
                  <c:v>2</c:v>
                </c:pt>
                <c:pt idx="3">
                  <c:v>3</c:v>
                </c:pt>
              </c:numCache>
            </c:numRef>
          </c:cat>
          <c:val>
            <c:numRef>
              <c:f>'All Trues'!$M$183:$M$186</c:f>
              <c:numCache>
                <c:formatCode>"$"#,##0</c:formatCode>
                <c:ptCount val="4"/>
                <c:pt idx="0">
                  <c:v>560075</c:v>
                </c:pt>
                <c:pt idx="1">
                  <c:v>526489</c:v>
                </c:pt>
                <c:pt idx="2">
                  <c:v>483944</c:v>
                </c:pt>
                <c:pt idx="3">
                  <c:v>441404</c:v>
                </c:pt>
              </c:numCache>
            </c:numRef>
          </c:val>
          <c:extLst>
            <c:ext xmlns:c16="http://schemas.microsoft.com/office/drawing/2014/chart" uri="{C3380CC4-5D6E-409C-BE32-E72D297353CC}">
              <c16:uniqueId val="{00000002-C183-45EF-BC64-6CAF8F2B6F80}"/>
            </c:ext>
          </c:extLst>
        </c:ser>
        <c:dLbls>
          <c:showLegendKey val="0"/>
          <c:showVal val="0"/>
          <c:showCatName val="0"/>
          <c:showSerName val="0"/>
          <c:showPercent val="0"/>
          <c:showBubbleSize val="0"/>
        </c:dLbls>
        <c:gapWidth val="219"/>
        <c:axId val="1655528847"/>
        <c:axId val="498219583"/>
        <c:extLst>
          <c:ext xmlns:c15="http://schemas.microsoft.com/office/drawing/2012/chart" uri="{02D57815-91ED-43cb-92C2-25804820EDAC}">
            <c15:filteredBarSeries>
              <c15:ser>
                <c:idx val="2"/>
                <c:order val="2"/>
                <c:tx>
                  <c:strRef>
                    <c:extLst>
                      <c:ext uri="{02D57815-91ED-43cb-92C2-25804820EDAC}">
                        <c15:formulaRef>
                          <c15:sqref>'All Trues'!$L$182</c15:sqref>
                        </c15:formulaRef>
                      </c:ext>
                    </c:extLst>
                    <c:strCache>
                      <c:ptCount val="1"/>
                      <c:pt idx="0">
                        <c:v>Net Yearly Revenue [$/yr]</c:v>
                      </c:pt>
                    </c:strCache>
                  </c:strRef>
                </c:tx>
                <c:spPr>
                  <a:solidFill>
                    <a:schemeClr val="accent3"/>
                  </a:solidFill>
                  <a:ln>
                    <a:noFill/>
                  </a:ln>
                  <a:effectLst/>
                </c:spPr>
                <c:invertIfNegative val="0"/>
                <c:cat>
                  <c:numRef>
                    <c:extLst>
                      <c:ext uri="{02D57815-91ED-43cb-92C2-25804820EDAC}">
                        <c15:formulaRef>
                          <c15:sqref>'All Trues'!$E$183:$E$186</c15:sqref>
                        </c15:formulaRef>
                      </c:ext>
                    </c:extLst>
                    <c:numCache>
                      <c:formatCode>General</c:formatCode>
                      <c:ptCount val="4"/>
                      <c:pt idx="0">
                        <c:v>1</c:v>
                      </c:pt>
                      <c:pt idx="1">
                        <c:v>1.5</c:v>
                      </c:pt>
                      <c:pt idx="2">
                        <c:v>2</c:v>
                      </c:pt>
                      <c:pt idx="3">
                        <c:v>3</c:v>
                      </c:pt>
                    </c:numCache>
                  </c:numRef>
                </c:cat>
                <c:val>
                  <c:numRef>
                    <c:extLst>
                      <c:ext uri="{02D57815-91ED-43cb-92C2-25804820EDAC}">
                        <c15:formulaRef>
                          <c15:sqref>'All Trues'!$L$183:$L$186</c15:sqref>
                        </c15:formulaRef>
                      </c:ext>
                    </c:extLst>
                    <c:numCache>
                      <c:formatCode>"$"#,##0_);[Red]\("$"#,##0\)</c:formatCode>
                      <c:ptCount val="4"/>
                      <c:pt idx="0">
                        <c:v>-281871.30200000003</c:v>
                      </c:pt>
                      <c:pt idx="1">
                        <c:v>-273040.86100000003</c:v>
                      </c:pt>
                      <c:pt idx="2">
                        <c:v>-279013.46200000006</c:v>
                      </c:pt>
                      <c:pt idx="3">
                        <c:v>-225705.2030000001</c:v>
                      </c:pt>
                    </c:numCache>
                  </c:numRef>
                </c:val>
                <c:extLst>
                  <c:ext xmlns:c16="http://schemas.microsoft.com/office/drawing/2014/chart" uri="{C3380CC4-5D6E-409C-BE32-E72D297353CC}">
                    <c16:uniqueId val="{00000003-C183-45EF-BC64-6CAF8F2B6F80}"/>
                  </c:ext>
                </c:extLst>
              </c15:ser>
            </c15:filteredBarSeries>
          </c:ext>
        </c:extLst>
      </c:barChart>
      <c:catAx>
        <c:axId val="16555288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baseline="0">
                    <a:effectLst/>
                  </a:rPr>
                  <a:t>1 Lg</a:t>
                </a:r>
                <a:r>
                  <a:rPr lang="en-US" sz="1000" b="1" i="0" u="none" strike="noStrike" baseline="-25000">
                    <a:effectLst/>
                  </a:rPr>
                  <a:t>cat</a:t>
                </a:r>
                <a:r>
                  <a:rPr lang="en-US" sz="1000" b="1" i="0" u="none" strike="noStrike" baseline="30000">
                    <a:effectLst/>
                  </a:rPr>
                  <a:t>-1</a:t>
                </a:r>
                <a:r>
                  <a:rPr lang="en-US" sz="1000" b="1" i="0" u="none" strike="noStrike" baseline="0">
                    <a:effectLst/>
                  </a:rPr>
                  <a:t>h</a:t>
                </a:r>
                <a:r>
                  <a:rPr lang="en-US" sz="1000" b="1" i="0" u="none" strike="noStrike" baseline="30000">
                    <a:effectLst/>
                  </a:rPr>
                  <a:t>-1</a:t>
                </a:r>
                <a:r>
                  <a:rPr lang="en-US" sz="1000" b="0" i="0" u="none" strike="noStrike" baseline="0"/>
                  <a:t> </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8219583"/>
        <c:crosses val="autoZero"/>
        <c:auto val="1"/>
        <c:lblAlgn val="ctr"/>
        <c:lblOffset val="100"/>
        <c:noMultiLvlLbl val="0"/>
      </c:catAx>
      <c:valAx>
        <c:axId val="49821958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$1000/year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_);[Red]\(&quot;$&quot;#,##0\)" sourceLinked="1"/>
        <c:majorTickMark val="out"/>
        <c:minorTickMark val="none"/>
        <c:tickLblPos val="nextTo"/>
        <c:spPr>
          <a:noFill/>
          <a:ln>
            <a:solidFill>
              <a:srgbClr val="156082"/>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55288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'All Trues'!$G$213</c:f>
              <c:strCache>
                <c:ptCount val="1"/>
                <c:pt idx="0">
                  <c:v>1 Lgcat-1h-1</c:v>
                </c:pt>
              </c:strCache>
            </c:strRef>
          </c:tx>
          <c:spPr>
            <a:solidFill>
              <a:schemeClr val="accent1"/>
            </a:solidFill>
            <a:ln>
              <a:noFill/>
            </a:ln>
            <a:effectLst/>
          </c:spPr>
          <c:invertIfNegative val="0"/>
          <c:cat>
            <c:numRef>
              <c:f>'All Trues'!$H$205:$AA$205</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'All Trues'!$H$213:$AA$213</c:f>
              <c:numCache>
                <c:formatCode>"$"#,##0_);[Red]\("$"#,##0\)</c:formatCode>
                <c:ptCount val="20"/>
                <c:pt idx="0">
                  <c:v>-281.87130200000001</c:v>
                </c:pt>
                <c:pt idx="1">
                  <c:v>-563.74260400000003</c:v>
                </c:pt>
                <c:pt idx="2">
                  <c:v>-845.61390600000004</c:v>
                </c:pt>
                <c:pt idx="3">
                  <c:v>-1127.4852080000001</c:v>
                </c:pt>
                <c:pt idx="4">
                  <c:v>-1409.3565100000003</c:v>
                </c:pt>
                <c:pt idx="5">
                  <c:v>-1621.2278120000003</c:v>
                </c:pt>
                <c:pt idx="6">
                  <c:v>-1833.0991140000006</c:v>
                </c:pt>
                <c:pt idx="7">
                  <c:v>-2044.9704160000006</c:v>
                </c:pt>
                <c:pt idx="8">
                  <c:v>-2256.8417180000006</c:v>
                </c:pt>
                <c:pt idx="9">
                  <c:v>-2468.7130200000011</c:v>
                </c:pt>
                <c:pt idx="10">
                  <c:v>-1768.638020000001</c:v>
                </c:pt>
                <c:pt idx="11">
                  <c:v>-1068.563020000001</c:v>
                </c:pt>
                <c:pt idx="12">
                  <c:v>-368.48802000000097</c:v>
                </c:pt>
                <c:pt idx="13">
                  <c:v>331.58697999999907</c:v>
                </c:pt>
                <c:pt idx="14">
                  <c:v>1031.6619799999989</c:v>
                </c:pt>
                <c:pt idx="15">
                  <c:v>1731.736979999999</c:v>
                </c:pt>
                <c:pt idx="16">
                  <c:v>2431.811979999999</c:v>
                </c:pt>
                <c:pt idx="17">
                  <c:v>3131.8869799999989</c:v>
                </c:pt>
                <c:pt idx="18">
                  <c:v>3831.9619799999991</c:v>
                </c:pt>
                <c:pt idx="19">
                  <c:v>4532.0369799999989</c:v>
                </c:pt>
              </c:numCache>
            </c:numRef>
          </c:val>
          <c:extLst>
            <c:ext xmlns:c16="http://schemas.microsoft.com/office/drawing/2014/chart" uri="{C3380CC4-5D6E-409C-BE32-E72D297353CC}">
              <c16:uniqueId val="{00000000-4E30-4FBD-A161-7F0465721BC9}"/>
            </c:ext>
          </c:extLst>
        </c:ser>
        <c:ser>
          <c:idx val="1"/>
          <c:order val="1"/>
          <c:tx>
            <c:strRef>
              <c:f>'All Trues'!$G$214</c:f>
              <c:strCache>
                <c:ptCount val="1"/>
                <c:pt idx="0">
                  <c:v>1.5 Lgcat-1h-1</c:v>
                </c:pt>
              </c:strCache>
            </c:strRef>
          </c:tx>
          <c:spPr>
            <a:solidFill>
              <a:schemeClr val="accent2"/>
            </a:solidFill>
            <a:ln>
              <a:noFill/>
            </a:ln>
            <a:effectLst/>
          </c:spPr>
          <c:invertIfNegative val="0"/>
          <c:cat>
            <c:numRef>
              <c:f>'All Trues'!$H$205:$AA$205</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'All Trues'!$H$214:$AA$214</c:f>
              <c:numCache>
                <c:formatCode>"$"#,##0_);[Red]\("$"#,##0\)</c:formatCode>
                <c:ptCount val="20"/>
                <c:pt idx="0">
                  <c:v>-273.04086100000001</c:v>
                </c:pt>
                <c:pt idx="1">
                  <c:v>-546.08172200000001</c:v>
                </c:pt>
                <c:pt idx="2">
                  <c:v>-819.12258300000008</c:v>
                </c:pt>
                <c:pt idx="3">
                  <c:v>-1092.163444</c:v>
                </c:pt>
                <c:pt idx="4">
                  <c:v>-1365.2043050000002</c:v>
                </c:pt>
                <c:pt idx="5">
                  <c:v>-1568.2451660000002</c:v>
                </c:pt>
                <c:pt idx="6">
                  <c:v>-1771.2860270000003</c:v>
                </c:pt>
                <c:pt idx="7">
                  <c:v>-1974.3268880000003</c:v>
                </c:pt>
                <c:pt idx="8">
                  <c:v>-2177.3677490000005</c:v>
                </c:pt>
                <c:pt idx="9">
                  <c:v>-2380.4086100000004</c:v>
                </c:pt>
                <c:pt idx="10">
                  <c:v>-1713.9196100000004</c:v>
                </c:pt>
                <c:pt idx="11">
                  <c:v>-1047.4306100000003</c:v>
                </c:pt>
                <c:pt idx="12">
                  <c:v>-380.94161000000031</c:v>
                </c:pt>
                <c:pt idx="13">
                  <c:v>285.54738999999967</c:v>
                </c:pt>
                <c:pt idx="14">
                  <c:v>952.03638999999964</c:v>
                </c:pt>
                <c:pt idx="15">
                  <c:v>1618.5253899999996</c:v>
                </c:pt>
                <c:pt idx="16">
                  <c:v>2285.0143899999998</c:v>
                </c:pt>
                <c:pt idx="17">
                  <c:v>2951.5033899999999</c:v>
                </c:pt>
                <c:pt idx="18">
                  <c:v>3617.9923899999999</c:v>
                </c:pt>
                <c:pt idx="19">
                  <c:v>4284.4813899999999</c:v>
                </c:pt>
              </c:numCache>
            </c:numRef>
          </c:val>
          <c:extLst>
            <c:ext xmlns:c16="http://schemas.microsoft.com/office/drawing/2014/chart" uri="{C3380CC4-5D6E-409C-BE32-E72D297353CC}">
              <c16:uniqueId val="{00000001-4E30-4FBD-A161-7F0465721BC9}"/>
            </c:ext>
          </c:extLst>
        </c:ser>
        <c:ser>
          <c:idx val="2"/>
          <c:order val="2"/>
          <c:tx>
            <c:strRef>
              <c:f>'All Trues'!$G$215</c:f>
              <c:strCache>
                <c:ptCount val="1"/>
                <c:pt idx="0">
                  <c:v>2 Lgcat-1h-1</c:v>
                </c:pt>
              </c:strCache>
            </c:strRef>
          </c:tx>
          <c:spPr>
            <a:solidFill>
              <a:schemeClr val="accent3"/>
            </a:solidFill>
            <a:ln>
              <a:noFill/>
            </a:ln>
            <a:effectLst/>
          </c:spPr>
          <c:invertIfNegative val="0"/>
          <c:cat>
            <c:numRef>
              <c:f>'All Trues'!$H$205:$AA$205</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'All Trues'!$H$215:$AA$215</c:f>
              <c:numCache>
                <c:formatCode>"$"#,##0_);[Red]\("$"#,##0\)</c:formatCode>
                <c:ptCount val="20"/>
                <c:pt idx="0">
                  <c:v>-279.01346200000006</c:v>
                </c:pt>
                <c:pt idx="1">
                  <c:v>-558.02692400000012</c:v>
                </c:pt>
                <c:pt idx="2">
                  <c:v>-837.04038600000013</c:v>
                </c:pt>
                <c:pt idx="3">
                  <c:v>-1116.0538480000002</c:v>
                </c:pt>
                <c:pt idx="4">
                  <c:v>-1395.0673100000004</c:v>
                </c:pt>
                <c:pt idx="5">
                  <c:v>-1604.0807720000003</c:v>
                </c:pt>
                <c:pt idx="6">
                  <c:v>-1813.0942340000004</c:v>
                </c:pt>
                <c:pt idx="7">
                  <c:v>-2022.1076960000005</c:v>
                </c:pt>
                <c:pt idx="8">
                  <c:v>-2231.1211580000008</c:v>
                </c:pt>
                <c:pt idx="9">
                  <c:v>-2440.1346200000012</c:v>
                </c:pt>
                <c:pt idx="10">
                  <c:v>-1816.190620000001</c:v>
                </c:pt>
                <c:pt idx="11">
                  <c:v>-1192.246620000001</c:v>
                </c:pt>
                <c:pt idx="12">
                  <c:v>-568.30262000000107</c:v>
                </c:pt>
                <c:pt idx="13">
                  <c:v>55.641379999998954</c:v>
                </c:pt>
                <c:pt idx="14">
                  <c:v>679.58537999999896</c:v>
                </c:pt>
                <c:pt idx="15">
                  <c:v>1303.529379999999</c:v>
                </c:pt>
                <c:pt idx="16">
                  <c:v>1927.473379999999</c:v>
                </c:pt>
                <c:pt idx="17">
                  <c:v>2551.417379999999</c:v>
                </c:pt>
                <c:pt idx="18">
                  <c:v>3175.3613799999989</c:v>
                </c:pt>
                <c:pt idx="19">
                  <c:v>3799.3053799999989</c:v>
                </c:pt>
              </c:numCache>
            </c:numRef>
          </c:val>
          <c:extLst>
            <c:ext xmlns:c16="http://schemas.microsoft.com/office/drawing/2014/chart" uri="{C3380CC4-5D6E-409C-BE32-E72D297353CC}">
              <c16:uniqueId val="{00000002-4E30-4FBD-A161-7F0465721BC9}"/>
            </c:ext>
          </c:extLst>
        </c:ser>
        <c:ser>
          <c:idx val="3"/>
          <c:order val="3"/>
          <c:tx>
            <c:strRef>
              <c:f>'All Trues'!$G$216</c:f>
              <c:strCache>
                <c:ptCount val="1"/>
                <c:pt idx="0">
                  <c:v>3 Lgcat-1h-1</c:v>
                </c:pt>
              </c:strCache>
            </c:strRef>
          </c:tx>
          <c:spPr>
            <a:solidFill>
              <a:schemeClr val="accent4"/>
            </a:solidFill>
            <a:ln>
              <a:noFill/>
            </a:ln>
            <a:effectLst/>
          </c:spPr>
          <c:invertIfNegative val="0"/>
          <c:cat>
            <c:numRef>
              <c:f>'All Trues'!$H$205:$AA$205</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'All Trues'!$H$216:$AA$216</c:f>
              <c:numCache>
                <c:formatCode>"$"#,##0_);[Red]\("$"#,##0\)</c:formatCode>
                <c:ptCount val="20"/>
                <c:pt idx="0">
                  <c:v>-225.7052030000001</c:v>
                </c:pt>
                <c:pt idx="1">
                  <c:v>-451.41040600000019</c:v>
                </c:pt>
                <c:pt idx="2">
                  <c:v>-677.11560900000029</c:v>
                </c:pt>
                <c:pt idx="3">
                  <c:v>-902.82081200000039</c:v>
                </c:pt>
                <c:pt idx="4">
                  <c:v>-1128.5260150000006</c:v>
                </c:pt>
                <c:pt idx="5">
                  <c:v>-1284.2312180000008</c:v>
                </c:pt>
                <c:pt idx="6">
                  <c:v>-1439.936421000001</c:v>
                </c:pt>
                <c:pt idx="7">
                  <c:v>-1595.6416240000012</c:v>
                </c:pt>
                <c:pt idx="8">
                  <c:v>-1751.3468270000014</c:v>
                </c:pt>
                <c:pt idx="9">
                  <c:v>-1907.0520300000017</c:v>
                </c:pt>
                <c:pt idx="10">
                  <c:v>-1325.6480300000017</c:v>
                </c:pt>
                <c:pt idx="11">
                  <c:v>-744.24403000000166</c:v>
                </c:pt>
                <c:pt idx="12">
                  <c:v>-162.84003000000166</c:v>
                </c:pt>
                <c:pt idx="13">
                  <c:v>418.56396999999833</c:v>
                </c:pt>
                <c:pt idx="14">
                  <c:v>999.96796999999833</c:v>
                </c:pt>
                <c:pt idx="15">
                  <c:v>1581.3719699999983</c:v>
                </c:pt>
                <c:pt idx="16">
                  <c:v>2162.7759699999983</c:v>
                </c:pt>
                <c:pt idx="17">
                  <c:v>2744.1799699999983</c:v>
                </c:pt>
                <c:pt idx="18">
                  <c:v>3325.5839699999983</c:v>
                </c:pt>
                <c:pt idx="19">
                  <c:v>3906.9879699999983</c:v>
                </c:pt>
              </c:numCache>
            </c:numRef>
          </c:val>
          <c:extLst>
            <c:ext xmlns:c16="http://schemas.microsoft.com/office/drawing/2014/chart" uri="{C3380CC4-5D6E-409C-BE32-E72D297353CC}">
              <c16:uniqueId val="{00000003-4E30-4FBD-A161-7F0465721BC9}"/>
            </c:ext>
          </c:extLst>
        </c:ser>
        <c:dLbls>
          <c:showLegendKey val="0"/>
          <c:showVal val="0"/>
          <c:showCatName val="0"/>
          <c:showSerName val="0"/>
          <c:showPercent val="0"/>
          <c:showBubbleSize val="0"/>
        </c:dLbls>
        <c:gapWidth val="219"/>
        <c:overlap val="-27"/>
        <c:axId val="1886107423"/>
        <c:axId val="1886108383"/>
      </c:barChart>
      <c:lineChart>
        <c:grouping val="standard"/>
        <c:varyColors val="0"/>
        <c:ser>
          <c:idx val="4"/>
          <c:order val="4"/>
          <c:tx>
            <c:strRef>
              <c:f>'All Trues'!$G$217</c:f>
              <c:strCache>
                <c:ptCount val="1"/>
                <c:pt idx="0">
                  <c:v>1 Lgcat-1h-1 Yearly profits</c:v>
                </c:pt>
              </c:strCache>
            </c:strRef>
          </c:tx>
          <c:spPr>
            <a:ln w="28575" cap="rnd">
              <a:solidFill>
                <a:schemeClr val="accent5">
                  <a:alpha val="83000"/>
                </a:schemeClr>
              </a:solidFill>
              <a:prstDash val="sysDash"/>
              <a:round/>
            </a:ln>
            <a:effectLst/>
          </c:spPr>
          <c:marker>
            <c:symbol val="none"/>
          </c:marker>
          <c:cat>
            <c:numRef>
              <c:f>'All Trues'!$H$205:$AA$205</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'All Trues'!$H$217:$AA$217</c:f>
              <c:numCache>
                <c:formatCode>"$"#,##0_);[Red]\("$"#,##0\)</c:formatCode>
                <c:ptCount val="20"/>
                <c:pt idx="0">
                  <c:v>-281.87130200000001</c:v>
                </c:pt>
                <c:pt idx="1">
                  <c:v>-281.87130200000001</c:v>
                </c:pt>
                <c:pt idx="2">
                  <c:v>-281.87130200000001</c:v>
                </c:pt>
                <c:pt idx="3">
                  <c:v>-281.87130200000001</c:v>
                </c:pt>
                <c:pt idx="4">
                  <c:v>-281.87130200000001</c:v>
                </c:pt>
                <c:pt idx="5">
                  <c:v>-211.87130200000001</c:v>
                </c:pt>
                <c:pt idx="6">
                  <c:v>-211.87130200000001</c:v>
                </c:pt>
                <c:pt idx="7">
                  <c:v>-211.87130200000001</c:v>
                </c:pt>
                <c:pt idx="8">
                  <c:v>-211.87130200000001</c:v>
                </c:pt>
                <c:pt idx="9">
                  <c:v>-211.87130200000001</c:v>
                </c:pt>
                <c:pt idx="10">
                  <c:v>630.07500000000005</c:v>
                </c:pt>
                <c:pt idx="11">
                  <c:v>630.07500000000005</c:v>
                </c:pt>
                <c:pt idx="12">
                  <c:v>630.07500000000005</c:v>
                </c:pt>
                <c:pt idx="13">
                  <c:v>630.07500000000005</c:v>
                </c:pt>
                <c:pt idx="14">
                  <c:v>630.07500000000005</c:v>
                </c:pt>
                <c:pt idx="15">
                  <c:v>630.07500000000005</c:v>
                </c:pt>
                <c:pt idx="16">
                  <c:v>630.07500000000005</c:v>
                </c:pt>
                <c:pt idx="17">
                  <c:v>630.07500000000005</c:v>
                </c:pt>
                <c:pt idx="18">
                  <c:v>630.07500000000005</c:v>
                </c:pt>
                <c:pt idx="19">
                  <c:v>630.07500000000005</c:v>
                </c:pt>
              </c:numCache>
            </c:numRef>
          </c:val>
          <c:smooth val="0"/>
          <c:extLst>
            <c:ext xmlns:c16="http://schemas.microsoft.com/office/drawing/2014/chart" uri="{C3380CC4-5D6E-409C-BE32-E72D297353CC}">
              <c16:uniqueId val="{00000004-4E30-4FBD-A161-7F0465721BC9}"/>
            </c:ext>
          </c:extLst>
        </c:ser>
        <c:dLbls>
          <c:showLegendKey val="0"/>
          <c:showVal val="0"/>
          <c:showCatName val="0"/>
          <c:showSerName val="0"/>
          <c:showPercent val="0"/>
          <c:showBubbleSize val="0"/>
        </c:dLbls>
        <c:marker val="1"/>
        <c:smooth val="0"/>
        <c:axId val="1776817647"/>
        <c:axId val="1776815247"/>
      </c:lineChart>
      <c:catAx>
        <c:axId val="188610742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Years</a:t>
                </a:r>
                <a:r>
                  <a:rPr lang="en-US" baseline="0"/>
                  <a:t> of Operation</a:t>
                </a:r>
                <a:endParaRPr lang="en-US"/>
              </a:p>
            </c:rich>
          </c:tx>
          <c:layout>
            <c:manualLayout>
              <c:xMode val="edge"/>
              <c:yMode val="edge"/>
              <c:x val="0.45164843174430258"/>
              <c:y val="0.7203752234487861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6108383"/>
        <c:crosses val="autoZero"/>
        <c:auto val="1"/>
        <c:lblAlgn val="ctr"/>
        <c:lblOffset val="100"/>
        <c:noMultiLvlLbl val="0"/>
      </c:catAx>
      <c:valAx>
        <c:axId val="188610838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Net</a:t>
                </a:r>
                <a:r>
                  <a:rPr lang="en-US" baseline="0"/>
                  <a:t> Profits ($1000/year)</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_);[Red]\(&quot;$&quot;#,##0\)" sourceLinked="1"/>
        <c:majorTickMark val="out"/>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6107423"/>
        <c:crosses val="autoZero"/>
        <c:crossBetween val="between"/>
      </c:valAx>
      <c:valAx>
        <c:axId val="1776815247"/>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Yearly Profits ($1000/year)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_);[Red]\(&quot;$&quot;#,##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6817647"/>
        <c:crosses val="max"/>
        <c:crossBetween val="between"/>
      </c:valAx>
      <c:catAx>
        <c:axId val="1776817647"/>
        <c:scaling>
          <c:orientation val="minMax"/>
        </c:scaling>
        <c:delete val="1"/>
        <c:axPos val="b"/>
        <c:numFmt formatCode="General" sourceLinked="1"/>
        <c:majorTickMark val="out"/>
        <c:minorTickMark val="none"/>
        <c:tickLblPos val="nextTo"/>
        <c:crossAx val="1776815247"/>
        <c:crosses val="autoZero"/>
        <c:auto val="1"/>
        <c:lblAlgn val="ctr"/>
        <c:lblOffset val="100"/>
        <c:noMultiLvlLbl val="0"/>
      </c:catAx>
      <c:spPr>
        <a:noFill/>
        <a:ln>
          <a:noFill/>
        </a:ln>
        <a:effectLst/>
      </c:spPr>
    </c:plotArea>
    <c:legend>
      <c:legendPos val="b"/>
      <c:layout>
        <c:manualLayout>
          <c:xMode val="edge"/>
          <c:yMode val="edge"/>
          <c:x val="6.4282684068840534E-3"/>
          <c:y val="0.85360620328976466"/>
          <c:w val="0.98714346318623192"/>
          <c:h val="0.1198774681151588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2"/>
          <c:order val="0"/>
          <c:tx>
            <c:strRef>
              <c:f>'True 1Lgh, .016j'!$A$48</c:f>
              <c:strCache>
                <c:ptCount val="1"/>
                <c:pt idx="0">
                  <c:v>Breakeven Year</c:v>
                </c:pt>
              </c:strCache>
            </c:strRef>
          </c:tx>
          <c:spPr>
            <a:ln w="28575" cap="rnd">
              <a:solidFill>
                <a:schemeClr val="accent3"/>
              </a:solidFill>
              <a:round/>
            </a:ln>
            <a:effectLst/>
          </c:spPr>
          <c:marker>
            <c:symbol val="circle"/>
            <c:size val="5"/>
            <c:spPr>
              <a:solidFill>
                <a:srgbClr val="C00000"/>
              </a:solidFill>
              <a:ln w="9525">
                <a:solidFill>
                  <a:schemeClr val="accent3"/>
                </a:solidFill>
              </a:ln>
              <a:effectLst/>
            </c:spPr>
          </c:marker>
          <c:cat>
            <c:numRef>
              <c:f>'True 1Lgh, .016j'!$B$43:$K$43</c:f>
              <c:numCache>
                <c:formatCode>0%</c:formatCode>
                <c:ptCount val="9"/>
                <c:pt idx="0">
                  <c:v>2</c:v>
                </c:pt>
                <c:pt idx="1">
                  <c:v>1.5</c:v>
                </c:pt>
                <c:pt idx="2">
                  <c:v>1</c:v>
                </c:pt>
                <c:pt idx="3">
                  <c:v>0.9</c:v>
                </c:pt>
                <c:pt idx="4">
                  <c:v>0.75</c:v>
                </c:pt>
                <c:pt idx="5">
                  <c:v>0.6</c:v>
                </c:pt>
                <c:pt idx="6">
                  <c:v>0.5</c:v>
                </c:pt>
                <c:pt idx="7">
                  <c:v>0.4</c:v>
                </c:pt>
                <c:pt idx="8">
                  <c:v>0.2</c:v>
                </c:pt>
              </c:numCache>
            </c:numRef>
          </c:cat>
          <c:val>
            <c:numRef>
              <c:f>'True 1Lgh, .016j'!$B$48:$K$48</c:f>
              <c:numCache>
                <c:formatCode>General</c:formatCode>
                <c:ptCount val="9"/>
                <c:pt idx="0">
                  <c:v>22.928000449329225</c:v>
                </c:pt>
                <c:pt idx="1">
                  <c:v>18.140534717824597</c:v>
                </c:pt>
                <c:pt idx="2">
                  <c:v>13.353068986319972</c:v>
                </c:pt>
                <c:pt idx="3">
                  <c:v>12.395575840019047</c:v>
                </c:pt>
                <c:pt idx="4">
                  <c:v>10.959336120567658</c:v>
                </c:pt>
                <c:pt idx="5">
                  <c:v>9.523096401116268</c:v>
                </c:pt>
                <c:pt idx="6">
                  <c:v>8.5656032548153433</c:v>
                </c:pt>
                <c:pt idx="7">
                  <c:v>7.6081101085144196</c:v>
                </c:pt>
                <c:pt idx="8">
                  <c:v>5.6931238159125686</c:v>
                </c:pt>
              </c:numCache>
            </c:numRef>
          </c:val>
          <c:smooth val="0"/>
          <c:extLst>
            <c:ext xmlns:c16="http://schemas.microsoft.com/office/drawing/2014/chart" uri="{C3380CC4-5D6E-409C-BE32-E72D297353CC}">
              <c16:uniqueId val="{00000000-C359-440C-BF65-9989FCD48E0C}"/>
            </c:ext>
          </c:extLst>
        </c:ser>
        <c:dLbls>
          <c:showLegendKey val="0"/>
          <c:showVal val="0"/>
          <c:showCatName val="0"/>
          <c:showSerName val="0"/>
          <c:showPercent val="0"/>
          <c:showBubbleSize val="0"/>
        </c:dLbls>
        <c:marker val="1"/>
        <c:smooth val="0"/>
        <c:axId val="1641901423"/>
        <c:axId val="1641901903"/>
      </c:lineChart>
      <c:catAx>
        <c:axId val="164190142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of current PCFC cost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1901903"/>
        <c:crosses val="autoZero"/>
        <c:auto val="1"/>
        <c:lblAlgn val="ctr"/>
        <c:lblOffset val="100"/>
        <c:noMultiLvlLbl val="0"/>
      </c:catAx>
      <c:valAx>
        <c:axId val="164190190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Breakeven Year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190142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769150949154613"/>
          <c:y val="3.8650737877723121E-2"/>
          <c:w val="0.8318544484265048"/>
          <c:h val="0.70211088752139295"/>
        </c:manualLayout>
      </c:layout>
      <c:barChart>
        <c:barDir val="col"/>
        <c:grouping val="stacked"/>
        <c:varyColors val="0"/>
        <c:ser>
          <c:idx val="0"/>
          <c:order val="0"/>
          <c:tx>
            <c:strRef>
              <c:f>Sheet1!$A$1</c:f>
              <c:strCache>
                <c:ptCount val="1"/>
                <c:pt idx="0">
                  <c:v>C2H4</c:v>
                </c:pt>
              </c:strCache>
            </c:strRef>
          </c:tx>
          <c:spPr>
            <a:solidFill>
              <a:schemeClr val="accent6">
                <a:lumMod val="75000"/>
              </a:schemeClr>
            </a:solidFill>
            <a:ln>
              <a:noFill/>
            </a:ln>
            <a:effectLst/>
          </c:spPr>
          <c:invertIfNegative val="0"/>
          <c:dPt>
            <c:idx val="19"/>
            <c:invertIfNegative val="0"/>
            <c:bubble3D val="0"/>
            <c:spPr>
              <a:pattFill prst="lgCheck">
                <a:fgClr>
                  <a:srgbClr val="4EA72E">
                    <a:lumMod val="75000"/>
                  </a:srgbClr>
                </a:fgClr>
                <a:bgClr>
                  <a:sysClr val="window" lastClr="FFFFFF">
                    <a:lumMod val="95000"/>
                  </a:sysClr>
                </a:bgClr>
              </a:pattFill>
              <a:ln>
                <a:solidFill>
                  <a:srgbClr val="196B24"/>
                </a:solidFill>
              </a:ln>
              <a:effectLst/>
            </c:spPr>
            <c:extLst>
              <c:ext xmlns:c16="http://schemas.microsoft.com/office/drawing/2014/chart" uri="{C3380CC4-5D6E-409C-BE32-E72D297353CC}">
                <c16:uniqueId val="{00000001-03DC-45FB-8CDC-A35C2E59BE67}"/>
              </c:ext>
            </c:extLst>
          </c:dPt>
          <c:cat>
            <c:numLit>
              <c:formatCode>General</c:formatCode>
              <c:ptCount val="1"/>
              <c:pt idx="0">
                <c:v>0</c:v>
              </c:pt>
            </c:numLit>
          </c:cat>
          <c:val>
            <c:numRef>
              <c:f>Sheet1!$A$4:$A$23</c:f>
              <c:numCache>
                <c:formatCode>General</c:formatCode>
                <c:ptCount val="20"/>
                <c:pt idx="0">
                  <c:v>75.52</c:v>
                </c:pt>
                <c:pt idx="1">
                  <c:v>64.760000000000005</c:v>
                </c:pt>
                <c:pt idx="2">
                  <c:v>55.01</c:v>
                </c:pt>
                <c:pt idx="3">
                  <c:v>47.04</c:v>
                </c:pt>
                <c:pt idx="4">
                  <c:v>40.78</c:v>
                </c:pt>
                <c:pt idx="5">
                  <c:v>35.869999999999997</c:v>
                </c:pt>
                <c:pt idx="6">
                  <c:v>31.99</c:v>
                </c:pt>
                <c:pt idx="7">
                  <c:v>28.89</c:v>
                </c:pt>
                <c:pt idx="8">
                  <c:v>26.36</c:v>
                </c:pt>
                <c:pt idx="9">
                  <c:v>24.27</c:v>
                </c:pt>
                <c:pt idx="10">
                  <c:v>22.52</c:v>
                </c:pt>
                <c:pt idx="11">
                  <c:v>21.02</c:v>
                </c:pt>
                <c:pt idx="12">
                  <c:v>19.739999999999998</c:v>
                </c:pt>
                <c:pt idx="13">
                  <c:v>18.63</c:v>
                </c:pt>
                <c:pt idx="14">
                  <c:v>17.649999999999999</c:v>
                </c:pt>
                <c:pt idx="15">
                  <c:v>16.78</c:v>
                </c:pt>
                <c:pt idx="16">
                  <c:v>16.010000000000002</c:v>
                </c:pt>
                <c:pt idx="17">
                  <c:v>15.32</c:v>
                </c:pt>
                <c:pt idx="18">
                  <c:v>15.32</c:v>
                </c:pt>
                <c:pt idx="19">
                  <c:v>15.345000000000002</c:v>
                </c:pt>
              </c:numCache>
            </c:numRef>
          </c:val>
          <c:extLst>
            <c:ext xmlns:c16="http://schemas.microsoft.com/office/drawing/2014/chart" uri="{C3380CC4-5D6E-409C-BE32-E72D297353CC}">
              <c16:uniqueId val="{00000002-03DC-45FB-8CDC-A35C2E59BE67}"/>
            </c:ext>
          </c:extLst>
        </c:ser>
        <c:ser>
          <c:idx val="1"/>
          <c:order val="1"/>
          <c:tx>
            <c:strRef>
              <c:f>Sheet1!$B$1</c:f>
              <c:strCache>
                <c:ptCount val="1"/>
                <c:pt idx="0">
                  <c:v>C6H6</c:v>
                </c:pt>
              </c:strCache>
            </c:strRef>
          </c:tx>
          <c:spPr>
            <a:solidFill>
              <a:srgbClr val="8A0000"/>
            </a:solidFill>
            <a:ln>
              <a:solidFill>
                <a:srgbClr val="C00000"/>
              </a:solidFill>
            </a:ln>
            <a:effectLst/>
          </c:spPr>
          <c:invertIfNegative val="0"/>
          <c:dPt>
            <c:idx val="19"/>
            <c:invertIfNegative val="0"/>
            <c:bubble3D val="0"/>
            <c:spPr>
              <a:pattFill prst="lgCheck">
                <a:fgClr>
                  <a:srgbClr val="8A0000"/>
                </a:fgClr>
                <a:bgClr>
                  <a:sysClr val="window" lastClr="FFFFFF"/>
                </a:bgClr>
              </a:pattFill>
              <a:ln>
                <a:solidFill>
                  <a:srgbClr val="C00000"/>
                </a:solidFill>
              </a:ln>
              <a:effectLst/>
            </c:spPr>
            <c:extLst>
              <c:ext xmlns:c16="http://schemas.microsoft.com/office/drawing/2014/chart" uri="{C3380CC4-5D6E-409C-BE32-E72D297353CC}">
                <c16:uniqueId val="{00000004-03DC-45FB-8CDC-A35C2E59BE67}"/>
              </c:ext>
            </c:extLst>
          </c:dPt>
          <c:cat>
            <c:numLit>
              <c:formatCode>General</c:formatCode>
              <c:ptCount val="1"/>
              <c:pt idx="0">
                <c:v>0</c:v>
              </c:pt>
            </c:numLit>
          </c:cat>
          <c:val>
            <c:numRef>
              <c:f>Sheet1!$B$4:$B$23</c:f>
              <c:numCache>
                <c:formatCode>General</c:formatCode>
                <c:ptCount val="20"/>
                <c:pt idx="0">
                  <c:v>13.09</c:v>
                </c:pt>
                <c:pt idx="1">
                  <c:v>23.46</c:v>
                </c:pt>
                <c:pt idx="2">
                  <c:v>32.770000000000003</c:v>
                </c:pt>
                <c:pt idx="3">
                  <c:v>40.29</c:v>
                </c:pt>
                <c:pt idx="4">
                  <c:v>46.16</c:v>
                </c:pt>
                <c:pt idx="5">
                  <c:v>50.72</c:v>
                </c:pt>
                <c:pt idx="6">
                  <c:v>54.31</c:v>
                </c:pt>
                <c:pt idx="7">
                  <c:v>57.19</c:v>
                </c:pt>
                <c:pt idx="8">
                  <c:v>59.55</c:v>
                </c:pt>
                <c:pt idx="9">
                  <c:v>61.51</c:v>
                </c:pt>
                <c:pt idx="10">
                  <c:v>63.17</c:v>
                </c:pt>
                <c:pt idx="11">
                  <c:v>64.599999999999994</c:v>
                </c:pt>
                <c:pt idx="12">
                  <c:v>65.83</c:v>
                </c:pt>
                <c:pt idx="13">
                  <c:v>66.92</c:v>
                </c:pt>
                <c:pt idx="14">
                  <c:v>67.87</c:v>
                </c:pt>
                <c:pt idx="15">
                  <c:v>68.72</c:v>
                </c:pt>
                <c:pt idx="16">
                  <c:v>69.48</c:v>
                </c:pt>
                <c:pt idx="17">
                  <c:v>70.16</c:v>
                </c:pt>
                <c:pt idx="18">
                  <c:v>70.16</c:v>
                </c:pt>
                <c:pt idx="19">
                  <c:v>69.8</c:v>
                </c:pt>
              </c:numCache>
            </c:numRef>
          </c:val>
          <c:extLst>
            <c:ext xmlns:c16="http://schemas.microsoft.com/office/drawing/2014/chart" uri="{C3380CC4-5D6E-409C-BE32-E72D297353CC}">
              <c16:uniqueId val="{00000005-03DC-45FB-8CDC-A35C2E59BE67}"/>
            </c:ext>
          </c:extLst>
        </c:ser>
        <c:ser>
          <c:idx val="2"/>
          <c:order val="2"/>
          <c:tx>
            <c:strRef>
              <c:f>Sheet1!$C$1</c:f>
              <c:strCache>
                <c:ptCount val="1"/>
                <c:pt idx="0">
                  <c:v>C7H8</c:v>
                </c:pt>
              </c:strCache>
            </c:strRef>
          </c:tx>
          <c:spPr>
            <a:solidFill>
              <a:schemeClr val="accent4"/>
            </a:solidFill>
            <a:ln>
              <a:noFill/>
            </a:ln>
            <a:effectLst/>
          </c:spPr>
          <c:invertIfNegative val="0"/>
          <c:dPt>
            <c:idx val="19"/>
            <c:invertIfNegative val="0"/>
            <c:bubble3D val="0"/>
            <c:spPr>
              <a:pattFill prst="lgCheck">
                <a:fgClr>
                  <a:sysClr val="window" lastClr="FFFFFF"/>
                </a:fgClr>
                <a:bgClr>
                  <a:srgbClr val="FFC000"/>
                </a:bgClr>
              </a:pattFill>
              <a:ln>
                <a:solidFill>
                  <a:srgbClr val="FFC000"/>
                </a:solidFill>
              </a:ln>
              <a:effectLst/>
            </c:spPr>
            <c:extLst>
              <c:ext xmlns:c16="http://schemas.microsoft.com/office/drawing/2014/chart" uri="{C3380CC4-5D6E-409C-BE32-E72D297353CC}">
                <c16:uniqueId val="{00000007-03DC-45FB-8CDC-A35C2E59BE67}"/>
              </c:ext>
            </c:extLst>
          </c:dPt>
          <c:cat>
            <c:numLit>
              <c:formatCode>General</c:formatCode>
              <c:ptCount val="1"/>
              <c:pt idx="0">
                <c:v>0</c:v>
              </c:pt>
            </c:numLit>
          </c:cat>
          <c:val>
            <c:numRef>
              <c:f>Sheet1!$C$4:$C$23</c:f>
              <c:numCache>
                <c:formatCode>0.00E+00</c:formatCode>
                <c:ptCount val="20"/>
                <c:pt idx="0" formatCode="General">
                  <c:v>0.27889999999999998</c:v>
                </c:pt>
                <c:pt idx="1">
                  <c:v>0.57889999999999997</c:v>
                </c:pt>
                <c:pt idx="2" formatCode="General">
                  <c:v>0.9274</c:v>
                </c:pt>
                <c:pt idx="3" formatCode="General">
                  <c:v>1.274</c:v>
                </c:pt>
                <c:pt idx="4" formatCode="General">
                  <c:v>1.585</c:v>
                </c:pt>
                <c:pt idx="5" formatCode="General">
                  <c:v>1.8420000000000001</c:v>
                </c:pt>
                <c:pt idx="6" formatCode="General">
                  <c:v>2.0390000000000001</c:v>
                </c:pt>
                <c:pt idx="7" formatCode="General">
                  <c:v>2.1779999999999999</c:v>
                </c:pt>
                <c:pt idx="8" formatCode="General">
                  <c:v>2.2650000000000001</c:v>
                </c:pt>
                <c:pt idx="9" formatCode="General">
                  <c:v>2.3079999999999998</c:v>
                </c:pt>
                <c:pt idx="10" formatCode="General">
                  <c:v>2.3170000000000002</c:v>
                </c:pt>
                <c:pt idx="11" formatCode="General">
                  <c:v>2.2999999999999998</c:v>
                </c:pt>
                <c:pt idx="12" formatCode="General">
                  <c:v>2.2629999999999999</c:v>
                </c:pt>
                <c:pt idx="13" formatCode="General">
                  <c:v>2.2130000000000001</c:v>
                </c:pt>
                <c:pt idx="14" formatCode="General">
                  <c:v>2.1549999999999998</c:v>
                </c:pt>
                <c:pt idx="15" formatCode="General">
                  <c:v>2.0920000000000001</c:v>
                </c:pt>
                <c:pt idx="16" formatCode="General">
                  <c:v>2.0270000000000001</c:v>
                </c:pt>
                <c:pt idx="17" formatCode="General">
                  <c:v>1.962</c:v>
                </c:pt>
                <c:pt idx="18" formatCode="General">
                  <c:v>1.962</c:v>
                </c:pt>
                <c:pt idx="19" formatCode="General">
                  <c:v>2.2000000000000002</c:v>
                </c:pt>
              </c:numCache>
            </c:numRef>
          </c:val>
          <c:extLst>
            <c:ext xmlns:c16="http://schemas.microsoft.com/office/drawing/2014/chart" uri="{C3380CC4-5D6E-409C-BE32-E72D297353CC}">
              <c16:uniqueId val="{00000008-03DC-45FB-8CDC-A35C2E59BE67}"/>
            </c:ext>
          </c:extLst>
        </c:ser>
        <c:ser>
          <c:idx val="3"/>
          <c:order val="3"/>
          <c:tx>
            <c:strRef>
              <c:f>Sheet1!$D$1</c:f>
              <c:strCache>
                <c:ptCount val="1"/>
                <c:pt idx="0">
                  <c:v>Coke/CO</c:v>
                </c:pt>
              </c:strCache>
            </c:strRef>
          </c:tx>
          <c:spPr>
            <a:solidFill>
              <a:schemeClr val="tx1">
                <a:lumMod val="50000"/>
                <a:lumOff val="50000"/>
              </a:schemeClr>
            </a:solidFill>
            <a:ln>
              <a:noFill/>
            </a:ln>
            <a:effectLst/>
          </c:spPr>
          <c:invertIfNegative val="0"/>
          <c:dPt>
            <c:idx val="19"/>
            <c:invertIfNegative val="0"/>
            <c:bubble3D val="0"/>
            <c:spPr>
              <a:pattFill prst="lgCheck">
                <a:fgClr>
                  <a:sysClr val="windowText" lastClr="000000">
                    <a:lumMod val="50000"/>
                    <a:lumOff val="50000"/>
                  </a:sysClr>
                </a:fgClr>
                <a:bgClr>
                  <a:sysClr val="window" lastClr="FFFFFF"/>
                </a:bgClr>
              </a:pattFill>
              <a:ln>
                <a:solidFill>
                  <a:srgbClr val="156082"/>
                </a:solidFill>
              </a:ln>
              <a:effectLst/>
            </c:spPr>
            <c:extLst>
              <c:ext xmlns:c16="http://schemas.microsoft.com/office/drawing/2014/chart" uri="{C3380CC4-5D6E-409C-BE32-E72D297353CC}">
                <c16:uniqueId val="{0000000A-03DC-45FB-8CDC-A35C2E59BE67}"/>
              </c:ext>
            </c:extLst>
          </c:dPt>
          <c:cat>
            <c:numLit>
              <c:formatCode>General</c:formatCode>
              <c:ptCount val="1"/>
              <c:pt idx="0">
                <c:v>0</c:v>
              </c:pt>
            </c:numLit>
          </c:cat>
          <c:val>
            <c:numRef>
              <c:f>Sheet1!$D$4:$D$23</c:f>
              <c:numCache>
                <c:formatCode>General</c:formatCode>
                <c:ptCount val="20"/>
                <c:pt idx="0">
                  <c:v>11.12</c:v>
                </c:pt>
                <c:pt idx="1">
                  <c:v>11.21</c:v>
                </c:pt>
                <c:pt idx="2">
                  <c:v>11.3</c:v>
                </c:pt>
                <c:pt idx="3">
                  <c:v>11.39</c:v>
                </c:pt>
                <c:pt idx="4">
                  <c:v>11.48</c:v>
                </c:pt>
                <c:pt idx="5">
                  <c:v>11.57</c:v>
                </c:pt>
                <c:pt idx="6">
                  <c:v>11.65</c:v>
                </c:pt>
                <c:pt idx="7">
                  <c:v>11.74</c:v>
                </c:pt>
                <c:pt idx="8">
                  <c:v>11.83</c:v>
                </c:pt>
                <c:pt idx="9">
                  <c:v>11.91</c:v>
                </c:pt>
                <c:pt idx="10">
                  <c:v>12</c:v>
                </c:pt>
                <c:pt idx="11">
                  <c:v>12.08</c:v>
                </c:pt>
                <c:pt idx="12">
                  <c:v>12.16</c:v>
                </c:pt>
                <c:pt idx="13">
                  <c:v>12.24</c:v>
                </c:pt>
                <c:pt idx="14">
                  <c:v>12.32</c:v>
                </c:pt>
                <c:pt idx="15">
                  <c:v>12.4</c:v>
                </c:pt>
                <c:pt idx="16">
                  <c:v>12.48</c:v>
                </c:pt>
                <c:pt idx="17">
                  <c:v>12.55</c:v>
                </c:pt>
                <c:pt idx="18">
                  <c:v>12.55</c:v>
                </c:pt>
                <c:pt idx="19">
                  <c:v>12.65</c:v>
                </c:pt>
              </c:numCache>
            </c:numRef>
          </c:val>
          <c:extLst>
            <c:ext xmlns:c16="http://schemas.microsoft.com/office/drawing/2014/chart" uri="{C3380CC4-5D6E-409C-BE32-E72D297353CC}">
              <c16:uniqueId val="{0000000B-03DC-45FB-8CDC-A35C2E59BE67}"/>
            </c:ext>
          </c:extLst>
        </c:ser>
        <c:dLbls>
          <c:showLegendKey val="0"/>
          <c:showVal val="0"/>
          <c:showCatName val="0"/>
          <c:showSerName val="0"/>
          <c:showPercent val="0"/>
          <c:showBubbleSize val="0"/>
        </c:dLbls>
        <c:gapWidth val="150"/>
        <c:overlap val="100"/>
        <c:axId val="1439374080"/>
        <c:axId val="1439362080"/>
      </c:barChart>
      <c:catAx>
        <c:axId val="14393740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Progression</a:t>
                </a:r>
                <a:r>
                  <a:rPr lang="en-US" baseline="0"/>
                  <a:t> through cell (x/L)</a:t>
                </a:r>
              </a:p>
            </c:rich>
          </c:tx>
          <c:layout>
            <c:manualLayout>
              <c:xMode val="edge"/>
              <c:yMode val="edge"/>
              <c:x val="0.38010677444389213"/>
              <c:y val="0.7955977013325119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out"/>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9362080"/>
        <c:crosses val="autoZero"/>
        <c:auto val="1"/>
        <c:lblAlgn val="ctr"/>
        <c:lblOffset val="100"/>
        <c:noMultiLvlLbl val="0"/>
      </c:catAx>
      <c:valAx>
        <c:axId val="1439362080"/>
        <c:scaling>
          <c:orientation val="minMax"/>
          <c:max val="1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Selectivity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9374080"/>
        <c:crosses val="autoZero"/>
        <c:crossBetween val="between"/>
      </c:valAx>
      <c:spPr>
        <a:noFill/>
        <a:ln>
          <a:noFill/>
        </a:ln>
        <a:effectLst/>
      </c:spPr>
    </c:plotArea>
    <c:legend>
      <c:legendPos val="b"/>
      <c:layout>
        <c:manualLayout>
          <c:xMode val="edge"/>
          <c:yMode val="edge"/>
          <c:x val="0.29157576233203408"/>
          <c:y val="0.90339614493569287"/>
          <c:w val="0.43345955302098865"/>
          <c:h val="5.92941606122144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219550908906066"/>
          <c:y val="4.1237113402061855E-2"/>
          <c:w val="0.74916225850777396"/>
          <c:h val="0.74614750475778158"/>
        </c:manualLayout>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'All Trues'!$S$80:$S$89</c:f>
              <c:numCache>
                <c:formatCode>General</c:formatCode>
                <c:ptCount val="10"/>
                <c:pt idx="0">
                  <c:v>160.934</c:v>
                </c:pt>
                <c:pt idx="1">
                  <c:v>321.86799999999999</c:v>
                </c:pt>
                <c:pt idx="2">
                  <c:v>482.80200000000002</c:v>
                </c:pt>
                <c:pt idx="3">
                  <c:v>643.73599999999999</c:v>
                </c:pt>
                <c:pt idx="4">
                  <c:v>804.67</c:v>
                </c:pt>
                <c:pt idx="5">
                  <c:v>1207.0049999999999</c:v>
                </c:pt>
                <c:pt idx="6">
                  <c:v>1609.34</c:v>
                </c:pt>
                <c:pt idx="7">
                  <c:v>2414.0099999999998</c:v>
                </c:pt>
                <c:pt idx="8">
                  <c:v>3218.68</c:v>
                </c:pt>
                <c:pt idx="9">
                  <c:v>4023.35</c:v>
                </c:pt>
              </c:numCache>
            </c:numRef>
          </c:xVal>
          <c:yVal>
            <c:numRef>
              <c:f>'All Trues'!$T$80:$T$89</c:f>
              <c:numCache>
                <c:formatCode>"$"#,##0.00</c:formatCode>
                <c:ptCount val="10"/>
                <c:pt idx="0">
                  <c:v>141462.18141186284</c:v>
                </c:pt>
                <c:pt idx="1">
                  <c:v>142924.36282372571</c:v>
                </c:pt>
                <c:pt idx="2">
                  <c:v>144386.5442355886</c:v>
                </c:pt>
                <c:pt idx="3">
                  <c:v>145848.72564745141</c:v>
                </c:pt>
                <c:pt idx="4">
                  <c:v>147310.90705931428</c:v>
                </c:pt>
                <c:pt idx="5">
                  <c:v>150966.36058897144</c:v>
                </c:pt>
                <c:pt idx="6">
                  <c:v>154621.81411862859</c:v>
                </c:pt>
                <c:pt idx="7">
                  <c:v>161932.72117794285</c:v>
                </c:pt>
                <c:pt idx="8">
                  <c:v>169243.62823725716</c:v>
                </c:pt>
                <c:pt idx="9">
                  <c:v>176554.53529657141</c:v>
                </c:pt>
              </c:numCache>
            </c:numRef>
          </c:yVal>
          <c:smooth val="0"/>
          <c:extLst>
            <c:ext xmlns:c16="http://schemas.microsoft.com/office/drawing/2014/chart" uri="{C3380CC4-5D6E-409C-BE32-E72D297353CC}">
              <c16:uniqueId val="{00000000-C289-4D63-856E-E56643615A44}"/>
            </c:ext>
          </c:extLst>
        </c:ser>
        <c:dLbls>
          <c:showLegendKey val="0"/>
          <c:showVal val="0"/>
          <c:showCatName val="0"/>
          <c:showSerName val="0"/>
          <c:showPercent val="0"/>
          <c:showBubbleSize val="0"/>
        </c:dLbls>
        <c:axId val="885153167"/>
        <c:axId val="889021727"/>
      </c:scatterChart>
      <c:valAx>
        <c:axId val="88515316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Distance</a:t>
                </a:r>
                <a:r>
                  <a:rPr lang="en-US" baseline="0"/>
                  <a:t> to Market [km]</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9021727"/>
        <c:crosses val="autoZero"/>
        <c:crossBetween val="midCat"/>
      </c:valAx>
      <c:valAx>
        <c:axId val="88902172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Cost per year [$/yr]</a:t>
                </a:r>
              </a:p>
            </c:rich>
          </c:tx>
          <c:layout>
            <c:manualLayout>
              <c:xMode val="edge"/>
              <c:yMode val="edge"/>
              <c:x val="1.668198209184029E-2"/>
              <c:y val="0.1786329206947026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5153167"/>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noFill/>
              <a:ln w="9525">
                <a:noFill/>
              </a:ln>
              <a:effectLst/>
            </c:spPr>
          </c:marker>
          <c:xVal>
            <c:numRef>
              <c:f>'[IVP Curves.XLSX]H2'!$A$4:$A$31</c:f>
              <c:numCache>
                <c:formatCode>General</c:formatCode>
                <c:ptCount val="28"/>
                <c:pt idx="0">
                  <c:v>1.2999999999999999E-2</c:v>
                </c:pt>
                <c:pt idx="1">
                  <c:v>0.09</c:v>
                </c:pt>
                <c:pt idx="2">
                  <c:v>0.2</c:v>
                </c:pt>
                <c:pt idx="3">
                  <c:v>0.41045498547918602</c:v>
                </c:pt>
                <c:pt idx="4">
                  <c:v>0.50726040658276805</c:v>
                </c:pt>
                <c:pt idx="5">
                  <c:v>0.60406582768634998</c:v>
                </c:pt>
                <c:pt idx="6">
                  <c:v>0.72797676669893496</c:v>
                </c:pt>
                <c:pt idx="7">
                  <c:v>0.84414327202323303</c:v>
                </c:pt>
                <c:pt idx="8">
                  <c:v>0.93320425943852803</c:v>
                </c:pt>
                <c:pt idx="9">
                  <c:v>1.02226524685382</c:v>
                </c:pt>
                <c:pt idx="10">
                  <c:v>1.1229428848015399</c:v>
                </c:pt>
                <c:pt idx="11">
                  <c:v>1.25847047434656</c:v>
                </c:pt>
                <c:pt idx="12">
                  <c:v>1.36689254598257</c:v>
                </c:pt>
                <c:pt idx="13">
                  <c:v>1.4908034849951599</c:v>
                </c:pt>
                <c:pt idx="14">
                  <c:v>1.60309777347531</c:v>
                </c:pt>
                <c:pt idx="15">
                  <c:v>1.7386253630203199</c:v>
                </c:pt>
                <c:pt idx="16">
                  <c:v>1.8547918683446201</c:v>
                </c:pt>
                <c:pt idx="17">
                  <c:v>1.9632139399806301</c:v>
                </c:pt>
                <c:pt idx="18">
                  <c:v>2.0871248789932202</c:v>
                </c:pt>
                <c:pt idx="19">
                  <c:v>2.1878025169409399</c:v>
                </c:pt>
                <c:pt idx="20">
                  <c:v>2.27686350435624</c:v>
                </c:pt>
                <c:pt idx="21">
                  <c:v>2.3543078412391099</c:v>
                </c:pt>
                <c:pt idx="22">
                  <c:v>2.4433688286544002</c:v>
                </c:pt>
                <c:pt idx="23">
                  <c:v>2.5208131655372701</c:v>
                </c:pt>
                <c:pt idx="24">
                  <c:v>2.6137463697966998</c:v>
                </c:pt>
                <c:pt idx="25">
                  <c:v>2.6873184898354299</c:v>
                </c:pt>
                <c:pt idx="26">
                  <c:v>2.7996127783155802</c:v>
                </c:pt>
                <c:pt idx="27">
                  <c:v>2.91965150048402</c:v>
                </c:pt>
              </c:numCache>
            </c:numRef>
          </c:xVal>
          <c:yVal>
            <c:numRef>
              <c:f>'[IVP Curves.XLSX]H2'!$B$4:$B$27</c:f>
              <c:numCache>
                <c:formatCode>General</c:formatCode>
                <c:ptCount val="24"/>
                <c:pt idx="0">
                  <c:v>1.1599999999999999</c:v>
                </c:pt>
                <c:pt idx="1">
                  <c:v>1.1000000000000001</c:v>
                </c:pt>
                <c:pt idx="2">
                  <c:v>1.06</c:v>
                </c:pt>
                <c:pt idx="3">
                  <c:v>1.0026410564225601</c:v>
                </c:pt>
                <c:pt idx="4">
                  <c:v>0.98823529411764699</c:v>
                </c:pt>
                <c:pt idx="5">
                  <c:v>0.97094837935174005</c:v>
                </c:pt>
                <c:pt idx="6">
                  <c:v>0.95366146458583401</c:v>
                </c:pt>
                <c:pt idx="7">
                  <c:v>0.93493397358943497</c:v>
                </c:pt>
                <c:pt idx="8">
                  <c:v>0.92340936374549798</c:v>
                </c:pt>
                <c:pt idx="9">
                  <c:v>0.91188475390155999</c:v>
                </c:pt>
                <c:pt idx="10">
                  <c:v>0.89171668667466897</c:v>
                </c:pt>
                <c:pt idx="11">
                  <c:v>0.87154861944777895</c:v>
                </c:pt>
                <c:pt idx="12">
                  <c:v>0.855702280912365</c:v>
                </c:pt>
                <c:pt idx="13">
                  <c:v>0.834093637454981</c:v>
                </c:pt>
                <c:pt idx="14">
                  <c:v>0.81248499399759799</c:v>
                </c:pt>
                <c:pt idx="15">
                  <c:v>0.78511404561824705</c:v>
                </c:pt>
                <c:pt idx="16">
                  <c:v>0.77070828331332497</c:v>
                </c:pt>
                <c:pt idx="17">
                  <c:v>0.75054021608643395</c:v>
                </c:pt>
                <c:pt idx="18">
                  <c:v>0.72028811524609804</c:v>
                </c:pt>
                <c:pt idx="19">
                  <c:v>0.71020408163265303</c:v>
                </c:pt>
                <c:pt idx="20">
                  <c:v>0.69435774309723797</c:v>
                </c:pt>
                <c:pt idx="21">
                  <c:v>0.67851140456182402</c:v>
                </c:pt>
                <c:pt idx="22">
                  <c:v>0.66554621848739404</c:v>
                </c:pt>
                <c:pt idx="23">
                  <c:v>0.646818727490996</c:v>
                </c:pt>
              </c:numCache>
            </c:numRef>
          </c:yVal>
          <c:smooth val="1"/>
          <c:extLst>
            <c:ext xmlns:c16="http://schemas.microsoft.com/office/drawing/2014/chart" uri="{C3380CC4-5D6E-409C-BE32-E72D297353CC}">
              <c16:uniqueId val="{00000000-9442-4EEE-B3AC-12B58B5A1997}"/>
            </c:ext>
          </c:extLst>
        </c:ser>
        <c:ser>
          <c:idx val="2"/>
          <c:order val="2"/>
          <c:spPr>
            <a:ln w="25400" cap="rnd">
              <a:noFill/>
              <a:round/>
            </a:ln>
            <a:effectLst/>
          </c:spPr>
          <c:marker>
            <c:symbol val="circle"/>
            <c:size val="5"/>
            <c:spPr>
              <a:noFill/>
              <a:ln w="9525">
                <a:solidFill>
                  <a:schemeClr val="accent4"/>
                </a:solidFill>
              </a:ln>
              <a:effectLst/>
            </c:spPr>
          </c:marker>
          <c:xVal>
            <c:numRef>
              <c:f>'[IVP Curves.XLSX]H2'!$N$4:$N$53</c:f>
              <c:numCache>
                <c:formatCode>General</c:formatCode>
                <c:ptCount val="50"/>
                <c:pt idx="0">
                  <c:v>0</c:v>
                </c:pt>
                <c:pt idx="1">
                  <c:v>6.1219999999999997E-2</c:v>
                </c:pt>
                <c:pt idx="2">
                  <c:v>0.12239999999999999</c:v>
                </c:pt>
                <c:pt idx="3">
                  <c:v>0.1837</c:v>
                </c:pt>
                <c:pt idx="4">
                  <c:v>0.24490000000000001</c:v>
                </c:pt>
                <c:pt idx="5">
                  <c:v>0.30609999999999998</c:v>
                </c:pt>
                <c:pt idx="6">
                  <c:v>0.36730000000000002</c:v>
                </c:pt>
                <c:pt idx="7">
                  <c:v>0.42859999999999998</c:v>
                </c:pt>
                <c:pt idx="8">
                  <c:v>0.48980000000000001</c:v>
                </c:pt>
                <c:pt idx="9">
                  <c:v>0.55100000000000005</c:v>
                </c:pt>
                <c:pt idx="10">
                  <c:v>0.61219999999999997</c:v>
                </c:pt>
                <c:pt idx="11">
                  <c:v>0.67349999999999999</c:v>
                </c:pt>
                <c:pt idx="12">
                  <c:v>0.73470000000000002</c:v>
                </c:pt>
                <c:pt idx="13">
                  <c:v>0.79590000000000005</c:v>
                </c:pt>
                <c:pt idx="14">
                  <c:v>0.85709999999999997</c:v>
                </c:pt>
                <c:pt idx="15">
                  <c:v>0.91839999999999999</c:v>
                </c:pt>
                <c:pt idx="16">
                  <c:v>0.97960000000000003</c:v>
                </c:pt>
                <c:pt idx="17">
                  <c:v>1.0409999999999999</c:v>
                </c:pt>
                <c:pt idx="18">
                  <c:v>1.1020000000000001</c:v>
                </c:pt>
                <c:pt idx="19">
                  <c:v>1.163</c:v>
                </c:pt>
                <c:pt idx="20">
                  <c:v>1.224</c:v>
                </c:pt>
                <c:pt idx="21">
                  <c:v>1.286</c:v>
                </c:pt>
                <c:pt idx="22">
                  <c:v>1.347</c:v>
                </c:pt>
                <c:pt idx="23">
                  <c:v>1.4079999999999999</c:v>
                </c:pt>
                <c:pt idx="24">
                  <c:v>1.4690000000000001</c:v>
                </c:pt>
                <c:pt idx="25">
                  <c:v>1.5309999999999999</c:v>
                </c:pt>
                <c:pt idx="26">
                  <c:v>1.5920000000000001</c:v>
                </c:pt>
                <c:pt idx="27">
                  <c:v>1.653</c:v>
                </c:pt>
                <c:pt idx="28">
                  <c:v>1.714</c:v>
                </c:pt>
                <c:pt idx="29">
                  <c:v>1.776</c:v>
                </c:pt>
                <c:pt idx="30">
                  <c:v>1.837</c:v>
                </c:pt>
                <c:pt idx="31">
                  <c:v>1.8979999999999999</c:v>
                </c:pt>
                <c:pt idx="32">
                  <c:v>1.9590000000000001</c:v>
                </c:pt>
                <c:pt idx="33">
                  <c:v>2.02</c:v>
                </c:pt>
                <c:pt idx="34">
                  <c:v>2.0819999999999999</c:v>
                </c:pt>
                <c:pt idx="35">
                  <c:v>2.1429999999999998</c:v>
                </c:pt>
                <c:pt idx="36">
                  <c:v>2.2040000000000002</c:v>
                </c:pt>
                <c:pt idx="37">
                  <c:v>2.2650000000000001</c:v>
                </c:pt>
                <c:pt idx="38">
                  <c:v>2.327</c:v>
                </c:pt>
                <c:pt idx="39">
                  <c:v>2.3879999999999999</c:v>
                </c:pt>
                <c:pt idx="40">
                  <c:v>2.4489999999999998</c:v>
                </c:pt>
                <c:pt idx="41">
                  <c:v>2.5099999999999998</c:v>
                </c:pt>
                <c:pt idx="42">
                  <c:v>2.5710000000000002</c:v>
                </c:pt>
                <c:pt idx="43">
                  <c:v>2.633</c:v>
                </c:pt>
                <c:pt idx="44">
                  <c:v>2.694</c:v>
                </c:pt>
                <c:pt idx="45">
                  <c:v>2.7549999999999999</c:v>
                </c:pt>
                <c:pt idx="46">
                  <c:v>2.8159999999999998</c:v>
                </c:pt>
                <c:pt idx="47">
                  <c:v>2.8780000000000001</c:v>
                </c:pt>
                <c:pt idx="48">
                  <c:v>2.9390000000000001</c:v>
                </c:pt>
                <c:pt idx="49">
                  <c:v>3</c:v>
                </c:pt>
              </c:numCache>
            </c:numRef>
          </c:xVal>
          <c:yVal>
            <c:numRef>
              <c:f>'[IVP Curves.XLSX]H2'!$O$4:$O$45</c:f>
              <c:numCache>
                <c:formatCode>General</c:formatCode>
                <c:ptCount val="42"/>
                <c:pt idx="0">
                  <c:v>1.21</c:v>
                </c:pt>
                <c:pt idx="1">
                  <c:v>1.119</c:v>
                </c:pt>
                <c:pt idx="2">
                  <c:v>1.0900000000000001</c:v>
                </c:pt>
                <c:pt idx="3">
                  <c:v>1.069</c:v>
                </c:pt>
                <c:pt idx="4">
                  <c:v>1.052</c:v>
                </c:pt>
                <c:pt idx="5">
                  <c:v>1.0369999999999999</c:v>
                </c:pt>
                <c:pt idx="6">
                  <c:v>1.0229999999999999</c:v>
                </c:pt>
                <c:pt idx="7">
                  <c:v>1.01</c:v>
                </c:pt>
                <c:pt idx="8">
                  <c:v>0.99750000000000005</c:v>
                </c:pt>
                <c:pt idx="9">
                  <c:v>0.98550000000000004</c:v>
                </c:pt>
                <c:pt idx="10">
                  <c:v>0.9738</c:v>
                </c:pt>
                <c:pt idx="11">
                  <c:v>0.96230000000000004</c:v>
                </c:pt>
                <c:pt idx="12">
                  <c:v>0.95099999999999996</c:v>
                </c:pt>
                <c:pt idx="13">
                  <c:v>0.93989999999999996</c:v>
                </c:pt>
                <c:pt idx="14">
                  <c:v>0.92879999999999996</c:v>
                </c:pt>
                <c:pt idx="15">
                  <c:v>0.91790000000000005</c:v>
                </c:pt>
                <c:pt idx="16">
                  <c:v>0.90700000000000003</c:v>
                </c:pt>
                <c:pt idx="17">
                  <c:v>0.8962</c:v>
                </c:pt>
                <c:pt idx="18">
                  <c:v>0.88549999999999995</c:v>
                </c:pt>
                <c:pt idx="19">
                  <c:v>0.87470000000000003</c:v>
                </c:pt>
                <c:pt idx="20">
                  <c:v>0.86409999999999998</c:v>
                </c:pt>
                <c:pt idx="21">
                  <c:v>0.85340000000000005</c:v>
                </c:pt>
                <c:pt idx="22">
                  <c:v>0.84279999999999999</c:v>
                </c:pt>
                <c:pt idx="23">
                  <c:v>0.83220000000000005</c:v>
                </c:pt>
                <c:pt idx="24">
                  <c:v>0.8216</c:v>
                </c:pt>
                <c:pt idx="25">
                  <c:v>0.81100000000000005</c:v>
                </c:pt>
                <c:pt idx="26">
                  <c:v>0.80049999999999999</c:v>
                </c:pt>
                <c:pt idx="27">
                  <c:v>0.79</c:v>
                </c:pt>
                <c:pt idx="28">
                  <c:v>0.77949999999999997</c:v>
                </c:pt>
                <c:pt idx="29">
                  <c:v>0.76900000000000002</c:v>
                </c:pt>
                <c:pt idx="30">
                  <c:v>0.75849999999999995</c:v>
                </c:pt>
                <c:pt idx="31">
                  <c:v>0.74809999999999999</c:v>
                </c:pt>
                <c:pt idx="32">
                  <c:v>0.73770000000000002</c:v>
                </c:pt>
                <c:pt idx="33">
                  <c:v>0.72719999999999996</c:v>
                </c:pt>
                <c:pt idx="34">
                  <c:v>0.71679999999999999</c:v>
                </c:pt>
                <c:pt idx="35">
                  <c:v>0.70630000000000004</c:v>
                </c:pt>
                <c:pt idx="36">
                  <c:v>0.69579999999999997</c:v>
                </c:pt>
                <c:pt idx="37">
                  <c:v>0.68520000000000003</c:v>
                </c:pt>
                <c:pt idx="38">
                  <c:v>0.6744</c:v>
                </c:pt>
                <c:pt idx="39">
                  <c:v>0.66320000000000001</c:v>
                </c:pt>
                <c:pt idx="40">
                  <c:v>0.65139999999999998</c:v>
                </c:pt>
                <c:pt idx="41">
                  <c:v>0.63790000000000002</c:v>
                </c:pt>
              </c:numCache>
            </c:numRef>
          </c:yVal>
          <c:smooth val="0"/>
          <c:extLst>
            <c:ext xmlns:c16="http://schemas.microsoft.com/office/drawing/2014/chart" uri="{C3380CC4-5D6E-409C-BE32-E72D297353CC}">
              <c16:uniqueId val="{00000001-9442-4EEE-B3AC-12B58B5A1997}"/>
            </c:ext>
          </c:extLst>
        </c:ser>
        <c:ser>
          <c:idx val="5"/>
          <c:order val="5"/>
          <c:tx>
            <c:v>550 C</c:v>
          </c:tx>
          <c:spPr>
            <a:ln w="19050" cap="rnd">
              <a:solidFill>
                <a:schemeClr val="accent3"/>
              </a:solidFill>
              <a:round/>
            </a:ln>
            <a:effectLst/>
          </c:spPr>
          <c:marker>
            <c:symbol val="circle"/>
            <c:size val="5"/>
            <c:spPr>
              <a:noFill/>
              <a:ln w="9525">
                <a:noFill/>
              </a:ln>
              <a:effectLst/>
            </c:spPr>
          </c:marker>
          <c:xVal>
            <c:numRef>
              <c:f>'[IVP Curves.XLSX]H2'!$E$4:$E$26</c:f>
              <c:numCache>
                <c:formatCode>General</c:formatCode>
                <c:ptCount val="23"/>
                <c:pt idx="0">
                  <c:v>0.216844143272023</c:v>
                </c:pt>
                <c:pt idx="1">
                  <c:v>0.329138431752178</c:v>
                </c:pt>
                <c:pt idx="2">
                  <c:v>0.46466602129719198</c:v>
                </c:pt>
                <c:pt idx="3">
                  <c:v>0.58857696030977702</c:v>
                </c:pt>
                <c:pt idx="4">
                  <c:v>0.74733785091965099</c:v>
                </c:pt>
                <c:pt idx="5">
                  <c:v>0.94094869312681495</c:v>
                </c:pt>
                <c:pt idx="6">
                  <c:v>1.0648596321393899</c:v>
                </c:pt>
                <c:pt idx="7">
                  <c:v>1.18877057115198</c:v>
                </c:pt>
                <c:pt idx="8">
                  <c:v>1.2971926427879901</c:v>
                </c:pt>
                <c:pt idx="9">
                  <c:v>1.41335914811229</c:v>
                </c:pt>
                <c:pt idx="10">
                  <c:v>1.52952565343659</c:v>
                </c:pt>
                <c:pt idx="11">
                  <c:v>1.6340755082284599</c:v>
                </c:pt>
                <c:pt idx="12">
                  <c:v>1.7502420135527501</c:v>
                </c:pt>
                <c:pt idx="13">
                  <c:v>1.8547918683446201</c:v>
                </c:pt>
                <c:pt idx="14">
                  <c:v>2.0096805421103499</c:v>
                </c:pt>
                <c:pt idx="15">
                  <c:v>2.1064859632139399</c:v>
                </c:pt>
                <c:pt idx="16">
                  <c:v>2.2149080348499499</c:v>
                </c:pt>
                <c:pt idx="17">
                  <c:v>2.31558567279767</c:v>
                </c:pt>
                <c:pt idx="18">
                  <c:v>2.4007744433688201</c:v>
                </c:pt>
                <c:pt idx="19">
                  <c:v>2.4820909970958298</c:v>
                </c:pt>
                <c:pt idx="20">
                  <c:v>2.5672797676669799</c:v>
                </c:pt>
                <c:pt idx="21">
                  <c:v>2.6369796708615598</c:v>
                </c:pt>
                <c:pt idx="22">
                  <c:v>2.7028073572119999</c:v>
                </c:pt>
              </c:numCache>
            </c:numRef>
          </c:xVal>
          <c:yVal>
            <c:numRef>
              <c:f>'[IVP Curves.XLSX]H2'!$F$4:$F$21</c:f>
              <c:numCache>
                <c:formatCode>General</c:formatCode>
                <c:ptCount val="18"/>
                <c:pt idx="0">
                  <c:v>1.04729891956782</c:v>
                </c:pt>
                <c:pt idx="1">
                  <c:v>1.0156062424969901</c:v>
                </c:pt>
                <c:pt idx="2">
                  <c:v>0.98103241296518595</c:v>
                </c:pt>
                <c:pt idx="3">
                  <c:v>0.94501800720288098</c:v>
                </c:pt>
                <c:pt idx="4">
                  <c:v>0.90324129651860696</c:v>
                </c:pt>
                <c:pt idx="5">
                  <c:v>0.85426170468187201</c:v>
                </c:pt>
                <c:pt idx="6">
                  <c:v>0.82400960384153599</c:v>
                </c:pt>
                <c:pt idx="7">
                  <c:v>0.79519807923169195</c:v>
                </c:pt>
                <c:pt idx="8">
                  <c:v>0.77214885954381696</c:v>
                </c:pt>
                <c:pt idx="9">
                  <c:v>0.75054021608643395</c:v>
                </c:pt>
                <c:pt idx="10">
                  <c:v>0.72316926770708201</c:v>
                </c:pt>
                <c:pt idx="11">
                  <c:v>0.69435774309723797</c:v>
                </c:pt>
                <c:pt idx="12">
                  <c:v>0.66266506602640995</c:v>
                </c:pt>
                <c:pt idx="13">
                  <c:v>0.63673469387755099</c:v>
                </c:pt>
                <c:pt idx="14">
                  <c:v>0.60216086434573801</c:v>
                </c:pt>
                <c:pt idx="15">
                  <c:v>0.57623049219687805</c:v>
                </c:pt>
                <c:pt idx="16">
                  <c:v>0.548859543817527</c:v>
                </c:pt>
                <c:pt idx="17">
                  <c:v>0.53157262905161995</c:v>
                </c:pt>
              </c:numCache>
            </c:numRef>
          </c:yVal>
          <c:smooth val="0"/>
          <c:extLst>
            <c:ext xmlns:c16="http://schemas.microsoft.com/office/drawing/2014/chart" uri="{C3380CC4-5D6E-409C-BE32-E72D297353CC}">
              <c16:uniqueId val="{00000002-9442-4EEE-B3AC-12B58B5A1997}"/>
            </c:ext>
          </c:extLst>
        </c:ser>
        <c:ser>
          <c:idx val="6"/>
          <c:order val="6"/>
          <c:spPr>
            <a:ln w="25400" cap="rnd">
              <a:noFill/>
              <a:round/>
            </a:ln>
            <a:effectLst/>
          </c:spPr>
          <c:marker>
            <c:symbol val="circle"/>
            <c:size val="5"/>
            <c:spPr>
              <a:noFill/>
              <a:ln w="9525">
                <a:solidFill>
                  <a:schemeClr val="accent6"/>
                </a:solidFill>
              </a:ln>
              <a:effectLst/>
            </c:spPr>
          </c:marker>
          <c:xVal>
            <c:numRef>
              <c:f>'[IVP Curves.XLSX]H2'!$Q$4:$Q$48</c:f>
              <c:numCache>
                <c:formatCode>General</c:formatCode>
                <c:ptCount val="45"/>
                <c:pt idx="0">
                  <c:v>0</c:v>
                </c:pt>
                <c:pt idx="1">
                  <c:v>6.1219999999999997E-2</c:v>
                </c:pt>
                <c:pt idx="2">
                  <c:v>0.12239999999999999</c:v>
                </c:pt>
                <c:pt idx="3">
                  <c:v>0.1837</c:v>
                </c:pt>
                <c:pt idx="4">
                  <c:v>0.24490000000000001</c:v>
                </c:pt>
                <c:pt idx="5">
                  <c:v>0.30609999999999998</c:v>
                </c:pt>
                <c:pt idx="6">
                  <c:v>0.36730000000000002</c:v>
                </c:pt>
                <c:pt idx="7">
                  <c:v>0.42859999999999998</c:v>
                </c:pt>
                <c:pt idx="8">
                  <c:v>0.48980000000000001</c:v>
                </c:pt>
                <c:pt idx="9">
                  <c:v>0.55100000000000005</c:v>
                </c:pt>
                <c:pt idx="10">
                  <c:v>0.61219999999999997</c:v>
                </c:pt>
                <c:pt idx="11">
                  <c:v>0.67349999999999999</c:v>
                </c:pt>
                <c:pt idx="12">
                  <c:v>0.73470000000000002</c:v>
                </c:pt>
                <c:pt idx="13">
                  <c:v>0.79590000000000005</c:v>
                </c:pt>
                <c:pt idx="14">
                  <c:v>0.85709999999999997</c:v>
                </c:pt>
                <c:pt idx="15">
                  <c:v>0.91839999999999999</c:v>
                </c:pt>
                <c:pt idx="16">
                  <c:v>0.97960000000000003</c:v>
                </c:pt>
                <c:pt idx="17">
                  <c:v>1.0409999999999999</c:v>
                </c:pt>
                <c:pt idx="18">
                  <c:v>1.1020000000000001</c:v>
                </c:pt>
                <c:pt idx="19">
                  <c:v>1.163</c:v>
                </c:pt>
                <c:pt idx="20">
                  <c:v>1.224</c:v>
                </c:pt>
                <c:pt idx="21">
                  <c:v>1.286</c:v>
                </c:pt>
                <c:pt idx="22">
                  <c:v>1.347</c:v>
                </c:pt>
                <c:pt idx="23">
                  <c:v>1.4079999999999999</c:v>
                </c:pt>
                <c:pt idx="24">
                  <c:v>1.4690000000000001</c:v>
                </c:pt>
                <c:pt idx="25">
                  <c:v>1.5309999999999999</c:v>
                </c:pt>
                <c:pt idx="26">
                  <c:v>1.5920000000000001</c:v>
                </c:pt>
                <c:pt idx="27">
                  <c:v>1.653</c:v>
                </c:pt>
                <c:pt idx="28">
                  <c:v>1.714</c:v>
                </c:pt>
                <c:pt idx="29">
                  <c:v>1.776</c:v>
                </c:pt>
                <c:pt idx="30">
                  <c:v>1.837</c:v>
                </c:pt>
                <c:pt idx="31">
                  <c:v>1.8979999999999999</c:v>
                </c:pt>
                <c:pt idx="32">
                  <c:v>1.9590000000000001</c:v>
                </c:pt>
                <c:pt idx="33">
                  <c:v>2.02</c:v>
                </c:pt>
                <c:pt idx="34">
                  <c:v>2.0819999999999999</c:v>
                </c:pt>
                <c:pt idx="35">
                  <c:v>2.1429999999999998</c:v>
                </c:pt>
                <c:pt idx="36">
                  <c:v>2.2040000000000002</c:v>
                </c:pt>
                <c:pt idx="37">
                  <c:v>2.2650000000000001</c:v>
                </c:pt>
                <c:pt idx="38">
                  <c:v>2.327</c:v>
                </c:pt>
                <c:pt idx="39">
                  <c:v>2.3879999999999999</c:v>
                </c:pt>
                <c:pt idx="40">
                  <c:v>2.4489999999999998</c:v>
                </c:pt>
                <c:pt idx="41">
                  <c:v>2.5099999999999998</c:v>
                </c:pt>
                <c:pt idx="42">
                  <c:v>2.5710000000000002</c:v>
                </c:pt>
                <c:pt idx="43">
                  <c:v>2.633</c:v>
                </c:pt>
                <c:pt idx="44">
                  <c:v>2.694</c:v>
                </c:pt>
              </c:numCache>
            </c:numRef>
          </c:xVal>
          <c:yVal>
            <c:numRef>
              <c:f>'[IVP Curves.XLSX]H2'!$R$4:$R$41</c:f>
              <c:numCache>
                <c:formatCode>General</c:formatCode>
                <c:ptCount val="38"/>
                <c:pt idx="0">
                  <c:v>1.21</c:v>
                </c:pt>
                <c:pt idx="1">
                  <c:v>1.1220000000000001</c:v>
                </c:pt>
                <c:pt idx="2">
                  <c:v>1.0900000000000001</c:v>
                </c:pt>
                <c:pt idx="3">
                  <c:v>1.0660000000000001</c:v>
                </c:pt>
                <c:pt idx="4">
                  <c:v>1.044</c:v>
                </c:pt>
                <c:pt idx="5">
                  <c:v>1.024</c:v>
                </c:pt>
                <c:pt idx="6">
                  <c:v>1.006</c:v>
                </c:pt>
                <c:pt idx="7">
                  <c:v>0.98719999999999997</c:v>
                </c:pt>
                <c:pt idx="8">
                  <c:v>0.96930000000000005</c:v>
                </c:pt>
                <c:pt idx="9">
                  <c:v>0.9516</c:v>
                </c:pt>
                <c:pt idx="10">
                  <c:v>0.93420000000000003</c:v>
                </c:pt>
                <c:pt idx="11">
                  <c:v>0.91679999999999995</c:v>
                </c:pt>
                <c:pt idx="12">
                  <c:v>0.89970000000000006</c:v>
                </c:pt>
                <c:pt idx="13">
                  <c:v>0.88260000000000005</c:v>
                </c:pt>
                <c:pt idx="14">
                  <c:v>0.86580000000000001</c:v>
                </c:pt>
                <c:pt idx="15">
                  <c:v>0.84909999999999997</c:v>
                </c:pt>
                <c:pt idx="16">
                  <c:v>0.83260000000000001</c:v>
                </c:pt>
                <c:pt idx="17">
                  <c:v>0.81630000000000003</c:v>
                </c:pt>
                <c:pt idx="18">
                  <c:v>0.80030000000000001</c:v>
                </c:pt>
                <c:pt idx="19">
                  <c:v>0.78449999999999998</c:v>
                </c:pt>
                <c:pt idx="20">
                  <c:v>0.76900000000000002</c:v>
                </c:pt>
                <c:pt idx="21">
                  <c:v>0.75370000000000004</c:v>
                </c:pt>
                <c:pt idx="22">
                  <c:v>0.73880000000000001</c:v>
                </c:pt>
                <c:pt idx="23">
                  <c:v>0.72399999999999998</c:v>
                </c:pt>
                <c:pt idx="24">
                  <c:v>0.70950000000000002</c:v>
                </c:pt>
                <c:pt idx="25">
                  <c:v>0.69530000000000003</c:v>
                </c:pt>
                <c:pt idx="26">
                  <c:v>0.68140000000000001</c:v>
                </c:pt>
                <c:pt idx="27">
                  <c:v>0.66759999999999997</c:v>
                </c:pt>
                <c:pt idx="28">
                  <c:v>0.65410000000000001</c:v>
                </c:pt>
                <c:pt idx="29">
                  <c:v>0.64080000000000004</c:v>
                </c:pt>
                <c:pt idx="30">
                  <c:v>0.62770000000000004</c:v>
                </c:pt>
                <c:pt idx="31">
                  <c:v>0.61480000000000001</c:v>
                </c:pt>
                <c:pt idx="32">
                  <c:v>0.60209999999999997</c:v>
                </c:pt>
                <c:pt idx="33">
                  <c:v>0.58950000000000002</c:v>
                </c:pt>
                <c:pt idx="34">
                  <c:v>0.57709999999999995</c:v>
                </c:pt>
                <c:pt idx="35">
                  <c:v>0.56479999999999997</c:v>
                </c:pt>
                <c:pt idx="36">
                  <c:v>0.55249999999999999</c:v>
                </c:pt>
                <c:pt idx="37">
                  <c:v>0.5403</c:v>
                </c:pt>
              </c:numCache>
            </c:numRef>
          </c:yVal>
          <c:smooth val="0"/>
          <c:extLst>
            <c:ext xmlns:c16="http://schemas.microsoft.com/office/drawing/2014/chart" uri="{C3380CC4-5D6E-409C-BE32-E72D297353CC}">
              <c16:uniqueId val="{00000003-9442-4EEE-B3AC-12B58B5A1997}"/>
            </c:ext>
          </c:extLst>
        </c:ser>
        <c:ser>
          <c:idx val="8"/>
          <c:order val="8"/>
          <c:tx>
            <c:v>500 C</c:v>
          </c:tx>
          <c:spPr>
            <a:ln w="19050" cap="rnd">
              <a:solidFill>
                <a:schemeClr val="accent5"/>
              </a:solidFill>
              <a:round/>
            </a:ln>
            <a:effectLst/>
          </c:spPr>
          <c:marker>
            <c:symbol val="none"/>
          </c:marker>
          <c:xVal>
            <c:numRef>
              <c:f>'[IVP Curves.XLSX]H2'!$I$4:$I$26</c:f>
              <c:numCache>
                <c:formatCode>General</c:formatCode>
                <c:ptCount val="23"/>
                <c:pt idx="0">
                  <c:v>1.8575851393188798E-2</c:v>
                </c:pt>
                <c:pt idx="1">
                  <c:v>6.8111455108359101E-2</c:v>
                </c:pt>
                <c:pt idx="2">
                  <c:v>0.15479876160990699</c:v>
                </c:pt>
                <c:pt idx="3">
                  <c:v>0.25077399380804899</c:v>
                </c:pt>
                <c:pt idx="4">
                  <c:v>0.30340557275541702</c:v>
                </c:pt>
                <c:pt idx="5">
                  <c:v>0.36532507739938003</c:v>
                </c:pt>
                <c:pt idx="6">
                  <c:v>0.43034055727554099</c:v>
                </c:pt>
                <c:pt idx="7">
                  <c:v>0.53250773993807998</c:v>
                </c:pt>
                <c:pt idx="8">
                  <c:v>0.58823529411764697</c:v>
                </c:pt>
                <c:pt idx="9">
                  <c:v>0.66873065015479805</c:v>
                </c:pt>
                <c:pt idx="10">
                  <c:v>0.72755417956656299</c:v>
                </c:pt>
                <c:pt idx="11">
                  <c:v>0.79876160990711997</c:v>
                </c:pt>
                <c:pt idx="12">
                  <c:v>0.86687306501548</c:v>
                </c:pt>
                <c:pt idx="13">
                  <c:v>0.93808049535603599</c:v>
                </c:pt>
                <c:pt idx="14">
                  <c:v>1.0526315789473599</c:v>
                </c:pt>
                <c:pt idx="15">
                  <c:v>1.1578947368421</c:v>
                </c:pt>
                <c:pt idx="16">
                  <c:v>1.2910216718266201</c:v>
                </c:pt>
                <c:pt idx="17">
                  <c:v>1.4117647058823499</c:v>
                </c:pt>
                <c:pt idx="18">
                  <c:v>1.5201238390092799</c:v>
                </c:pt>
                <c:pt idx="19">
                  <c:v>1.6625386996903999</c:v>
                </c:pt>
                <c:pt idx="20">
                  <c:v>1.8482972136222899</c:v>
                </c:pt>
                <c:pt idx="21">
                  <c:v>1.98142414860681</c:v>
                </c:pt>
                <c:pt idx="22">
                  <c:v>2.0588235294117601</c:v>
                </c:pt>
              </c:numCache>
            </c:numRef>
          </c:xVal>
          <c:yVal>
            <c:numRef>
              <c:f>'[IVP Curves.XLSX]H2'!$J$4:$J$26</c:f>
              <c:numCache>
                <c:formatCode>General</c:formatCode>
                <c:ptCount val="23"/>
                <c:pt idx="0">
                  <c:v>1.1526467757459</c:v>
                </c:pt>
                <c:pt idx="1">
                  <c:v>1.10182868142444</c:v>
                </c:pt>
                <c:pt idx="2">
                  <c:v>1.0544754571703501</c:v>
                </c:pt>
                <c:pt idx="3">
                  <c:v>1.01058710298363</c:v>
                </c:pt>
                <c:pt idx="4">
                  <c:v>0.98286814244465803</c:v>
                </c:pt>
                <c:pt idx="5">
                  <c:v>0.95976900866217496</c:v>
                </c:pt>
                <c:pt idx="6">
                  <c:v>0.93320500481231905</c:v>
                </c:pt>
                <c:pt idx="7">
                  <c:v>0.89624639076034596</c:v>
                </c:pt>
                <c:pt idx="8">
                  <c:v>0.86852743022136603</c:v>
                </c:pt>
                <c:pt idx="9">
                  <c:v>0.83849855630413805</c:v>
                </c:pt>
                <c:pt idx="10">
                  <c:v>0.81424446583253096</c:v>
                </c:pt>
                <c:pt idx="11">
                  <c:v>0.78652550529355103</c:v>
                </c:pt>
                <c:pt idx="12">
                  <c:v>0.76458132820019198</c:v>
                </c:pt>
                <c:pt idx="13">
                  <c:v>0.73917228103946098</c:v>
                </c:pt>
                <c:pt idx="14">
                  <c:v>0.70336862367661201</c:v>
                </c:pt>
                <c:pt idx="15">
                  <c:v>0.66179018286814195</c:v>
                </c:pt>
                <c:pt idx="16">
                  <c:v>0.61674687199230005</c:v>
                </c:pt>
                <c:pt idx="17">
                  <c:v>0.57632338787295401</c:v>
                </c:pt>
                <c:pt idx="18">
                  <c:v>0.538209817131857</c:v>
                </c:pt>
                <c:pt idx="19">
                  <c:v>0.49778633301251202</c:v>
                </c:pt>
                <c:pt idx="20">
                  <c:v>0.44581328200192399</c:v>
                </c:pt>
                <c:pt idx="21">
                  <c:v>0.401924927815206</c:v>
                </c:pt>
                <c:pt idx="22">
                  <c:v>0.38344562078922001</c:v>
                </c:pt>
              </c:numCache>
            </c:numRef>
          </c:yVal>
          <c:smooth val="0"/>
          <c:extLst>
            <c:ext xmlns:c16="http://schemas.microsoft.com/office/drawing/2014/chart" uri="{C3380CC4-5D6E-409C-BE32-E72D297353CC}">
              <c16:uniqueId val="{00000004-9442-4EEE-B3AC-12B58B5A1997}"/>
            </c:ext>
          </c:extLst>
        </c:ser>
        <c:ser>
          <c:idx val="9"/>
          <c:order val="9"/>
          <c:tx>
            <c:v>500 C</c:v>
          </c:tx>
          <c:spPr>
            <a:ln w="19050" cap="rnd">
              <a:noFill/>
              <a:round/>
            </a:ln>
            <a:effectLst/>
          </c:spPr>
          <c:marker>
            <c:symbol val="circle"/>
            <c:size val="5"/>
            <c:spPr>
              <a:noFill/>
              <a:ln w="9525">
                <a:solidFill>
                  <a:schemeClr val="accent5">
                    <a:lumMod val="60000"/>
                    <a:lumOff val="40000"/>
                  </a:schemeClr>
                </a:solidFill>
              </a:ln>
              <a:effectLst/>
            </c:spPr>
          </c:marker>
          <c:xVal>
            <c:numRef>
              <c:f>'[IVP Curves.XLSX]H2'!$T$4:$T$37</c:f>
              <c:numCache>
                <c:formatCode>General</c:formatCode>
                <c:ptCount val="34"/>
                <c:pt idx="0">
                  <c:v>0</c:v>
                </c:pt>
                <c:pt idx="1">
                  <c:v>6.1219999999999997E-2</c:v>
                </c:pt>
                <c:pt idx="2">
                  <c:v>0.12239999999999999</c:v>
                </c:pt>
                <c:pt idx="3">
                  <c:v>0.1837</c:v>
                </c:pt>
                <c:pt idx="4">
                  <c:v>0.24490000000000001</c:v>
                </c:pt>
                <c:pt idx="5">
                  <c:v>0.30609999999999998</c:v>
                </c:pt>
                <c:pt idx="6">
                  <c:v>0.36730000000000002</c:v>
                </c:pt>
                <c:pt idx="7">
                  <c:v>0.42859999999999998</c:v>
                </c:pt>
                <c:pt idx="8">
                  <c:v>0.48980000000000001</c:v>
                </c:pt>
                <c:pt idx="9">
                  <c:v>0.55100000000000005</c:v>
                </c:pt>
                <c:pt idx="10">
                  <c:v>0.61219999999999997</c:v>
                </c:pt>
                <c:pt idx="11">
                  <c:v>0.67349999999999999</c:v>
                </c:pt>
                <c:pt idx="12">
                  <c:v>0.73470000000000002</c:v>
                </c:pt>
                <c:pt idx="13">
                  <c:v>0.79590000000000005</c:v>
                </c:pt>
                <c:pt idx="14">
                  <c:v>0.85709999999999997</c:v>
                </c:pt>
                <c:pt idx="15">
                  <c:v>0.91839999999999999</c:v>
                </c:pt>
                <c:pt idx="16">
                  <c:v>0.97960000000000003</c:v>
                </c:pt>
                <c:pt idx="17">
                  <c:v>1.0409999999999999</c:v>
                </c:pt>
                <c:pt idx="18">
                  <c:v>1.1020000000000001</c:v>
                </c:pt>
                <c:pt idx="19">
                  <c:v>1.163</c:v>
                </c:pt>
                <c:pt idx="20">
                  <c:v>1.224</c:v>
                </c:pt>
                <c:pt idx="21">
                  <c:v>1.286</c:v>
                </c:pt>
                <c:pt idx="22">
                  <c:v>1.347</c:v>
                </c:pt>
                <c:pt idx="23">
                  <c:v>1.4079999999999999</c:v>
                </c:pt>
                <c:pt idx="24">
                  <c:v>1.4690000000000001</c:v>
                </c:pt>
                <c:pt idx="25">
                  <c:v>1.5309999999999999</c:v>
                </c:pt>
                <c:pt idx="26">
                  <c:v>1.5920000000000001</c:v>
                </c:pt>
                <c:pt idx="27">
                  <c:v>1.653</c:v>
                </c:pt>
                <c:pt idx="28">
                  <c:v>1.714</c:v>
                </c:pt>
                <c:pt idx="29">
                  <c:v>1.776</c:v>
                </c:pt>
                <c:pt idx="30">
                  <c:v>1.837</c:v>
                </c:pt>
                <c:pt idx="31">
                  <c:v>1.8979999999999999</c:v>
                </c:pt>
                <c:pt idx="32">
                  <c:v>1.9590000000000001</c:v>
                </c:pt>
                <c:pt idx="33">
                  <c:v>2.02</c:v>
                </c:pt>
              </c:numCache>
            </c:numRef>
          </c:xVal>
          <c:yVal>
            <c:numRef>
              <c:f>'[IVP Curves.XLSX]H2'!$U$4:$U$37</c:f>
              <c:numCache>
                <c:formatCode>General</c:formatCode>
                <c:ptCount val="34"/>
                <c:pt idx="0">
                  <c:v>1.2110000000000001</c:v>
                </c:pt>
                <c:pt idx="1">
                  <c:v>1.121</c:v>
                </c:pt>
                <c:pt idx="2">
                  <c:v>1.08</c:v>
                </c:pt>
                <c:pt idx="3">
                  <c:v>1.0449999999999999</c:v>
                </c:pt>
                <c:pt idx="4">
                  <c:v>1.012</c:v>
                </c:pt>
                <c:pt idx="5">
                  <c:v>0.98040000000000005</c:v>
                </c:pt>
                <c:pt idx="6">
                  <c:v>0.94910000000000005</c:v>
                </c:pt>
                <c:pt idx="7">
                  <c:v>0.91849999999999998</c:v>
                </c:pt>
                <c:pt idx="8">
                  <c:v>0.88880000000000003</c:v>
                </c:pt>
                <c:pt idx="9">
                  <c:v>0.86019999999999996</c:v>
                </c:pt>
                <c:pt idx="10">
                  <c:v>0.8327</c:v>
                </c:pt>
                <c:pt idx="11">
                  <c:v>0.80640000000000001</c:v>
                </c:pt>
                <c:pt idx="12">
                  <c:v>0.78129999999999999</c:v>
                </c:pt>
                <c:pt idx="13">
                  <c:v>0.75739999999999996</c:v>
                </c:pt>
                <c:pt idx="14">
                  <c:v>0.73440000000000005</c:v>
                </c:pt>
                <c:pt idx="15">
                  <c:v>0.71250000000000002</c:v>
                </c:pt>
                <c:pt idx="16">
                  <c:v>0.6915</c:v>
                </c:pt>
                <c:pt idx="17">
                  <c:v>0.67130000000000001</c:v>
                </c:pt>
                <c:pt idx="18">
                  <c:v>0.65190000000000003</c:v>
                </c:pt>
                <c:pt idx="19">
                  <c:v>0.6331</c:v>
                </c:pt>
                <c:pt idx="20">
                  <c:v>0.61499999999999999</c:v>
                </c:pt>
                <c:pt idx="21">
                  <c:v>0.59750000000000003</c:v>
                </c:pt>
                <c:pt idx="22">
                  <c:v>0.58050000000000002</c:v>
                </c:pt>
                <c:pt idx="23">
                  <c:v>0.56389999999999996</c:v>
                </c:pt>
                <c:pt idx="24">
                  <c:v>0.54779999999999995</c:v>
                </c:pt>
                <c:pt idx="25">
                  <c:v>0.53220000000000001</c:v>
                </c:pt>
                <c:pt idx="26">
                  <c:v>0.51690000000000003</c:v>
                </c:pt>
                <c:pt idx="27">
                  <c:v>0.50190000000000001</c:v>
                </c:pt>
                <c:pt idx="28">
                  <c:v>0.48720000000000002</c:v>
                </c:pt>
                <c:pt idx="29">
                  <c:v>0.47289999999999999</c:v>
                </c:pt>
                <c:pt idx="30">
                  <c:v>0.45879999999999999</c:v>
                </c:pt>
                <c:pt idx="31">
                  <c:v>0.44500000000000001</c:v>
                </c:pt>
                <c:pt idx="32">
                  <c:v>0.43140000000000001</c:v>
                </c:pt>
                <c:pt idx="33">
                  <c:v>0.41799999999999998</c:v>
                </c:pt>
              </c:numCache>
            </c:numRef>
          </c:yVal>
          <c:smooth val="0"/>
          <c:extLst>
            <c:ext xmlns:c16="http://schemas.microsoft.com/office/drawing/2014/chart" uri="{C3380CC4-5D6E-409C-BE32-E72D297353CC}">
              <c16:uniqueId val="{00000005-9442-4EEE-B3AC-12B58B5A1997}"/>
            </c:ext>
          </c:extLst>
        </c:ser>
        <c:dLbls>
          <c:showLegendKey val="0"/>
          <c:showVal val="0"/>
          <c:showCatName val="0"/>
          <c:showSerName val="0"/>
          <c:showPercent val="0"/>
          <c:showBubbleSize val="0"/>
        </c:dLbls>
        <c:axId val="573163263"/>
        <c:axId val="573163743"/>
      </c:scatterChart>
      <c:scatterChart>
        <c:scatterStyle val="lineMarker"/>
        <c:varyColors val="0"/>
        <c:ser>
          <c:idx val="1"/>
          <c:order val="1"/>
          <c:tx>
            <c:v>600 C</c:v>
          </c:tx>
          <c:spPr>
            <a:ln w="19050" cap="rnd">
              <a:solidFill>
                <a:schemeClr val="accent1"/>
              </a:solidFill>
              <a:round/>
            </a:ln>
            <a:effectLst/>
          </c:spPr>
          <c:marker>
            <c:symbol val="circle"/>
            <c:size val="5"/>
            <c:spPr>
              <a:noFill/>
              <a:ln w="9525">
                <a:noFill/>
              </a:ln>
              <a:effectLst/>
            </c:spPr>
          </c:marker>
          <c:xVal>
            <c:numRef>
              <c:f>'[IVP Curves.XLSX]H2'!$C$4:$C$40</c:f>
              <c:numCache>
                <c:formatCode>General</c:formatCode>
                <c:ptCount val="37"/>
                <c:pt idx="0">
                  <c:v>4.6466602129719203E-2</c:v>
                </c:pt>
                <c:pt idx="1">
                  <c:v>8.5188770571151901E-2</c:v>
                </c:pt>
                <c:pt idx="2">
                  <c:v>0.14327202323330099</c:v>
                </c:pt>
                <c:pt idx="3">
                  <c:v>0.21297192642787899</c:v>
                </c:pt>
                <c:pt idx="4">
                  <c:v>0.30590513068731801</c:v>
                </c:pt>
                <c:pt idx="5">
                  <c:v>0.34849951597289403</c:v>
                </c:pt>
                <c:pt idx="6">
                  <c:v>0.40271055179089998</c:v>
                </c:pt>
                <c:pt idx="7">
                  <c:v>0.48789932236205202</c:v>
                </c:pt>
                <c:pt idx="8">
                  <c:v>0.51500484027105498</c:v>
                </c:pt>
                <c:pt idx="9">
                  <c:v>0.59244917715391998</c:v>
                </c:pt>
                <c:pt idx="10">
                  <c:v>0.66989351403678599</c:v>
                </c:pt>
                <c:pt idx="11">
                  <c:v>0.75895450145208099</c:v>
                </c:pt>
                <c:pt idx="12">
                  <c:v>0.84414327202323303</c:v>
                </c:pt>
                <c:pt idx="13">
                  <c:v>0.92545982575024199</c:v>
                </c:pt>
                <c:pt idx="14">
                  <c:v>1.01064859632139</c:v>
                </c:pt>
                <c:pt idx="15">
                  <c:v>1.0958373668925401</c:v>
                </c:pt>
                <c:pt idx="16">
                  <c:v>1.1539206195546901</c:v>
                </c:pt>
                <c:pt idx="17">
                  <c:v>1.2352371732817</c:v>
                </c:pt>
                <c:pt idx="18">
                  <c:v>1.2855759922555601</c:v>
                </c:pt>
                <c:pt idx="19">
                  <c:v>1.39012584704743</c:v>
                </c:pt>
                <c:pt idx="20">
                  <c:v>1.48305905130687</c:v>
                </c:pt>
                <c:pt idx="21">
                  <c:v>1.5876089060987399</c:v>
                </c:pt>
                <c:pt idx="22">
                  <c:v>1.6302032913843101</c:v>
                </c:pt>
                <c:pt idx="23">
                  <c:v>1.72313649564375</c:v>
                </c:pt>
                <c:pt idx="24">
                  <c:v>1.8238141335914799</c:v>
                </c:pt>
                <c:pt idx="25">
                  <c:v>1.90125847047434</c:v>
                </c:pt>
                <c:pt idx="26">
                  <c:v>2.0019361084220701</c:v>
                </c:pt>
                <c:pt idx="27">
                  <c:v>2.0716360116166501</c:v>
                </c:pt>
                <c:pt idx="28">
                  <c:v>2.1568247821878002</c:v>
                </c:pt>
                <c:pt idx="29">
                  <c:v>2.23039690222652</c:v>
                </c:pt>
                <c:pt idx="30">
                  <c:v>2.2846079380445299</c:v>
                </c:pt>
                <c:pt idx="31">
                  <c:v>2.38528557599225</c:v>
                </c:pt>
                <c:pt idx="32">
                  <c:v>2.5014520813165499</c:v>
                </c:pt>
                <c:pt idx="33">
                  <c:v>2.6060019361084201</c:v>
                </c:pt>
                <c:pt idx="34">
                  <c:v>2.7144240077444302</c:v>
                </c:pt>
                <c:pt idx="35">
                  <c:v>2.81122942884801</c:v>
                </c:pt>
                <c:pt idx="36">
                  <c:v>2.9235237173281701</c:v>
                </c:pt>
              </c:numCache>
            </c:numRef>
          </c:xVal>
          <c:yVal>
            <c:numRef>
              <c:f>'[IVP Curves.XLSX]H2'!$D$4:$D$36</c:f>
              <c:numCache>
                <c:formatCode>General</c:formatCode>
                <c:ptCount val="33"/>
                <c:pt idx="0">
                  <c:v>4.8019207683073203E-2</c:v>
                </c:pt>
                <c:pt idx="1">
                  <c:v>0.12484993997599</c:v>
                </c:pt>
                <c:pt idx="2">
                  <c:v>0.182472989195678</c:v>
                </c:pt>
                <c:pt idx="3">
                  <c:v>0.25690276110444099</c:v>
                </c:pt>
                <c:pt idx="4">
                  <c:v>0.32172869147659</c:v>
                </c:pt>
                <c:pt idx="5">
                  <c:v>0.388955582232893</c:v>
                </c:pt>
                <c:pt idx="6">
                  <c:v>0.42737094837935102</c:v>
                </c:pt>
                <c:pt idx="7">
                  <c:v>0.47539015606242502</c:v>
                </c:pt>
                <c:pt idx="8">
                  <c:v>0.52100840336134402</c:v>
                </c:pt>
                <c:pt idx="9">
                  <c:v>0.573829531812725</c:v>
                </c:pt>
                <c:pt idx="10">
                  <c:v>0.64105642256902695</c:v>
                </c:pt>
                <c:pt idx="11">
                  <c:v>0.70828331332533001</c:v>
                </c:pt>
                <c:pt idx="12">
                  <c:v>0.78511404561824705</c:v>
                </c:pt>
                <c:pt idx="13">
                  <c:v>0.84753901560624201</c:v>
                </c:pt>
                <c:pt idx="14">
                  <c:v>0.91476590636254496</c:v>
                </c:pt>
                <c:pt idx="15">
                  <c:v>0.98439375750300095</c:v>
                </c:pt>
                <c:pt idx="16">
                  <c:v>1.0204081632652999</c:v>
                </c:pt>
                <c:pt idx="17">
                  <c:v>1.06842737094837</c:v>
                </c:pt>
                <c:pt idx="18">
                  <c:v>1.11404561824729</c:v>
                </c:pt>
                <c:pt idx="19">
                  <c:v>1.1764705882352899</c:v>
                </c:pt>
                <c:pt idx="20">
                  <c:v>1.2412965186074401</c:v>
                </c:pt>
                <c:pt idx="21">
                  <c:v>1.2845138055222001</c:v>
                </c:pt>
                <c:pt idx="22">
                  <c:v>1.3181272509003601</c:v>
                </c:pt>
                <c:pt idx="23">
                  <c:v>1.36374549819927</c:v>
                </c:pt>
                <c:pt idx="24">
                  <c:v>1.4141656662665001</c:v>
                </c:pt>
                <c:pt idx="25">
                  <c:v>1.4477791116446499</c:v>
                </c:pt>
                <c:pt idx="26">
                  <c:v>1.4741896758703401</c:v>
                </c:pt>
                <c:pt idx="27">
                  <c:v>1.5078031212484899</c:v>
                </c:pt>
                <c:pt idx="28">
                  <c:v>1.53181272509003</c:v>
                </c:pt>
                <c:pt idx="29">
                  <c:v>1.55582232893157</c:v>
                </c:pt>
                <c:pt idx="30">
                  <c:v>1.5774309723889499</c:v>
                </c:pt>
                <c:pt idx="31">
                  <c:v>1.60864345738295</c:v>
                </c:pt>
                <c:pt idx="32">
                  <c:v>1.62785114045618</c:v>
                </c:pt>
              </c:numCache>
            </c:numRef>
          </c:yVal>
          <c:smooth val="0"/>
          <c:extLst>
            <c:ext xmlns:c16="http://schemas.microsoft.com/office/drawing/2014/chart" uri="{C3380CC4-5D6E-409C-BE32-E72D297353CC}">
              <c16:uniqueId val="{00000006-9442-4EEE-B3AC-12B58B5A1997}"/>
            </c:ext>
          </c:extLst>
        </c:ser>
        <c:ser>
          <c:idx val="3"/>
          <c:order val="3"/>
          <c:spPr>
            <a:ln w="25400" cap="rnd">
              <a:noFill/>
              <a:round/>
            </a:ln>
            <a:effectLst/>
          </c:spPr>
          <c:marker>
            <c:symbol val="triangle"/>
            <c:size val="5"/>
            <c:spPr>
              <a:noFill/>
              <a:ln w="9525">
                <a:solidFill>
                  <a:schemeClr val="accent4"/>
                </a:solidFill>
              </a:ln>
              <a:effectLst/>
            </c:spPr>
          </c:marker>
          <c:xVal>
            <c:numRef>
              <c:f>'[IVP Curves.XLSX]H2'!$N$4:$N$53</c:f>
              <c:numCache>
                <c:formatCode>General</c:formatCode>
                <c:ptCount val="50"/>
                <c:pt idx="0">
                  <c:v>0</c:v>
                </c:pt>
                <c:pt idx="1">
                  <c:v>6.1219999999999997E-2</c:v>
                </c:pt>
                <c:pt idx="2">
                  <c:v>0.12239999999999999</c:v>
                </c:pt>
                <c:pt idx="3">
                  <c:v>0.1837</c:v>
                </c:pt>
                <c:pt idx="4">
                  <c:v>0.24490000000000001</c:v>
                </c:pt>
                <c:pt idx="5">
                  <c:v>0.30609999999999998</c:v>
                </c:pt>
                <c:pt idx="6">
                  <c:v>0.36730000000000002</c:v>
                </c:pt>
                <c:pt idx="7">
                  <c:v>0.42859999999999998</c:v>
                </c:pt>
                <c:pt idx="8">
                  <c:v>0.48980000000000001</c:v>
                </c:pt>
                <c:pt idx="9">
                  <c:v>0.55100000000000005</c:v>
                </c:pt>
                <c:pt idx="10">
                  <c:v>0.61219999999999997</c:v>
                </c:pt>
                <c:pt idx="11">
                  <c:v>0.67349999999999999</c:v>
                </c:pt>
                <c:pt idx="12">
                  <c:v>0.73470000000000002</c:v>
                </c:pt>
                <c:pt idx="13">
                  <c:v>0.79590000000000005</c:v>
                </c:pt>
                <c:pt idx="14">
                  <c:v>0.85709999999999997</c:v>
                </c:pt>
                <c:pt idx="15">
                  <c:v>0.91839999999999999</c:v>
                </c:pt>
                <c:pt idx="16">
                  <c:v>0.97960000000000003</c:v>
                </c:pt>
                <c:pt idx="17">
                  <c:v>1.0409999999999999</c:v>
                </c:pt>
                <c:pt idx="18">
                  <c:v>1.1020000000000001</c:v>
                </c:pt>
                <c:pt idx="19">
                  <c:v>1.163</c:v>
                </c:pt>
                <c:pt idx="20">
                  <c:v>1.224</c:v>
                </c:pt>
                <c:pt idx="21">
                  <c:v>1.286</c:v>
                </c:pt>
                <c:pt idx="22">
                  <c:v>1.347</c:v>
                </c:pt>
                <c:pt idx="23">
                  <c:v>1.4079999999999999</c:v>
                </c:pt>
                <c:pt idx="24">
                  <c:v>1.4690000000000001</c:v>
                </c:pt>
                <c:pt idx="25">
                  <c:v>1.5309999999999999</c:v>
                </c:pt>
                <c:pt idx="26">
                  <c:v>1.5920000000000001</c:v>
                </c:pt>
                <c:pt idx="27">
                  <c:v>1.653</c:v>
                </c:pt>
                <c:pt idx="28">
                  <c:v>1.714</c:v>
                </c:pt>
                <c:pt idx="29">
                  <c:v>1.776</c:v>
                </c:pt>
                <c:pt idx="30">
                  <c:v>1.837</c:v>
                </c:pt>
                <c:pt idx="31">
                  <c:v>1.8979999999999999</c:v>
                </c:pt>
                <c:pt idx="32">
                  <c:v>1.9590000000000001</c:v>
                </c:pt>
                <c:pt idx="33">
                  <c:v>2.02</c:v>
                </c:pt>
                <c:pt idx="34">
                  <c:v>2.0819999999999999</c:v>
                </c:pt>
                <c:pt idx="35">
                  <c:v>2.1429999999999998</c:v>
                </c:pt>
                <c:pt idx="36">
                  <c:v>2.2040000000000002</c:v>
                </c:pt>
                <c:pt idx="37">
                  <c:v>2.2650000000000001</c:v>
                </c:pt>
                <c:pt idx="38">
                  <c:v>2.327</c:v>
                </c:pt>
                <c:pt idx="39">
                  <c:v>2.3879999999999999</c:v>
                </c:pt>
                <c:pt idx="40">
                  <c:v>2.4489999999999998</c:v>
                </c:pt>
                <c:pt idx="41">
                  <c:v>2.5099999999999998</c:v>
                </c:pt>
                <c:pt idx="42">
                  <c:v>2.5710000000000002</c:v>
                </c:pt>
                <c:pt idx="43">
                  <c:v>2.633</c:v>
                </c:pt>
                <c:pt idx="44">
                  <c:v>2.694</c:v>
                </c:pt>
                <c:pt idx="45">
                  <c:v>2.7549999999999999</c:v>
                </c:pt>
                <c:pt idx="46">
                  <c:v>2.8159999999999998</c:v>
                </c:pt>
                <c:pt idx="47">
                  <c:v>2.8780000000000001</c:v>
                </c:pt>
                <c:pt idx="48">
                  <c:v>2.9390000000000001</c:v>
                </c:pt>
                <c:pt idx="49">
                  <c:v>3</c:v>
                </c:pt>
              </c:numCache>
            </c:numRef>
          </c:xVal>
          <c:yVal>
            <c:numRef>
              <c:f>'[IVP Curves.XLSX]H2'!$P$4:$P$45</c:f>
              <c:numCache>
                <c:formatCode>General</c:formatCode>
                <c:ptCount val="42"/>
                <c:pt idx="0">
                  <c:v>0</c:v>
                </c:pt>
                <c:pt idx="1">
                  <c:v>6.8510000000000001E-2</c:v>
                </c:pt>
                <c:pt idx="2">
                  <c:v>0.13339999999999999</c:v>
                </c:pt>
                <c:pt idx="3">
                  <c:v>0.1963</c:v>
                </c:pt>
                <c:pt idx="4">
                  <c:v>0.2576</c:v>
                </c:pt>
                <c:pt idx="5">
                  <c:v>0.31740000000000002</c:v>
                </c:pt>
                <c:pt idx="6">
                  <c:v>0.37580000000000002</c:v>
                </c:pt>
                <c:pt idx="7">
                  <c:v>0.43280000000000002</c:v>
                </c:pt>
                <c:pt idx="8">
                  <c:v>0.48859999999999998</c:v>
                </c:pt>
                <c:pt idx="9">
                  <c:v>0.54300000000000004</c:v>
                </c:pt>
                <c:pt idx="10">
                  <c:v>0.59619999999999995</c:v>
                </c:pt>
                <c:pt idx="11">
                  <c:v>0.64810000000000001</c:v>
                </c:pt>
                <c:pt idx="12">
                  <c:v>0.69869999999999999</c:v>
                </c:pt>
                <c:pt idx="13">
                  <c:v>0.74809999999999999</c:v>
                </c:pt>
                <c:pt idx="14">
                  <c:v>0.79610000000000003</c:v>
                </c:pt>
                <c:pt idx="15">
                  <c:v>0.84299999999999997</c:v>
                </c:pt>
                <c:pt idx="16">
                  <c:v>0.88849999999999996</c:v>
                </c:pt>
                <c:pt idx="17">
                  <c:v>0.93279999999999996</c:v>
                </c:pt>
                <c:pt idx="18">
                  <c:v>0.9758</c:v>
                </c:pt>
                <c:pt idx="19">
                  <c:v>1.018</c:v>
                </c:pt>
                <c:pt idx="20">
                  <c:v>1.0580000000000001</c:v>
                </c:pt>
                <c:pt idx="21">
                  <c:v>1.097</c:v>
                </c:pt>
                <c:pt idx="22">
                  <c:v>1.135</c:v>
                </c:pt>
                <c:pt idx="23">
                  <c:v>1.1719999999999999</c:v>
                </c:pt>
                <c:pt idx="24">
                  <c:v>1.2070000000000001</c:v>
                </c:pt>
                <c:pt idx="25">
                  <c:v>1.2410000000000001</c:v>
                </c:pt>
                <c:pt idx="26">
                  <c:v>1.274</c:v>
                </c:pt>
                <c:pt idx="27">
                  <c:v>1.306</c:v>
                </c:pt>
                <c:pt idx="28">
                  <c:v>1.3360000000000001</c:v>
                </c:pt>
                <c:pt idx="29">
                  <c:v>1.365</c:v>
                </c:pt>
                <c:pt idx="30">
                  <c:v>1.393</c:v>
                </c:pt>
                <c:pt idx="31">
                  <c:v>1.42</c:v>
                </c:pt>
                <c:pt idx="32">
                  <c:v>1.4450000000000001</c:v>
                </c:pt>
                <c:pt idx="33">
                  <c:v>1.4690000000000001</c:v>
                </c:pt>
                <c:pt idx="34">
                  <c:v>1.492</c:v>
                </c:pt>
                <c:pt idx="35">
                  <c:v>1.514</c:v>
                </c:pt>
                <c:pt idx="36">
                  <c:v>1.534</c:v>
                </c:pt>
                <c:pt idx="37">
                  <c:v>1.552</c:v>
                </c:pt>
                <c:pt idx="38">
                  <c:v>1.569</c:v>
                </c:pt>
                <c:pt idx="39">
                  <c:v>1.5840000000000001</c:v>
                </c:pt>
                <c:pt idx="40">
                  <c:v>1.595</c:v>
                </c:pt>
                <c:pt idx="41">
                  <c:v>1.601</c:v>
                </c:pt>
              </c:numCache>
            </c:numRef>
          </c:yVal>
          <c:smooth val="0"/>
          <c:extLst>
            <c:ext xmlns:c16="http://schemas.microsoft.com/office/drawing/2014/chart" uri="{C3380CC4-5D6E-409C-BE32-E72D297353CC}">
              <c16:uniqueId val="{00000007-9442-4EEE-B3AC-12B58B5A1997}"/>
            </c:ext>
          </c:extLst>
        </c:ser>
        <c:ser>
          <c:idx val="4"/>
          <c:order val="4"/>
          <c:spPr>
            <a:ln w="19050" cap="rnd">
              <a:solidFill>
                <a:schemeClr val="accent3"/>
              </a:solidFill>
              <a:round/>
            </a:ln>
            <a:effectLst/>
          </c:spPr>
          <c:marker>
            <c:symbol val="circle"/>
            <c:size val="5"/>
            <c:spPr>
              <a:noFill/>
              <a:ln w="9525">
                <a:noFill/>
              </a:ln>
              <a:effectLst/>
            </c:spPr>
          </c:marker>
          <c:xVal>
            <c:numRef>
              <c:f>'[IVP Curves.XLSX]H2'!$G$4:$G$25</c:f>
              <c:numCache>
                <c:formatCode>General</c:formatCode>
                <c:ptCount val="22"/>
                <c:pt idx="0">
                  <c:v>0.41432720232332998</c:v>
                </c:pt>
                <c:pt idx="1">
                  <c:v>0.54985479186834396</c:v>
                </c:pt>
                <c:pt idx="2">
                  <c:v>0.63891577928363896</c:v>
                </c:pt>
                <c:pt idx="3">
                  <c:v>0.76669893514036702</c:v>
                </c:pt>
                <c:pt idx="4">
                  <c:v>0.87512100677637905</c:v>
                </c:pt>
                <c:pt idx="5">
                  <c:v>1.0029041626330999</c:v>
                </c:pt>
                <c:pt idx="6">
                  <c:v>1.1190706679574001</c:v>
                </c:pt>
                <c:pt idx="7">
                  <c:v>1.18877057115198</c:v>
                </c:pt>
                <c:pt idx="8">
                  <c:v>1.2662149080348499</c:v>
                </c:pt>
                <c:pt idx="9">
                  <c:v>1.3707647628267099</c:v>
                </c:pt>
                <c:pt idx="10">
                  <c:v>1.5140367860600099</c:v>
                </c:pt>
                <c:pt idx="11">
                  <c:v>1.5953533397870201</c:v>
                </c:pt>
                <c:pt idx="12">
                  <c:v>1.6999031945788901</c:v>
                </c:pt>
                <c:pt idx="13">
                  <c:v>1.8664085188770501</c:v>
                </c:pt>
                <c:pt idx="14">
                  <c:v>2.00580832526621</c:v>
                </c:pt>
                <c:pt idx="15">
                  <c:v>2.09099709583736</c:v>
                </c:pt>
                <c:pt idx="16">
                  <c:v>2.1723136495643698</c:v>
                </c:pt>
                <c:pt idx="17">
                  <c:v>2.29235237173281</c:v>
                </c:pt>
                <c:pt idx="18">
                  <c:v>2.4007744433688201</c:v>
                </c:pt>
                <c:pt idx="19">
                  <c:v>2.5091965150048399</c:v>
                </c:pt>
                <c:pt idx="20">
                  <c:v>2.6021297192642701</c:v>
                </c:pt>
                <c:pt idx="21">
                  <c:v>2.71829622458857</c:v>
                </c:pt>
              </c:numCache>
            </c:numRef>
          </c:xVal>
          <c:yVal>
            <c:numRef>
              <c:f>'[IVP Curves.XLSX]H2'!$H$4:$H$21</c:f>
              <c:numCache>
                <c:formatCode>General</c:formatCode>
                <c:ptCount val="18"/>
                <c:pt idx="0">
                  <c:v>0.415366146458583</c:v>
                </c:pt>
                <c:pt idx="1">
                  <c:v>0.52821128451380495</c:v>
                </c:pt>
                <c:pt idx="2">
                  <c:v>0.59303721488595396</c:v>
                </c:pt>
                <c:pt idx="3">
                  <c:v>0.68187274909963902</c:v>
                </c:pt>
                <c:pt idx="4">
                  <c:v>0.75870348139255706</c:v>
                </c:pt>
                <c:pt idx="5">
                  <c:v>0.83793517406962703</c:v>
                </c:pt>
                <c:pt idx="6">
                  <c:v>0.895558223289315</c:v>
                </c:pt>
                <c:pt idx="7">
                  <c:v>0.93157262905161997</c:v>
                </c:pt>
                <c:pt idx="8">
                  <c:v>0.986794717887154</c:v>
                </c:pt>
                <c:pt idx="9">
                  <c:v>1.0228091236494501</c:v>
                </c:pt>
                <c:pt idx="10">
                  <c:v>1.08043217286914</c:v>
                </c:pt>
                <c:pt idx="11">
                  <c:v>1.1020408163265301</c:v>
                </c:pt>
                <c:pt idx="12">
                  <c:v>1.14045618247298</c:v>
                </c:pt>
                <c:pt idx="13">
                  <c:v>1.17406962785114</c:v>
                </c:pt>
                <c:pt idx="14">
                  <c:v>1.1956782713085199</c:v>
                </c:pt>
                <c:pt idx="15">
                  <c:v>1.2052821128451301</c:v>
                </c:pt>
                <c:pt idx="16">
                  <c:v>1.2172869147659</c:v>
                </c:pt>
                <c:pt idx="17">
                  <c:v>1.22448979591836</c:v>
                </c:pt>
              </c:numCache>
            </c:numRef>
          </c:yVal>
          <c:smooth val="1"/>
          <c:extLst>
            <c:ext xmlns:c16="http://schemas.microsoft.com/office/drawing/2014/chart" uri="{C3380CC4-5D6E-409C-BE32-E72D297353CC}">
              <c16:uniqueId val="{00000008-9442-4EEE-B3AC-12B58B5A1997}"/>
            </c:ext>
          </c:extLst>
        </c:ser>
        <c:ser>
          <c:idx val="7"/>
          <c:order val="7"/>
          <c:spPr>
            <a:ln w="25400" cap="rnd">
              <a:noFill/>
              <a:round/>
            </a:ln>
            <a:effectLst/>
          </c:spPr>
          <c:marker>
            <c:symbol val="triangle"/>
            <c:size val="5"/>
            <c:spPr>
              <a:noFill/>
              <a:ln w="9525">
                <a:solidFill>
                  <a:schemeClr val="accent6"/>
                </a:solidFill>
              </a:ln>
              <a:effectLst/>
            </c:spPr>
          </c:marker>
          <c:xVal>
            <c:numRef>
              <c:f>'[IVP Curves.XLSX]H2'!$Q$4:$Q$53</c:f>
              <c:numCache>
                <c:formatCode>General</c:formatCode>
                <c:ptCount val="50"/>
                <c:pt idx="0">
                  <c:v>0</c:v>
                </c:pt>
                <c:pt idx="1">
                  <c:v>6.1219999999999997E-2</c:v>
                </c:pt>
                <c:pt idx="2">
                  <c:v>0.12239999999999999</c:v>
                </c:pt>
                <c:pt idx="3">
                  <c:v>0.1837</c:v>
                </c:pt>
                <c:pt idx="4">
                  <c:v>0.24490000000000001</c:v>
                </c:pt>
                <c:pt idx="5">
                  <c:v>0.30609999999999998</c:v>
                </c:pt>
                <c:pt idx="6">
                  <c:v>0.36730000000000002</c:v>
                </c:pt>
                <c:pt idx="7">
                  <c:v>0.42859999999999998</c:v>
                </c:pt>
                <c:pt idx="8">
                  <c:v>0.48980000000000001</c:v>
                </c:pt>
                <c:pt idx="9">
                  <c:v>0.55100000000000005</c:v>
                </c:pt>
                <c:pt idx="10">
                  <c:v>0.61219999999999997</c:v>
                </c:pt>
                <c:pt idx="11">
                  <c:v>0.67349999999999999</c:v>
                </c:pt>
                <c:pt idx="12">
                  <c:v>0.73470000000000002</c:v>
                </c:pt>
                <c:pt idx="13">
                  <c:v>0.79590000000000005</c:v>
                </c:pt>
                <c:pt idx="14">
                  <c:v>0.85709999999999997</c:v>
                </c:pt>
                <c:pt idx="15">
                  <c:v>0.91839999999999999</c:v>
                </c:pt>
                <c:pt idx="16">
                  <c:v>0.97960000000000003</c:v>
                </c:pt>
                <c:pt idx="17">
                  <c:v>1.0409999999999999</c:v>
                </c:pt>
                <c:pt idx="18">
                  <c:v>1.1020000000000001</c:v>
                </c:pt>
                <c:pt idx="19">
                  <c:v>1.163</c:v>
                </c:pt>
                <c:pt idx="20">
                  <c:v>1.224</c:v>
                </c:pt>
                <c:pt idx="21">
                  <c:v>1.286</c:v>
                </c:pt>
                <c:pt idx="22">
                  <c:v>1.347</c:v>
                </c:pt>
                <c:pt idx="23">
                  <c:v>1.4079999999999999</c:v>
                </c:pt>
                <c:pt idx="24">
                  <c:v>1.4690000000000001</c:v>
                </c:pt>
                <c:pt idx="25">
                  <c:v>1.5309999999999999</c:v>
                </c:pt>
                <c:pt idx="26">
                  <c:v>1.5920000000000001</c:v>
                </c:pt>
                <c:pt idx="27">
                  <c:v>1.653</c:v>
                </c:pt>
                <c:pt idx="28">
                  <c:v>1.714</c:v>
                </c:pt>
                <c:pt idx="29">
                  <c:v>1.776</c:v>
                </c:pt>
                <c:pt idx="30">
                  <c:v>1.837</c:v>
                </c:pt>
                <c:pt idx="31">
                  <c:v>1.8979999999999999</c:v>
                </c:pt>
                <c:pt idx="32">
                  <c:v>1.9590000000000001</c:v>
                </c:pt>
                <c:pt idx="33">
                  <c:v>2.02</c:v>
                </c:pt>
                <c:pt idx="34">
                  <c:v>2.0819999999999999</c:v>
                </c:pt>
                <c:pt idx="35">
                  <c:v>2.1429999999999998</c:v>
                </c:pt>
                <c:pt idx="36">
                  <c:v>2.2040000000000002</c:v>
                </c:pt>
                <c:pt idx="37">
                  <c:v>2.2650000000000001</c:v>
                </c:pt>
                <c:pt idx="38">
                  <c:v>2.327</c:v>
                </c:pt>
                <c:pt idx="39">
                  <c:v>2.3879999999999999</c:v>
                </c:pt>
                <c:pt idx="40">
                  <c:v>2.4489999999999998</c:v>
                </c:pt>
                <c:pt idx="41">
                  <c:v>2.5099999999999998</c:v>
                </c:pt>
                <c:pt idx="42">
                  <c:v>2.5710000000000002</c:v>
                </c:pt>
                <c:pt idx="43">
                  <c:v>2.633</c:v>
                </c:pt>
                <c:pt idx="44">
                  <c:v>2.694</c:v>
                </c:pt>
                <c:pt idx="45">
                  <c:v>2.7549999999999999</c:v>
                </c:pt>
                <c:pt idx="46">
                  <c:v>2.8159999999999998</c:v>
                </c:pt>
                <c:pt idx="47">
                  <c:v>2.8780000000000001</c:v>
                </c:pt>
                <c:pt idx="48">
                  <c:v>2.9390000000000001</c:v>
                </c:pt>
                <c:pt idx="49">
                  <c:v>3</c:v>
                </c:pt>
              </c:numCache>
            </c:numRef>
          </c:xVal>
          <c:yVal>
            <c:numRef>
              <c:f>'[IVP Curves.XLSX]H2'!$S$4:$S$41</c:f>
              <c:numCache>
                <c:formatCode>General</c:formatCode>
                <c:ptCount val="38"/>
                <c:pt idx="0">
                  <c:v>0</c:v>
                </c:pt>
                <c:pt idx="1">
                  <c:v>6.8699999999999997E-2</c:v>
                </c:pt>
                <c:pt idx="2">
                  <c:v>0.13350000000000001</c:v>
                </c:pt>
                <c:pt idx="3">
                  <c:v>0.19570000000000001</c:v>
                </c:pt>
                <c:pt idx="4">
                  <c:v>0.25569999999999998</c:v>
                </c:pt>
                <c:pt idx="5">
                  <c:v>0.31359999999999999</c:v>
                </c:pt>
                <c:pt idx="6">
                  <c:v>0.36940000000000001</c:v>
                </c:pt>
                <c:pt idx="7">
                  <c:v>0.42309999999999998</c:v>
                </c:pt>
                <c:pt idx="8">
                  <c:v>0.4748</c:v>
                </c:pt>
                <c:pt idx="9">
                  <c:v>0.52439999999999998</c:v>
                </c:pt>
                <c:pt idx="10">
                  <c:v>0.57189999999999996</c:v>
                </c:pt>
                <c:pt idx="11">
                  <c:v>0.61750000000000005</c:v>
                </c:pt>
                <c:pt idx="12">
                  <c:v>0.66100000000000003</c:v>
                </c:pt>
                <c:pt idx="13">
                  <c:v>0.70250000000000001</c:v>
                </c:pt>
                <c:pt idx="14">
                  <c:v>0.74209999999999998</c:v>
                </c:pt>
                <c:pt idx="15">
                  <c:v>0.77980000000000005</c:v>
                </c:pt>
                <c:pt idx="16">
                  <c:v>0.81559999999999999</c:v>
                </c:pt>
                <c:pt idx="17">
                  <c:v>0.84960000000000002</c:v>
                </c:pt>
                <c:pt idx="18">
                  <c:v>0.88200000000000001</c:v>
                </c:pt>
                <c:pt idx="19">
                  <c:v>0.91259999999999997</c:v>
                </c:pt>
                <c:pt idx="20">
                  <c:v>0.94159999999999999</c:v>
                </c:pt>
                <c:pt idx="21">
                  <c:v>0.96909999999999996</c:v>
                </c:pt>
                <c:pt idx="22">
                  <c:v>0.99509999999999998</c:v>
                </c:pt>
                <c:pt idx="23">
                  <c:v>1.02</c:v>
                </c:pt>
                <c:pt idx="24">
                  <c:v>1.0429999999999999</c:v>
                </c:pt>
                <c:pt idx="25">
                  <c:v>1.0640000000000001</c:v>
                </c:pt>
                <c:pt idx="26">
                  <c:v>1.085</c:v>
                </c:pt>
                <c:pt idx="27">
                  <c:v>1.1040000000000001</c:v>
                </c:pt>
                <c:pt idx="28">
                  <c:v>1.121</c:v>
                </c:pt>
                <c:pt idx="29">
                  <c:v>1.1379999999999999</c:v>
                </c:pt>
                <c:pt idx="30">
                  <c:v>1.153</c:v>
                </c:pt>
                <c:pt idx="31">
                  <c:v>1.167</c:v>
                </c:pt>
                <c:pt idx="32">
                  <c:v>1.18</c:v>
                </c:pt>
                <c:pt idx="33">
                  <c:v>1.1910000000000001</c:v>
                </c:pt>
                <c:pt idx="34">
                  <c:v>1.2010000000000001</c:v>
                </c:pt>
                <c:pt idx="35">
                  <c:v>1.21</c:v>
                </c:pt>
                <c:pt idx="36">
                  <c:v>1.218</c:v>
                </c:pt>
                <c:pt idx="37">
                  <c:v>1.224</c:v>
                </c:pt>
              </c:numCache>
            </c:numRef>
          </c:yVal>
          <c:smooth val="0"/>
          <c:extLst>
            <c:ext xmlns:c16="http://schemas.microsoft.com/office/drawing/2014/chart" uri="{C3380CC4-5D6E-409C-BE32-E72D297353CC}">
              <c16:uniqueId val="{00000009-9442-4EEE-B3AC-12B58B5A1997}"/>
            </c:ext>
          </c:extLst>
        </c:ser>
        <c:ser>
          <c:idx val="10"/>
          <c:order val="10"/>
          <c:tx>
            <c:v>Ref PD 500C</c:v>
          </c:tx>
          <c:spPr>
            <a:ln w="19050" cap="rnd">
              <a:solidFill>
                <a:schemeClr val="accent5"/>
              </a:solidFill>
              <a:round/>
            </a:ln>
            <a:effectLst/>
          </c:spPr>
          <c:marker>
            <c:symbol val="circle"/>
            <c:size val="5"/>
            <c:spPr>
              <a:noFill/>
              <a:ln w="9525">
                <a:noFill/>
              </a:ln>
              <a:effectLst/>
            </c:spPr>
          </c:marker>
          <c:xVal>
            <c:numRef>
              <c:f>'[IVP Curves.XLSX]H2'!$K$4:$K$22</c:f>
              <c:numCache>
                <c:formatCode>General</c:formatCode>
                <c:ptCount val="19"/>
                <c:pt idx="0">
                  <c:v>2.04643962848297</c:v>
                </c:pt>
                <c:pt idx="1">
                  <c:v>1.96904024767801</c:v>
                </c:pt>
                <c:pt idx="2">
                  <c:v>1.8637770897832799</c:v>
                </c:pt>
                <c:pt idx="3">
                  <c:v>1.7430340557275501</c:v>
                </c:pt>
                <c:pt idx="4">
                  <c:v>1.60681114551083</c:v>
                </c:pt>
                <c:pt idx="5">
                  <c:v>1.47058823529411</c:v>
                </c:pt>
                <c:pt idx="6">
                  <c:v>1.328173374613</c:v>
                </c:pt>
                <c:pt idx="7">
                  <c:v>1.1950464396284799</c:v>
                </c:pt>
                <c:pt idx="8">
                  <c:v>1.06191950464396</c:v>
                </c:pt>
                <c:pt idx="9">
                  <c:v>0.93498452012383904</c:v>
                </c:pt>
                <c:pt idx="10">
                  <c:v>0.820433436532507</c:v>
                </c:pt>
                <c:pt idx="11">
                  <c:v>0.72755417956656299</c:v>
                </c:pt>
                <c:pt idx="12">
                  <c:v>0.61300309597523195</c:v>
                </c:pt>
                <c:pt idx="13">
                  <c:v>0.52012383900928705</c:v>
                </c:pt>
                <c:pt idx="14">
                  <c:v>0.43962848297213603</c:v>
                </c:pt>
                <c:pt idx="15">
                  <c:v>0.31888544891640802</c:v>
                </c:pt>
                <c:pt idx="16">
                  <c:v>0.238390092879256</c:v>
                </c:pt>
                <c:pt idx="17">
                  <c:v>0.164086687306501</c:v>
                </c:pt>
                <c:pt idx="18">
                  <c:v>0.386996904024767</c:v>
                </c:pt>
              </c:numCache>
            </c:numRef>
          </c:xVal>
          <c:yVal>
            <c:numRef>
              <c:f>'[IVP Curves.XLSX]H2'!$L$4:$L$22</c:f>
              <c:numCache>
                <c:formatCode>General</c:formatCode>
                <c:ptCount val="19"/>
                <c:pt idx="0">
                  <c:v>0.77959576515880602</c:v>
                </c:pt>
                <c:pt idx="1">
                  <c:v>0.79499518768046096</c:v>
                </c:pt>
                <c:pt idx="2">
                  <c:v>0.81424446583253096</c:v>
                </c:pt>
                <c:pt idx="3">
                  <c:v>0.82964388835418601</c:v>
                </c:pt>
                <c:pt idx="4">
                  <c:v>0.82964388835418601</c:v>
                </c:pt>
                <c:pt idx="5">
                  <c:v>0.82001924927815195</c:v>
                </c:pt>
                <c:pt idx="6">
                  <c:v>0.80269489894128898</c:v>
                </c:pt>
                <c:pt idx="7">
                  <c:v>0.76997112608277096</c:v>
                </c:pt>
                <c:pt idx="8">
                  <c:v>0.72954764196342603</c:v>
                </c:pt>
                <c:pt idx="9">
                  <c:v>0.68719923002887295</c:v>
                </c:pt>
                <c:pt idx="10">
                  <c:v>0.64100096246390703</c:v>
                </c:pt>
                <c:pt idx="11">
                  <c:v>0.59287776708373396</c:v>
                </c:pt>
                <c:pt idx="12">
                  <c:v>0.52935514918190496</c:v>
                </c:pt>
                <c:pt idx="13">
                  <c:v>0.46390760346486998</c:v>
                </c:pt>
                <c:pt idx="14">
                  <c:v>0.39653512993262702</c:v>
                </c:pt>
                <c:pt idx="15">
                  <c:v>0.31953801732435</c:v>
                </c:pt>
                <c:pt idx="16">
                  <c:v>0.25216554379210698</c:v>
                </c:pt>
                <c:pt idx="17">
                  <c:v>0.18479307025986499</c:v>
                </c:pt>
                <c:pt idx="18">
                  <c:v>0.35611164581328097</c:v>
                </c:pt>
              </c:numCache>
            </c:numRef>
          </c:yVal>
          <c:smooth val="0"/>
          <c:extLst>
            <c:ext xmlns:c16="http://schemas.microsoft.com/office/drawing/2014/chart" uri="{C3380CC4-5D6E-409C-BE32-E72D297353CC}">
              <c16:uniqueId val="{0000000A-9442-4EEE-B3AC-12B58B5A1997}"/>
            </c:ext>
          </c:extLst>
        </c:ser>
        <c:ser>
          <c:idx val="11"/>
          <c:order val="11"/>
          <c:tx>
            <c:v>EES PD 500C</c:v>
          </c:tx>
          <c:spPr>
            <a:ln w="19050" cap="rnd">
              <a:noFill/>
              <a:round/>
            </a:ln>
            <a:effectLst/>
          </c:spPr>
          <c:marker>
            <c:symbol val="triangle"/>
            <c:size val="5"/>
            <c:spPr>
              <a:noFill/>
              <a:ln w="9525">
                <a:solidFill>
                  <a:schemeClr val="accent5">
                    <a:lumMod val="60000"/>
                    <a:lumOff val="40000"/>
                  </a:schemeClr>
                </a:solidFill>
              </a:ln>
              <a:effectLst/>
            </c:spPr>
          </c:marker>
          <c:xVal>
            <c:numRef>
              <c:f>'[IVP Curves.XLSX]H2'!$T$4:$T$53</c:f>
              <c:numCache>
                <c:formatCode>General</c:formatCode>
                <c:ptCount val="50"/>
                <c:pt idx="0">
                  <c:v>0</c:v>
                </c:pt>
                <c:pt idx="1">
                  <c:v>6.1219999999999997E-2</c:v>
                </c:pt>
                <c:pt idx="2">
                  <c:v>0.12239999999999999</c:v>
                </c:pt>
                <c:pt idx="3">
                  <c:v>0.1837</c:v>
                </c:pt>
                <c:pt idx="4">
                  <c:v>0.24490000000000001</c:v>
                </c:pt>
                <c:pt idx="5">
                  <c:v>0.30609999999999998</c:v>
                </c:pt>
                <c:pt idx="6">
                  <c:v>0.36730000000000002</c:v>
                </c:pt>
                <c:pt idx="7">
                  <c:v>0.42859999999999998</c:v>
                </c:pt>
                <c:pt idx="8">
                  <c:v>0.48980000000000001</c:v>
                </c:pt>
                <c:pt idx="9">
                  <c:v>0.55100000000000005</c:v>
                </c:pt>
                <c:pt idx="10">
                  <c:v>0.61219999999999997</c:v>
                </c:pt>
                <c:pt idx="11">
                  <c:v>0.67349999999999999</c:v>
                </c:pt>
                <c:pt idx="12">
                  <c:v>0.73470000000000002</c:v>
                </c:pt>
                <c:pt idx="13">
                  <c:v>0.79590000000000005</c:v>
                </c:pt>
                <c:pt idx="14">
                  <c:v>0.85709999999999997</c:v>
                </c:pt>
                <c:pt idx="15">
                  <c:v>0.91839999999999999</c:v>
                </c:pt>
                <c:pt idx="16">
                  <c:v>0.97960000000000003</c:v>
                </c:pt>
                <c:pt idx="17">
                  <c:v>1.0409999999999999</c:v>
                </c:pt>
                <c:pt idx="18">
                  <c:v>1.1020000000000001</c:v>
                </c:pt>
                <c:pt idx="19">
                  <c:v>1.163</c:v>
                </c:pt>
                <c:pt idx="20">
                  <c:v>1.224</c:v>
                </c:pt>
                <c:pt idx="21">
                  <c:v>1.286</c:v>
                </c:pt>
                <c:pt idx="22">
                  <c:v>1.347</c:v>
                </c:pt>
                <c:pt idx="23">
                  <c:v>1.4079999999999999</c:v>
                </c:pt>
                <c:pt idx="24">
                  <c:v>1.4690000000000001</c:v>
                </c:pt>
                <c:pt idx="25">
                  <c:v>1.5309999999999999</c:v>
                </c:pt>
                <c:pt idx="26">
                  <c:v>1.5920000000000001</c:v>
                </c:pt>
                <c:pt idx="27">
                  <c:v>1.653</c:v>
                </c:pt>
                <c:pt idx="28">
                  <c:v>1.714</c:v>
                </c:pt>
                <c:pt idx="29">
                  <c:v>1.776</c:v>
                </c:pt>
                <c:pt idx="30">
                  <c:v>1.837</c:v>
                </c:pt>
                <c:pt idx="31">
                  <c:v>1.8979999999999999</c:v>
                </c:pt>
                <c:pt idx="32">
                  <c:v>1.9590000000000001</c:v>
                </c:pt>
                <c:pt idx="33">
                  <c:v>2.02</c:v>
                </c:pt>
                <c:pt idx="34">
                  <c:v>2.0819999999999999</c:v>
                </c:pt>
                <c:pt idx="35">
                  <c:v>2.1429999999999998</c:v>
                </c:pt>
                <c:pt idx="36">
                  <c:v>2.2040000000000002</c:v>
                </c:pt>
                <c:pt idx="37">
                  <c:v>2.2650000000000001</c:v>
                </c:pt>
                <c:pt idx="38">
                  <c:v>2.327</c:v>
                </c:pt>
                <c:pt idx="39">
                  <c:v>2.3879999999999999</c:v>
                </c:pt>
                <c:pt idx="40">
                  <c:v>2.4489999999999998</c:v>
                </c:pt>
                <c:pt idx="41">
                  <c:v>2.5099999999999998</c:v>
                </c:pt>
                <c:pt idx="42">
                  <c:v>2.5710000000000002</c:v>
                </c:pt>
                <c:pt idx="43">
                  <c:v>2.633</c:v>
                </c:pt>
                <c:pt idx="44">
                  <c:v>2.694</c:v>
                </c:pt>
                <c:pt idx="45">
                  <c:v>2.7549999999999999</c:v>
                </c:pt>
                <c:pt idx="46">
                  <c:v>2.8159999999999998</c:v>
                </c:pt>
                <c:pt idx="47">
                  <c:v>2.8780000000000001</c:v>
                </c:pt>
                <c:pt idx="48">
                  <c:v>2.9390000000000001</c:v>
                </c:pt>
                <c:pt idx="49">
                  <c:v>3</c:v>
                </c:pt>
              </c:numCache>
            </c:numRef>
          </c:xVal>
          <c:yVal>
            <c:numRef>
              <c:f>'[IVP Curves.XLSX]H2'!$V$4:$V$37</c:f>
              <c:numCache>
                <c:formatCode>General</c:formatCode>
                <c:ptCount val="34"/>
                <c:pt idx="0">
                  <c:v>0</c:v>
                </c:pt>
                <c:pt idx="1">
                  <c:v>6.862E-2</c:v>
                </c:pt>
                <c:pt idx="2">
                  <c:v>0.13220000000000001</c:v>
                </c:pt>
                <c:pt idx="3">
                  <c:v>0.192</c:v>
                </c:pt>
                <c:pt idx="4">
                  <c:v>0.24790000000000001</c:v>
                </c:pt>
                <c:pt idx="5">
                  <c:v>0.30009999999999998</c:v>
                </c:pt>
                <c:pt idx="6">
                  <c:v>0.34860000000000002</c:v>
                </c:pt>
                <c:pt idx="7">
                  <c:v>0.39360000000000001</c:v>
                </c:pt>
                <c:pt idx="8">
                  <c:v>0.43530000000000002</c:v>
                </c:pt>
                <c:pt idx="9">
                  <c:v>0.47399999999999998</c:v>
                </c:pt>
                <c:pt idx="10">
                  <c:v>0.50980000000000003</c:v>
                </c:pt>
                <c:pt idx="11">
                  <c:v>0.54310000000000003</c:v>
                </c:pt>
                <c:pt idx="12">
                  <c:v>0.57399999999999995</c:v>
                </c:pt>
                <c:pt idx="13">
                  <c:v>0.6028</c:v>
                </c:pt>
                <c:pt idx="14">
                  <c:v>0.62949999999999995</c:v>
                </c:pt>
                <c:pt idx="15">
                  <c:v>0.65439999999999998</c:v>
                </c:pt>
                <c:pt idx="16">
                  <c:v>0.6774</c:v>
                </c:pt>
                <c:pt idx="17">
                  <c:v>0.69869999999999999</c:v>
                </c:pt>
                <c:pt idx="18">
                  <c:v>0.71840000000000004</c:v>
                </c:pt>
                <c:pt idx="19">
                  <c:v>0.73650000000000004</c:v>
                </c:pt>
                <c:pt idx="20">
                  <c:v>0.75309999999999999</c:v>
                </c:pt>
                <c:pt idx="21">
                  <c:v>0.76819999999999999</c:v>
                </c:pt>
                <c:pt idx="22">
                  <c:v>0.78180000000000005</c:v>
                </c:pt>
                <c:pt idx="23">
                  <c:v>0.79410000000000003</c:v>
                </c:pt>
                <c:pt idx="24">
                  <c:v>0.80500000000000005</c:v>
                </c:pt>
                <c:pt idx="25">
                  <c:v>0.8145</c:v>
                </c:pt>
                <c:pt idx="26">
                  <c:v>0.82279999999999998</c:v>
                </c:pt>
                <c:pt idx="27">
                  <c:v>0.82969999999999999</c:v>
                </c:pt>
                <c:pt idx="28">
                  <c:v>0.83530000000000004</c:v>
                </c:pt>
                <c:pt idx="29">
                  <c:v>0.8397</c:v>
                </c:pt>
                <c:pt idx="30">
                  <c:v>0.8427</c:v>
                </c:pt>
                <c:pt idx="31">
                  <c:v>0.84450000000000003</c:v>
                </c:pt>
                <c:pt idx="32">
                  <c:v>0.84509999999999996</c:v>
                </c:pt>
                <c:pt idx="33">
                  <c:v>0.84440000000000004</c:v>
                </c:pt>
              </c:numCache>
            </c:numRef>
          </c:yVal>
          <c:smooth val="0"/>
          <c:extLst>
            <c:ext xmlns:c16="http://schemas.microsoft.com/office/drawing/2014/chart" uri="{C3380CC4-5D6E-409C-BE32-E72D297353CC}">
              <c16:uniqueId val="{0000000B-9442-4EEE-B3AC-12B58B5A1997}"/>
            </c:ext>
          </c:extLst>
        </c:ser>
        <c:dLbls>
          <c:showLegendKey val="0"/>
          <c:showVal val="0"/>
          <c:showCatName val="0"/>
          <c:showSerName val="0"/>
          <c:showPercent val="0"/>
          <c:showBubbleSize val="0"/>
        </c:dLbls>
        <c:axId val="703366431"/>
        <c:axId val="703366911"/>
      </c:scatterChart>
      <c:valAx>
        <c:axId val="57316326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Current Density (Acm^-2)</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3163743"/>
        <c:crosses val="autoZero"/>
        <c:crossBetween val="midCat"/>
      </c:valAx>
      <c:valAx>
        <c:axId val="57316374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Voltage (V)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3163263"/>
        <c:crosses val="autoZero"/>
        <c:crossBetween val="midCat"/>
      </c:valAx>
      <c:valAx>
        <c:axId val="703366911"/>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Power Density</a:t>
                </a:r>
                <a:r>
                  <a:rPr lang="en-US" baseline="0"/>
                  <a:t> (Wcm^-2)</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3366431"/>
        <c:crosses val="max"/>
        <c:crossBetween val="midCat"/>
      </c:valAx>
      <c:valAx>
        <c:axId val="703366431"/>
        <c:scaling>
          <c:orientation val="minMax"/>
        </c:scaling>
        <c:delete val="1"/>
        <c:axPos val="b"/>
        <c:numFmt formatCode="General" sourceLinked="1"/>
        <c:majorTickMark val="out"/>
        <c:minorTickMark val="none"/>
        <c:tickLblPos val="nextTo"/>
        <c:crossAx val="703366911"/>
        <c:crosses val="autoZero"/>
        <c:crossBetween val="midCat"/>
      </c:valAx>
      <c:spPr>
        <a:noFill/>
        <a:ln>
          <a:noFill/>
        </a:ln>
        <a:effectLst/>
      </c:spPr>
    </c:plotArea>
    <c:legend>
      <c:legendPos val="b"/>
      <c:legendEntry>
        <c:idx val="0"/>
        <c:delete val="1"/>
      </c:legendEntry>
      <c:legendEntry>
        <c:idx val="1"/>
        <c:delete val="1"/>
      </c:legendEntry>
      <c:legendEntry>
        <c:idx val="3"/>
        <c:delete val="1"/>
      </c:legendEntry>
      <c:legendEntry>
        <c:idx val="5"/>
        <c:delete val="1"/>
      </c:legendEntry>
      <c:legendEntry>
        <c:idx val="7"/>
        <c:delete val="1"/>
      </c:legendEntry>
      <c:legendEntry>
        <c:idx val="8"/>
        <c:delete val="1"/>
      </c:legendEntry>
      <c:legendEntry>
        <c:idx val="9"/>
        <c:delete val="1"/>
      </c:legendEntry>
      <c:legendEntry>
        <c:idx val="10"/>
        <c:delete val="1"/>
      </c:legendEntry>
      <c:legendEntry>
        <c:idx val="11"/>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v>Power Density</c:v>
          </c:tx>
          <c:spPr>
            <a:ln w="38100" cap="rnd">
              <a:noFill/>
              <a:round/>
            </a:ln>
            <a:effectLst/>
          </c:spPr>
          <c:marker>
            <c:symbol val="circle"/>
            <c:size val="5"/>
            <c:spPr>
              <a:solidFill>
                <a:schemeClr val="accent2"/>
              </a:solidFill>
              <a:ln w="9525">
                <a:solidFill>
                  <a:schemeClr val="accent2"/>
                </a:solidFill>
              </a:ln>
              <a:effectLst/>
            </c:spPr>
          </c:marker>
          <c:xVal>
            <c:numRef>
              <c:f>'[30%conv,700C.CSV.xlsx]PD Limitations'!$Q$3:$Q$48</c:f>
              <c:numCache>
                <c:formatCode>General</c:formatCode>
                <c:ptCount val="46"/>
                <c:pt idx="0">
                  <c:v>5.0000000000000001E-4</c:v>
                </c:pt>
                <c:pt idx="1">
                  <c:v>6.7350000000000005E-4</c:v>
                </c:pt>
                <c:pt idx="2">
                  <c:v>8.4690000000000004E-4</c:v>
                </c:pt>
                <c:pt idx="3">
                  <c:v>1.0200000000000001E-3</c:v>
                </c:pt>
                <c:pt idx="4">
                  <c:v>1.194E-3</c:v>
                </c:pt>
                <c:pt idx="5">
                  <c:v>1.3669999999999999E-3</c:v>
                </c:pt>
                <c:pt idx="6">
                  <c:v>1.5410000000000001E-3</c:v>
                </c:pt>
                <c:pt idx="7">
                  <c:v>1.714E-3</c:v>
                </c:pt>
                <c:pt idx="8">
                  <c:v>1.8879999999999999E-3</c:v>
                </c:pt>
                <c:pt idx="9">
                  <c:v>2.0609999999999999E-3</c:v>
                </c:pt>
                <c:pt idx="10">
                  <c:v>2.235E-3</c:v>
                </c:pt>
                <c:pt idx="11">
                  <c:v>2.408E-3</c:v>
                </c:pt>
                <c:pt idx="12">
                  <c:v>2.5820000000000001E-3</c:v>
                </c:pt>
                <c:pt idx="13">
                  <c:v>2.7550000000000001E-3</c:v>
                </c:pt>
                <c:pt idx="14">
                  <c:v>2.9290000000000002E-3</c:v>
                </c:pt>
                <c:pt idx="15">
                  <c:v>3.1020000000000002E-3</c:v>
                </c:pt>
                <c:pt idx="16">
                  <c:v>3.2759999999999998E-3</c:v>
                </c:pt>
                <c:pt idx="17">
                  <c:v>3.4489999999999998E-3</c:v>
                </c:pt>
                <c:pt idx="18">
                  <c:v>3.6219999999999998E-3</c:v>
                </c:pt>
                <c:pt idx="19">
                  <c:v>3.7959999999999999E-3</c:v>
                </c:pt>
                <c:pt idx="20">
                  <c:v>3.9690000000000003E-3</c:v>
                </c:pt>
                <c:pt idx="21">
                  <c:v>4.143E-3</c:v>
                </c:pt>
                <c:pt idx="22">
                  <c:v>4.3160000000000004E-3</c:v>
                </c:pt>
                <c:pt idx="23">
                  <c:v>4.4900000000000001E-3</c:v>
                </c:pt>
                <c:pt idx="24">
                  <c:v>4.6629999999999996E-3</c:v>
                </c:pt>
                <c:pt idx="25">
                  <c:v>4.8370000000000002E-3</c:v>
                </c:pt>
                <c:pt idx="26">
                  <c:v>5.0099999999999997E-3</c:v>
                </c:pt>
                <c:pt idx="27">
                  <c:v>5.1840000000000002E-3</c:v>
                </c:pt>
                <c:pt idx="28">
                  <c:v>5.3569999999999998E-3</c:v>
                </c:pt>
                <c:pt idx="29">
                  <c:v>5.5310000000000003E-3</c:v>
                </c:pt>
                <c:pt idx="30">
                  <c:v>5.7039999999999999E-3</c:v>
                </c:pt>
                <c:pt idx="31">
                  <c:v>5.8780000000000004E-3</c:v>
                </c:pt>
                <c:pt idx="32">
                  <c:v>6.051E-3</c:v>
                </c:pt>
                <c:pt idx="33">
                  <c:v>6.2240000000000004E-3</c:v>
                </c:pt>
                <c:pt idx="34">
                  <c:v>6.398E-3</c:v>
                </c:pt>
                <c:pt idx="35">
                  <c:v>6.5709999999999996E-3</c:v>
                </c:pt>
                <c:pt idx="36">
                  <c:v>6.7450000000000001E-3</c:v>
                </c:pt>
                <c:pt idx="37">
                  <c:v>6.9179999999999997E-3</c:v>
                </c:pt>
                <c:pt idx="38">
                  <c:v>7.0920000000000002E-3</c:v>
                </c:pt>
                <c:pt idx="39">
                  <c:v>7.2649999999999998E-3</c:v>
                </c:pt>
                <c:pt idx="40">
                  <c:v>7.4390000000000003E-3</c:v>
                </c:pt>
                <c:pt idx="41">
                  <c:v>7.6119999999999998E-3</c:v>
                </c:pt>
                <c:pt idx="42">
                  <c:v>7.7860000000000004E-3</c:v>
                </c:pt>
                <c:pt idx="43">
                  <c:v>7.9590000000000008E-3</c:v>
                </c:pt>
                <c:pt idx="44">
                  <c:v>8.1329999999999996E-3</c:v>
                </c:pt>
                <c:pt idx="45">
                  <c:v>8.3059999999999991E-3</c:v>
                </c:pt>
              </c:numCache>
            </c:numRef>
          </c:xVal>
          <c:yVal>
            <c:numRef>
              <c:f>'[30%conv,700C.CSV.xlsx]PD Limitations'!$R$3:$R$48</c:f>
              <c:numCache>
                <c:formatCode>General</c:formatCode>
                <c:ptCount val="46"/>
                <c:pt idx="0">
                  <c:v>5.3589999999999996E-4</c:v>
                </c:pt>
                <c:pt idx="1">
                  <c:v>7.1460000000000002E-4</c:v>
                </c:pt>
                <c:pt idx="2">
                  <c:v>8.9119999999999998E-4</c:v>
                </c:pt>
                <c:pt idx="3">
                  <c:v>1.0660000000000001E-3</c:v>
                </c:pt>
                <c:pt idx="4">
                  <c:v>1.2390000000000001E-3</c:v>
                </c:pt>
                <c:pt idx="5">
                  <c:v>1.4109999999999999E-3</c:v>
                </c:pt>
                <c:pt idx="6">
                  <c:v>1.5820000000000001E-3</c:v>
                </c:pt>
                <c:pt idx="7">
                  <c:v>1.751E-3</c:v>
                </c:pt>
                <c:pt idx="8">
                  <c:v>1.92E-3</c:v>
                </c:pt>
                <c:pt idx="9">
                  <c:v>2.0869999999999999E-3</c:v>
                </c:pt>
                <c:pt idx="10">
                  <c:v>2.2529999999999998E-3</c:v>
                </c:pt>
                <c:pt idx="11">
                  <c:v>2.418E-3</c:v>
                </c:pt>
                <c:pt idx="12">
                  <c:v>2.5820000000000001E-3</c:v>
                </c:pt>
                <c:pt idx="13">
                  <c:v>2.7460000000000002E-3</c:v>
                </c:pt>
                <c:pt idx="14">
                  <c:v>2.908E-3</c:v>
                </c:pt>
                <c:pt idx="15">
                  <c:v>3.0690000000000001E-3</c:v>
                </c:pt>
                <c:pt idx="16">
                  <c:v>3.2299999999999998E-3</c:v>
                </c:pt>
                <c:pt idx="17">
                  <c:v>3.3890000000000001E-3</c:v>
                </c:pt>
                <c:pt idx="18">
                  <c:v>3.5469999999999998E-3</c:v>
                </c:pt>
                <c:pt idx="19">
                  <c:v>3.7039999999999998E-3</c:v>
                </c:pt>
                <c:pt idx="20">
                  <c:v>3.8609999999999998E-3</c:v>
                </c:pt>
                <c:pt idx="21">
                  <c:v>4.0159999999999996E-3</c:v>
                </c:pt>
                <c:pt idx="22">
                  <c:v>4.1700000000000001E-3</c:v>
                </c:pt>
                <c:pt idx="23">
                  <c:v>4.3220000000000003E-3</c:v>
                </c:pt>
                <c:pt idx="24">
                  <c:v>4.4739999999999997E-3</c:v>
                </c:pt>
                <c:pt idx="25">
                  <c:v>4.6239999999999996E-3</c:v>
                </c:pt>
                <c:pt idx="26">
                  <c:v>4.7720000000000002E-3</c:v>
                </c:pt>
                <c:pt idx="27">
                  <c:v>4.9189999999999998E-3</c:v>
                </c:pt>
                <c:pt idx="28">
                  <c:v>5.0639999999999999E-3</c:v>
                </c:pt>
                <c:pt idx="29">
                  <c:v>5.208E-3</c:v>
                </c:pt>
                <c:pt idx="30">
                  <c:v>5.3489999999999996E-3</c:v>
                </c:pt>
                <c:pt idx="31">
                  <c:v>5.4879999999999998E-3</c:v>
                </c:pt>
                <c:pt idx="32">
                  <c:v>5.6249999999999998E-3</c:v>
                </c:pt>
                <c:pt idx="33">
                  <c:v>5.7590000000000002E-3</c:v>
                </c:pt>
                <c:pt idx="34">
                  <c:v>5.8900000000000003E-3</c:v>
                </c:pt>
                <c:pt idx="35">
                  <c:v>6.0169999999999998E-3</c:v>
                </c:pt>
                <c:pt idx="36">
                  <c:v>6.1390000000000004E-3</c:v>
                </c:pt>
                <c:pt idx="37">
                  <c:v>6.2570000000000004E-3</c:v>
                </c:pt>
                <c:pt idx="38">
                  <c:v>6.3670000000000003E-3</c:v>
                </c:pt>
                <c:pt idx="39">
                  <c:v>6.4700000000000001E-3</c:v>
                </c:pt>
                <c:pt idx="40">
                  <c:v>6.5620000000000001E-3</c:v>
                </c:pt>
                <c:pt idx="41">
                  <c:v>6.6389999999999999E-3</c:v>
                </c:pt>
                <c:pt idx="42">
                  <c:v>6.6930000000000002E-3</c:v>
                </c:pt>
                <c:pt idx="43">
                  <c:v>6.7089999999999997E-3</c:v>
                </c:pt>
                <c:pt idx="44">
                  <c:v>6.6420000000000003E-3</c:v>
                </c:pt>
                <c:pt idx="45">
                  <c:v>6.195E-3</c:v>
                </c:pt>
              </c:numCache>
            </c:numRef>
          </c:yVal>
          <c:smooth val="0"/>
          <c:extLst>
            <c:ext xmlns:c16="http://schemas.microsoft.com/office/drawing/2014/chart" uri="{C3380CC4-5D6E-409C-BE32-E72D297353CC}">
              <c16:uniqueId val="{00000000-D93B-49BB-A7BC-9CED7843D2DF}"/>
            </c:ext>
          </c:extLst>
        </c:ser>
        <c:dLbls>
          <c:showLegendKey val="0"/>
          <c:showVal val="0"/>
          <c:showCatName val="0"/>
          <c:showSerName val="0"/>
          <c:showPercent val="0"/>
          <c:showBubbleSize val="0"/>
        </c:dLbls>
        <c:axId val="2037915839"/>
        <c:axId val="2037916799"/>
      </c:scatterChart>
      <c:scatterChart>
        <c:scatterStyle val="lineMarker"/>
        <c:varyColors val="0"/>
        <c:ser>
          <c:idx val="0"/>
          <c:order val="1"/>
          <c:tx>
            <c:v>Conversion Efficiency</c:v>
          </c:tx>
          <c:spPr>
            <a:ln w="25400" cap="rnd">
              <a:noFill/>
              <a:round/>
            </a:ln>
            <a:effectLst/>
          </c:spPr>
          <c:marker>
            <c:symbol val="circle"/>
            <c:size val="5"/>
            <c:spPr>
              <a:solidFill>
                <a:schemeClr val="accent1"/>
              </a:solidFill>
              <a:ln w="9525">
                <a:solidFill>
                  <a:schemeClr val="accent1"/>
                </a:solidFill>
              </a:ln>
              <a:effectLst/>
            </c:spPr>
          </c:marker>
          <c:xVal>
            <c:numRef>
              <c:f>'[30%conv,700C.CSV.xlsx]PD Limitations'!$Q$3:$Q$48</c:f>
              <c:numCache>
                <c:formatCode>General</c:formatCode>
                <c:ptCount val="46"/>
                <c:pt idx="0">
                  <c:v>5.0000000000000001E-4</c:v>
                </c:pt>
                <c:pt idx="1">
                  <c:v>6.7350000000000005E-4</c:v>
                </c:pt>
                <c:pt idx="2">
                  <c:v>8.4690000000000004E-4</c:v>
                </c:pt>
                <c:pt idx="3">
                  <c:v>1.0200000000000001E-3</c:v>
                </c:pt>
                <c:pt idx="4">
                  <c:v>1.194E-3</c:v>
                </c:pt>
                <c:pt idx="5">
                  <c:v>1.3669999999999999E-3</c:v>
                </c:pt>
                <c:pt idx="6">
                  <c:v>1.5410000000000001E-3</c:v>
                </c:pt>
                <c:pt idx="7">
                  <c:v>1.714E-3</c:v>
                </c:pt>
                <c:pt idx="8">
                  <c:v>1.8879999999999999E-3</c:v>
                </c:pt>
                <c:pt idx="9">
                  <c:v>2.0609999999999999E-3</c:v>
                </c:pt>
                <c:pt idx="10">
                  <c:v>2.235E-3</c:v>
                </c:pt>
                <c:pt idx="11">
                  <c:v>2.408E-3</c:v>
                </c:pt>
                <c:pt idx="12">
                  <c:v>2.5820000000000001E-3</c:v>
                </c:pt>
                <c:pt idx="13">
                  <c:v>2.7550000000000001E-3</c:v>
                </c:pt>
                <c:pt idx="14">
                  <c:v>2.9290000000000002E-3</c:v>
                </c:pt>
                <c:pt idx="15">
                  <c:v>3.1020000000000002E-3</c:v>
                </c:pt>
                <c:pt idx="16">
                  <c:v>3.2759999999999998E-3</c:v>
                </c:pt>
                <c:pt idx="17">
                  <c:v>3.4489999999999998E-3</c:v>
                </c:pt>
                <c:pt idx="18">
                  <c:v>3.6219999999999998E-3</c:v>
                </c:pt>
                <c:pt idx="19">
                  <c:v>3.7959999999999999E-3</c:v>
                </c:pt>
                <c:pt idx="20">
                  <c:v>3.9690000000000003E-3</c:v>
                </c:pt>
                <c:pt idx="21">
                  <c:v>4.143E-3</c:v>
                </c:pt>
                <c:pt idx="22">
                  <c:v>4.3160000000000004E-3</c:v>
                </c:pt>
                <c:pt idx="23">
                  <c:v>4.4900000000000001E-3</c:v>
                </c:pt>
                <c:pt idx="24">
                  <c:v>4.6629999999999996E-3</c:v>
                </c:pt>
                <c:pt idx="25">
                  <c:v>4.8370000000000002E-3</c:v>
                </c:pt>
                <c:pt idx="26">
                  <c:v>5.0099999999999997E-3</c:v>
                </c:pt>
                <c:pt idx="27">
                  <c:v>5.1840000000000002E-3</c:v>
                </c:pt>
                <c:pt idx="28">
                  <c:v>5.3569999999999998E-3</c:v>
                </c:pt>
                <c:pt idx="29">
                  <c:v>5.5310000000000003E-3</c:v>
                </c:pt>
                <c:pt idx="30">
                  <c:v>5.7039999999999999E-3</c:v>
                </c:pt>
                <c:pt idx="31">
                  <c:v>5.8780000000000004E-3</c:v>
                </c:pt>
                <c:pt idx="32">
                  <c:v>6.051E-3</c:v>
                </c:pt>
                <c:pt idx="33">
                  <c:v>6.2240000000000004E-3</c:v>
                </c:pt>
                <c:pt idx="34">
                  <c:v>6.398E-3</c:v>
                </c:pt>
                <c:pt idx="35">
                  <c:v>6.5709999999999996E-3</c:v>
                </c:pt>
                <c:pt idx="36">
                  <c:v>6.7450000000000001E-3</c:v>
                </c:pt>
                <c:pt idx="37">
                  <c:v>6.9179999999999997E-3</c:v>
                </c:pt>
                <c:pt idx="38">
                  <c:v>7.0920000000000002E-3</c:v>
                </c:pt>
                <c:pt idx="39">
                  <c:v>7.2649999999999998E-3</c:v>
                </c:pt>
                <c:pt idx="40">
                  <c:v>7.4390000000000003E-3</c:v>
                </c:pt>
                <c:pt idx="41">
                  <c:v>7.6119999999999998E-3</c:v>
                </c:pt>
                <c:pt idx="42">
                  <c:v>7.7860000000000004E-3</c:v>
                </c:pt>
                <c:pt idx="43">
                  <c:v>7.9590000000000008E-3</c:v>
                </c:pt>
                <c:pt idx="44">
                  <c:v>8.1329999999999996E-3</c:v>
                </c:pt>
                <c:pt idx="45">
                  <c:v>8.3059999999999991E-3</c:v>
                </c:pt>
              </c:numCache>
            </c:numRef>
          </c:xVal>
          <c:yVal>
            <c:numRef>
              <c:f>'[30%conv,700C.CSV.xlsx]PD Limitations'!$AC$3:$AC$48</c:f>
              <c:numCache>
                <c:formatCode>General</c:formatCode>
                <c:ptCount val="46"/>
                <c:pt idx="0">
                  <c:v>0.9</c:v>
                </c:pt>
                <c:pt idx="1">
                  <c:v>0.89100000000000001</c:v>
                </c:pt>
                <c:pt idx="2">
                  <c:v>0.88360000000000005</c:v>
                </c:pt>
                <c:pt idx="3">
                  <c:v>0.87719999999999998</c:v>
                </c:pt>
                <c:pt idx="4">
                  <c:v>0.87160000000000004</c:v>
                </c:pt>
                <c:pt idx="5">
                  <c:v>0.86650000000000005</c:v>
                </c:pt>
                <c:pt idx="6">
                  <c:v>0.86199999999999999</c:v>
                </c:pt>
                <c:pt idx="7">
                  <c:v>0.85770000000000002</c:v>
                </c:pt>
                <c:pt idx="8">
                  <c:v>0.8538</c:v>
                </c:pt>
                <c:pt idx="9">
                  <c:v>0.85</c:v>
                </c:pt>
                <c:pt idx="10">
                  <c:v>0.84650000000000003</c:v>
                </c:pt>
                <c:pt idx="11">
                  <c:v>0.84309999999999996</c:v>
                </c:pt>
                <c:pt idx="12">
                  <c:v>0.83989999999999998</c:v>
                </c:pt>
                <c:pt idx="13">
                  <c:v>0.83679999999999999</c:v>
                </c:pt>
                <c:pt idx="14">
                  <c:v>0.8337</c:v>
                </c:pt>
                <c:pt idx="15">
                  <c:v>0.83079999999999998</c:v>
                </c:pt>
                <c:pt idx="16">
                  <c:v>0.82789999999999997</c:v>
                </c:pt>
                <c:pt idx="17">
                  <c:v>0.82499999999999996</c:v>
                </c:pt>
                <c:pt idx="18">
                  <c:v>0.82220000000000004</c:v>
                </c:pt>
                <c:pt idx="19">
                  <c:v>0.81940000000000002</c:v>
                </c:pt>
                <c:pt idx="20">
                  <c:v>0.81659999999999999</c:v>
                </c:pt>
                <c:pt idx="21">
                  <c:v>0.81389999999999996</c:v>
                </c:pt>
                <c:pt idx="22">
                  <c:v>0.81110000000000004</c:v>
                </c:pt>
                <c:pt idx="23">
                  <c:v>0.80830000000000002</c:v>
                </c:pt>
                <c:pt idx="24">
                  <c:v>0.80549999999999999</c:v>
                </c:pt>
                <c:pt idx="25">
                  <c:v>0.80259999999999998</c:v>
                </c:pt>
                <c:pt idx="26">
                  <c:v>0.79969999999999997</c:v>
                </c:pt>
                <c:pt idx="27">
                  <c:v>0.79679999999999995</c:v>
                </c:pt>
                <c:pt idx="28">
                  <c:v>0.79379999999999995</c:v>
                </c:pt>
                <c:pt idx="29">
                  <c:v>0.79059999999999997</c:v>
                </c:pt>
                <c:pt idx="30">
                  <c:v>0.78739999999999999</c:v>
                </c:pt>
                <c:pt idx="31">
                  <c:v>0.78410000000000002</c:v>
                </c:pt>
                <c:pt idx="32">
                  <c:v>0.78049999999999997</c:v>
                </c:pt>
                <c:pt idx="33">
                  <c:v>0.77690000000000003</c:v>
                </c:pt>
                <c:pt idx="34">
                  <c:v>0.77290000000000003</c:v>
                </c:pt>
                <c:pt idx="35">
                  <c:v>0.76880000000000004</c:v>
                </c:pt>
                <c:pt idx="36">
                  <c:v>0.76419999999999999</c:v>
                </c:pt>
                <c:pt idx="37">
                  <c:v>0.75929999999999997</c:v>
                </c:pt>
                <c:pt idx="38">
                  <c:v>0.75390000000000001</c:v>
                </c:pt>
                <c:pt idx="39">
                  <c:v>0.74770000000000003</c:v>
                </c:pt>
                <c:pt idx="40">
                  <c:v>0.74070000000000003</c:v>
                </c:pt>
                <c:pt idx="41">
                  <c:v>0.73229999999999995</c:v>
                </c:pt>
                <c:pt idx="42">
                  <c:v>0.7218</c:v>
                </c:pt>
                <c:pt idx="43">
                  <c:v>0.70779999999999998</c:v>
                </c:pt>
                <c:pt idx="44">
                  <c:v>0.68579999999999997</c:v>
                </c:pt>
                <c:pt idx="45">
                  <c:v>0.62619999999999998</c:v>
                </c:pt>
              </c:numCache>
            </c:numRef>
          </c:yVal>
          <c:smooth val="0"/>
          <c:extLst>
            <c:ext xmlns:c16="http://schemas.microsoft.com/office/drawing/2014/chart" uri="{C3380CC4-5D6E-409C-BE32-E72D297353CC}">
              <c16:uniqueId val="{00000001-D93B-49BB-A7BC-9CED7843D2DF}"/>
            </c:ext>
          </c:extLst>
        </c:ser>
        <c:dLbls>
          <c:showLegendKey val="0"/>
          <c:showVal val="0"/>
          <c:showCatName val="0"/>
          <c:showSerName val="0"/>
          <c:showPercent val="0"/>
          <c:showBubbleSize val="0"/>
        </c:dLbls>
        <c:axId val="2017098463"/>
        <c:axId val="1459445439"/>
      </c:scatterChart>
      <c:valAx>
        <c:axId val="203791583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Current Density</a:t>
                </a:r>
                <a:r>
                  <a:rPr lang="en-US" baseline="0"/>
                  <a:t> (A/cm</a:t>
                </a:r>
                <a:r>
                  <a:rPr lang="en-US" baseline="30000"/>
                  <a:t>2</a:t>
                </a:r>
                <a:r>
                  <a:rPr lang="en-US" baseline="0"/>
                  <a:t>)</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7916799"/>
        <c:crosses val="autoZero"/>
        <c:crossBetween val="midCat"/>
      </c:valAx>
      <c:valAx>
        <c:axId val="2037916799"/>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Power</a:t>
                </a:r>
                <a:r>
                  <a:rPr lang="en-US" baseline="0"/>
                  <a:t> Density (W/cm</a:t>
                </a:r>
                <a:r>
                  <a:rPr lang="en-US" baseline="30000"/>
                  <a:t>2</a:t>
                </a:r>
                <a:r>
                  <a:rPr lang="en-US" baseline="0"/>
                  <a:t>)</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7915839"/>
        <c:crosses val="autoZero"/>
        <c:crossBetween val="midCat"/>
      </c:valAx>
      <c:valAx>
        <c:axId val="1459445439"/>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Conversion Efficiency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7098463"/>
        <c:crosses val="max"/>
        <c:crossBetween val="midCat"/>
      </c:valAx>
      <c:valAx>
        <c:axId val="2017098463"/>
        <c:scaling>
          <c:orientation val="minMax"/>
        </c:scaling>
        <c:delete val="1"/>
        <c:axPos val="b"/>
        <c:numFmt formatCode="General" sourceLinked="1"/>
        <c:majorTickMark val="out"/>
        <c:minorTickMark val="none"/>
        <c:tickLblPos val="nextTo"/>
        <c:crossAx val="1459445439"/>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'[30%conv,700C.CSV.xlsx]30%conv,700C'!$E$1</c:f>
              <c:strCache>
                <c:ptCount val="1"/>
                <c:pt idx="0">
                  <c:v>Emissions</c:v>
                </c:pt>
              </c:strCache>
            </c:strRef>
          </c:tx>
          <c:spPr>
            <a:ln w="38100" cap="rnd">
              <a:solidFill>
                <a:schemeClr val="tx2"/>
              </a:solidFill>
              <a:round/>
            </a:ln>
            <a:effectLst/>
          </c:spPr>
          <c:marker>
            <c:symbol val="circle"/>
            <c:size val="5"/>
            <c:spPr>
              <a:noFill/>
              <a:ln w="9525">
                <a:noFill/>
              </a:ln>
              <a:effectLst/>
            </c:spPr>
          </c:marker>
          <c:xVal>
            <c:numRef>
              <c:f>'[30%conv,700C.CSV.xlsx]30%conv,700C'!$A$2:$A$51</c:f>
              <c:numCache>
                <c:formatCode>General</c:formatCode>
                <c:ptCount val="50"/>
                <c:pt idx="0">
                  <c:v>5.0000000000000001E-4</c:v>
                </c:pt>
                <c:pt idx="1">
                  <c:v>6.7350000000000005E-4</c:v>
                </c:pt>
                <c:pt idx="2">
                  <c:v>8.4690000000000004E-4</c:v>
                </c:pt>
                <c:pt idx="3">
                  <c:v>1.0200000000000001E-3</c:v>
                </c:pt>
                <c:pt idx="4">
                  <c:v>1.194E-3</c:v>
                </c:pt>
                <c:pt idx="5">
                  <c:v>1.3669999999999999E-3</c:v>
                </c:pt>
                <c:pt idx="6">
                  <c:v>1.5410000000000001E-3</c:v>
                </c:pt>
                <c:pt idx="7">
                  <c:v>1.714E-3</c:v>
                </c:pt>
                <c:pt idx="8">
                  <c:v>1.8879999999999999E-3</c:v>
                </c:pt>
                <c:pt idx="9">
                  <c:v>2.0609999999999999E-3</c:v>
                </c:pt>
                <c:pt idx="10">
                  <c:v>2.235E-3</c:v>
                </c:pt>
                <c:pt idx="11">
                  <c:v>2.408E-3</c:v>
                </c:pt>
                <c:pt idx="12">
                  <c:v>2.5820000000000001E-3</c:v>
                </c:pt>
                <c:pt idx="13">
                  <c:v>2.7550000000000001E-3</c:v>
                </c:pt>
                <c:pt idx="14">
                  <c:v>2.9290000000000002E-3</c:v>
                </c:pt>
                <c:pt idx="15">
                  <c:v>3.1020000000000002E-3</c:v>
                </c:pt>
                <c:pt idx="16">
                  <c:v>3.2759999999999998E-3</c:v>
                </c:pt>
                <c:pt idx="17">
                  <c:v>3.4489999999999998E-3</c:v>
                </c:pt>
                <c:pt idx="18">
                  <c:v>3.6219999999999998E-3</c:v>
                </c:pt>
                <c:pt idx="19">
                  <c:v>3.7959999999999999E-3</c:v>
                </c:pt>
                <c:pt idx="20">
                  <c:v>3.9690000000000003E-3</c:v>
                </c:pt>
                <c:pt idx="21">
                  <c:v>4.143E-3</c:v>
                </c:pt>
                <c:pt idx="22">
                  <c:v>4.3160000000000004E-3</c:v>
                </c:pt>
                <c:pt idx="23">
                  <c:v>4.4900000000000001E-3</c:v>
                </c:pt>
                <c:pt idx="24">
                  <c:v>4.6629999999999996E-3</c:v>
                </c:pt>
                <c:pt idx="25">
                  <c:v>4.8370000000000002E-3</c:v>
                </c:pt>
                <c:pt idx="26">
                  <c:v>5.0099999999999997E-3</c:v>
                </c:pt>
                <c:pt idx="27">
                  <c:v>5.1840000000000002E-3</c:v>
                </c:pt>
                <c:pt idx="28">
                  <c:v>5.3569999999999998E-3</c:v>
                </c:pt>
                <c:pt idx="29">
                  <c:v>5.5310000000000003E-3</c:v>
                </c:pt>
                <c:pt idx="30">
                  <c:v>5.7039999999999999E-3</c:v>
                </c:pt>
                <c:pt idx="31">
                  <c:v>5.8780000000000004E-3</c:v>
                </c:pt>
                <c:pt idx="32">
                  <c:v>6.051E-3</c:v>
                </c:pt>
                <c:pt idx="33">
                  <c:v>6.2240000000000004E-3</c:v>
                </c:pt>
                <c:pt idx="34">
                  <c:v>6.398E-3</c:v>
                </c:pt>
                <c:pt idx="35">
                  <c:v>6.5709999999999996E-3</c:v>
                </c:pt>
                <c:pt idx="36">
                  <c:v>6.7450000000000001E-3</c:v>
                </c:pt>
                <c:pt idx="37">
                  <c:v>6.9179999999999997E-3</c:v>
                </c:pt>
                <c:pt idx="38">
                  <c:v>7.0920000000000002E-3</c:v>
                </c:pt>
                <c:pt idx="39">
                  <c:v>7.2649999999999998E-3</c:v>
                </c:pt>
                <c:pt idx="40">
                  <c:v>7.4390000000000003E-3</c:v>
                </c:pt>
                <c:pt idx="41">
                  <c:v>7.6119999999999998E-3</c:v>
                </c:pt>
                <c:pt idx="42">
                  <c:v>7.7860000000000004E-3</c:v>
                </c:pt>
                <c:pt idx="43">
                  <c:v>7.9590000000000008E-3</c:v>
                </c:pt>
                <c:pt idx="44">
                  <c:v>8.1329999999999996E-3</c:v>
                </c:pt>
                <c:pt idx="45">
                  <c:v>8.3059999999999991E-3</c:v>
                </c:pt>
                <c:pt idx="46">
                  <c:v>0.82030000000000003</c:v>
                </c:pt>
                <c:pt idx="47">
                  <c:v>0.83020000000000005</c:v>
                </c:pt>
                <c:pt idx="48">
                  <c:v>0.84009999999999996</c:v>
                </c:pt>
                <c:pt idx="49">
                  <c:v>0.85</c:v>
                </c:pt>
              </c:numCache>
            </c:numRef>
          </c:xVal>
          <c:yVal>
            <c:numRef>
              <c:f>'[30%conv,700C.CSV.xlsx]30%conv,700C'!$E$2:$E$51</c:f>
              <c:numCache>
                <c:formatCode>General</c:formatCode>
                <c:ptCount val="50"/>
                <c:pt idx="0">
                  <c:v>20.990000000000002</c:v>
                </c:pt>
                <c:pt idx="1">
                  <c:v>20.864000000000001</c:v>
                </c:pt>
                <c:pt idx="2">
                  <c:v>20.748999999999999</c:v>
                </c:pt>
                <c:pt idx="3">
                  <c:v>20.632999999999999</c:v>
                </c:pt>
                <c:pt idx="4">
                  <c:v>20.518000000000001</c:v>
                </c:pt>
                <c:pt idx="5">
                  <c:v>20.414000000000001</c:v>
                </c:pt>
                <c:pt idx="6">
                  <c:v>20.308999999999997</c:v>
                </c:pt>
                <c:pt idx="7">
                  <c:v>20.213999999999999</c:v>
                </c:pt>
                <c:pt idx="8">
                  <c:v>20.119999999999997</c:v>
                </c:pt>
                <c:pt idx="9">
                  <c:v>20.026</c:v>
                </c:pt>
                <c:pt idx="10">
                  <c:v>19.932000000000002</c:v>
                </c:pt>
                <c:pt idx="11">
                  <c:v>19.847000000000001</c:v>
                </c:pt>
                <c:pt idx="12">
                  <c:v>19.763999999999999</c:v>
                </c:pt>
                <c:pt idx="13">
                  <c:v>19.68</c:v>
                </c:pt>
                <c:pt idx="14">
                  <c:v>19.596</c:v>
                </c:pt>
                <c:pt idx="15">
                  <c:v>19.512</c:v>
                </c:pt>
                <c:pt idx="16">
                  <c:v>19.439</c:v>
                </c:pt>
                <c:pt idx="17">
                  <c:v>19.365000000000002</c:v>
                </c:pt>
                <c:pt idx="18">
                  <c:v>19.292000000000002</c:v>
                </c:pt>
                <c:pt idx="19">
                  <c:v>19.219000000000001</c:v>
                </c:pt>
                <c:pt idx="20">
                  <c:v>19.146000000000001</c:v>
                </c:pt>
                <c:pt idx="21">
                  <c:v>19.071999999999999</c:v>
                </c:pt>
                <c:pt idx="22">
                  <c:v>19.009</c:v>
                </c:pt>
                <c:pt idx="23">
                  <c:v>18.936</c:v>
                </c:pt>
                <c:pt idx="24">
                  <c:v>18.872999999999998</c:v>
                </c:pt>
                <c:pt idx="25">
                  <c:v>18.799999999999997</c:v>
                </c:pt>
                <c:pt idx="26">
                  <c:v>18.737000000000002</c:v>
                </c:pt>
                <c:pt idx="27">
                  <c:v>18.675000000000001</c:v>
                </c:pt>
                <c:pt idx="28">
                  <c:v>18.612000000000002</c:v>
                </c:pt>
                <c:pt idx="29">
                  <c:v>18.548999999999999</c:v>
                </c:pt>
                <c:pt idx="30">
                  <c:v>18.496000000000002</c:v>
                </c:pt>
                <c:pt idx="31">
                  <c:v>18.433999999999997</c:v>
                </c:pt>
                <c:pt idx="32">
                  <c:v>18.371000000000002</c:v>
                </c:pt>
                <c:pt idx="33">
                  <c:v>18.313000000000002</c:v>
                </c:pt>
                <c:pt idx="34">
                  <c:v>18.253999999999998</c:v>
                </c:pt>
                <c:pt idx="35">
                  <c:v>18.195</c:v>
                </c:pt>
                <c:pt idx="36">
                  <c:v>18.137</c:v>
                </c:pt>
                <c:pt idx="37">
                  <c:v>18.077999999999999</c:v>
                </c:pt>
                <c:pt idx="38">
                  <c:v>18.02</c:v>
                </c:pt>
                <c:pt idx="39">
                  <c:v>17.960999999999999</c:v>
                </c:pt>
                <c:pt idx="40">
                  <c:v>17.902000000000001</c:v>
                </c:pt>
                <c:pt idx="41">
                  <c:v>17.841999999999999</c:v>
                </c:pt>
                <c:pt idx="42">
                  <c:v>17.780999999999999</c:v>
                </c:pt>
                <c:pt idx="43">
                  <c:v>17.721</c:v>
                </c:pt>
                <c:pt idx="44">
                  <c:v>17.658000000000001</c:v>
                </c:pt>
                <c:pt idx="45">
                  <c:v>17.594000000000001</c:v>
                </c:pt>
              </c:numCache>
            </c:numRef>
          </c:yVal>
          <c:smooth val="0"/>
          <c:extLst>
            <c:ext xmlns:c16="http://schemas.microsoft.com/office/drawing/2014/chart" uri="{C3380CC4-5D6E-409C-BE32-E72D297353CC}">
              <c16:uniqueId val="{00000000-E104-4E39-8A8D-C73D23034319}"/>
            </c:ext>
          </c:extLst>
        </c:ser>
        <c:ser>
          <c:idx val="2"/>
          <c:order val="1"/>
          <c:tx>
            <c:strRef>
              <c:f>'[30%conv,700C.CSV.xlsx]30%conv,700C'!$G$1</c:f>
              <c:strCache>
                <c:ptCount val="1"/>
                <c:pt idx="0">
                  <c:v>C2H4</c:v>
                </c:pt>
              </c:strCache>
            </c:strRef>
          </c:tx>
          <c:spPr>
            <a:ln w="31750" cap="rnd">
              <a:solidFill>
                <a:schemeClr val="accent6"/>
              </a:solidFill>
              <a:round/>
            </a:ln>
            <a:effectLst/>
          </c:spPr>
          <c:marker>
            <c:symbol val="circle"/>
            <c:size val="5"/>
            <c:spPr>
              <a:noFill/>
              <a:ln w="9525">
                <a:noFill/>
              </a:ln>
              <a:effectLst/>
            </c:spPr>
          </c:marker>
          <c:xVal>
            <c:numRef>
              <c:f>'[30%conv,700C.CSV.xlsx]30%conv,700C'!$A$2:$A$51</c:f>
              <c:numCache>
                <c:formatCode>General</c:formatCode>
                <c:ptCount val="50"/>
                <c:pt idx="0">
                  <c:v>5.0000000000000001E-4</c:v>
                </c:pt>
                <c:pt idx="1">
                  <c:v>6.7350000000000005E-4</c:v>
                </c:pt>
                <c:pt idx="2">
                  <c:v>8.4690000000000004E-4</c:v>
                </c:pt>
                <c:pt idx="3">
                  <c:v>1.0200000000000001E-3</c:v>
                </c:pt>
                <c:pt idx="4">
                  <c:v>1.194E-3</c:v>
                </c:pt>
                <c:pt idx="5">
                  <c:v>1.3669999999999999E-3</c:v>
                </c:pt>
                <c:pt idx="6">
                  <c:v>1.5410000000000001E-3</c:v>
                </c:pt>
                <c:pt idx="7">
                  <c:v>1.714E-3</c:v>
                </c:pt>
                <c:pt idx="8">
                  <c:v>1.8879999999999999E-3</c:v>
                </c:pt>
                <c:pt idx="9">
                  <c:v>2.0609999999999999E-3</c:v>
                </c:pt>
                <c:pt idx="10">
                  <c:v>2.235E-3</c:v>
                </c:pt>
                <c:pt idx="11">
                  <c:v>2.408E-3</c:v>
                </c:pt>
                <c:pt idx="12">
                  <c:v>2.5820000000000001E-3</c:v>
                </c:pt>
                <c:pt idx="13">
                  <c:v>2.7550000000000001E-3</c:v>
                </c:pt>
                <c:pt idx="14">
                  <c:v>2.9290000000000002E-3</c:v>
                </c:pt>
                <c:pt idx="15">
                  <c:v>3.1020000000000002E-3</c:v>
                </c:pt>
                <c:pt idx="16">
                  <c:v>3.2759999999999998E-3</c:v>
                </c:pt>
                <c:pt idx="17">
                  <c:v>3.4489999999999998E-3</c:v>
                </c:pt>
                <c:pt idx="18">
                  <c:v>3.6219999999999998E-3</c:v>
                </c:pt>
                <c:pt idx="19">
                  <c:v>3.7959999999999999E-3</c:v>
                </c:pt>
                <c:pt idx="20">
                  <c:v>3.9690000000000003E-3</c:v>
                </c:pt>
                <c:pt idx="21">
                  <c:v>4.143E-3</c:v>
                </c:pt>
                <c:pt idx="22">
                  <c:v>4.3160000000000004E-3</c:v>
                </c:pt>
                <c:pt idx="23">
                  <c:v>4.4900000000000001E-3</c:v>
                </c:pt>
                <c:pt idx="24">
                  <c:v>4.6629999999999996E-3</c:v>
                </c:pt>
                <c:pt idx="25">
                  <c:v>4.8370000000000002E-3</c:v>
                </c:pt>
                <c:pt idx="26">
                  <c:v>5.0099999999999997E-3</c:v>
                </c:pt>
                <c:pt idx="27">
                  <c:v>5.1840000000000002E-3</c:v>
                </c:pt>
                <c:pt idx="28">
                  <c:v>5.3569999999999998E-3</c:v>
                </c:pt>
                <c:pt idx="29">
                  <c:v>5.5310000000000003E-3</c:v>
                </c:pt>
                <c:pt idx="30">
                  <c:v>5.7039999999999999E-3</c:v>
                </c:pt>
                <c:pt idx="31">
                  <c:v>5.8780000000000004E-3</c:v>
                </c:pt>
                <c:pt idx="32">
                  <c:v>6.051E-3</c:v>
                </c:pt>
                <c:pt idx="33">
                  <c:v>6.2240000000000004E-3</c:v>
                </c:pt>
                <c:pt idx="34">
                  <c:v>6.398E-3</c:v>
                </c:pt>
                <c:pt idx="35">
                  <c:v>6.5709999999999996E-3</c:v>
                </c:pt>
                <c:pt idx="36">
                  <c:v>6.7450000000000001E-3</c:v>
                </c:pt>
                <c:pt idx="37">
                  <c:v>6.9179999999999997E-3</c:v>
                </c:pt>
                <c:pt idx="38">
                  <c:v>7.0920000000000002E-3</c:v>
                </c:pt>
                <c:pt idx="39">
                  <c:v>7.2649999999999998E-3</c:v>
                </c:pt>
                <c:pt idx="40">
                  <c:v>7.4390000000000003E-3</c:v>
                </c:pt>
                <c:pt idx="41">
                  <c:v>7.6119999999999998E-3</c:v>
                </c:pt>
                <c:pt idx="42">
                  <c:v>7.7860000000000004E-3</c:v>
                </c:pt>
                <c:pt idx="43">
                  <c:v>7.9590000000000008E-3</c:v>
                </c:pt>
                <c:pt idx="44">
                  <c:v>8.1329999999999996E-3</c:v>
                </c:pt>
                <c:pt idx="45">
                  <c:v>8.3059999999999991E-3</c:v>
                </c:pt>
                <c:pt idx="46">
                  <c:v>0.82030000000000003</c:v>
                </c:pt>
                <c:pt idx="47">
                  <c:v>0.83020000000000005</c:v>
                </c:pt>
                <c:pt idx="48">
                  <c:v>0.84009999999999996</c:v>
                </c:pt>
                <c:pt idx="49">
                  <c:v>0.85</c:v>
                </c:pt>
              </c:numCache>
            </c:numRef>
          </c:xVal>
          <c:yVal>
            <c:numRef>
              <c:f>'[30%conv,700C.CSV.xlsx]30%conv,700C'!$G$2:$G$51</c:f>
              <c:numCache>
                <c:formatCode>General</c:formatCode>
                <c:ptCount val="50"/>
                <c:pt idx="0">
                  <c:v>9.2989999999999995</c:v>
                </c:pt>
                <c:pt idx="1">
                  <c:v>9.2579999999999991</c:v>
                </c:pt>
                <c:pt idx="2">
                  <c:v>9.218</c:v>
                </c:pt>
                <c:pt idx="3">
                  <c:v>9.1790000000000003</c:v>
                </c:pt>
                <c:pt idx="4">
                  <c:v>9.14</c:v>
                </c:pt>
                <c:pt idx="5">
                  <c:v>9.1029999999999998</c:v>
                </c:pt>
                <c:pt idx="6">
                  <c:v>9.0670000000000002</c:v>
                </c:pt>
                <c:pt idx="7">
                  <c:v>9.0310000000000006</c:v>
                </c:pt>
                <c:pt idx="8">
                  <c:v>8.9960000000000004</c:v>
                </c:pt>
                <c:pt idx="9">
                  <c:v>8.9619999999999997</c:v>
                </c:pt>
                <c:pt idx="10">
                  <c:v>8.9280000000000008</c:v>
                </c:pt>
                <c:pt idx="11">
                  <c:v>8.8949999999999996</c:v>
                </c:pt>
                <c:pt idx="12">
                  <c:v>8.8629999999999995</c:v>
                </c:pt>
                <c:pt idx="13">
                  <c:v>8.8309999999999995</c:v>
                </c:pt>
                <c:pt idx="14">
                  <c:v>8.8000000000000007</c:v>
                </c:pt>
                <c:pt idx="15">
                  <c:v>8.77</c:v>
                </c:pt>
                <c:pt idx="16">
                  <c:v>8.74</c:v>
                </c:pt>
                <c:pt idx="17">
                  <c:v>8.7100000000000009</c:v>
                </c:pt>
                <c:pt idx="18">
                  <c:v>8.6809999999999992</c:v>
                </c:pt>
                <c:pt idx="19">
                  <c:v>8.6530000000000005</c:v>
                </c:pt>
                <c:pt idx="20">
                  <c:v>8.625</c:v>
                </c:pt>
                <c:pt idx="21">
                  <c:v>8.5969999999999995</c:v>
                </c:pt>
                <c:pt idx="22">
                  <c:v>8.57</c:v>
                </c:pt>
                <c:pt idx="23">
                  <c:v>8.5429999999999993</c:v>
                </c:pt>
                <c:pt idx="24">
                  <c:v>8.5169999999999995</c:v>
                </c:pt>
                <c:pt idx="25">
                  <c:v>8.4909999999999997</c:v>
                </c:pt>
                <c:pt idx="26">
                  <c:v>8.4649999999999999</c:v>
                </c:pt>
                <c:pt idx="27">
                  <c:v>8.44</c:v>
                </c:pt>
                <c:pt idx="28">
                  <c:v>8.4149999999999991</c:v>
                </c:pt>
                <c:pt idx="29">
                  <c:v>8.391</c:v>
                </c:pt>
                <c:pt idx="30">
                  <c:v>8.3659999999999997</c:v>
                </c:pt>
                <c:pt idx="31">
                  <c:v>8.343</c:v>
                </c:pt>
                <c:pt idx="32">
                  <c:v>8.3190000000000008</c:v>
                </c:pt>
                <c:pt idx="33">
                  <c:v>8.2959999999999994</c:v>
                </c:pt>
                <c:pt idx="34">
                  <c:v>8.2739999999999991</c:v>
                </c:pt>
                <c:pt idx="35">
                  <c:v>8.2509999999999994</c:v>
                </c:pt>
                <c:pt idx="36">
                  <c:v>8.2289999999999992</c:v>
                </c:pt>
                <c:pt idx="37">
                  <c:v>8.2080000000000002</c:v>
                </c:pt>
                <c:pt idx="38">
                  <c:v>8.1869999999999994</c:v>
                </c:pt>
                <c:pt idx="39">
                  <c:v>8.1660000000000004</c:v>
                </c:pt>
                <c:pt idx="40">
                  <c:v>8.1460000000000008</c:v>
                </c:pt>
                <c:pt idx="41">
                  <c:v>8.1259999999999994</c:v>
                </c:pt>
                <c:pt idx="42">
                  <c:v>8.1059999999999999</c:v>
                </c:pt>
                <c:pt idx="43">
                  <c:v>8.0869999999999997</c:v>
                </c:pt>
                <c:pt idx="44">
                  <c:v>8.0690000000000008</c:v>
                </c:pt>
                <c:pt idx="45">
                  <c:v>8.0510000000000002</c:v>
                </c:pt>
              </c:numCache>
            </c:numRef>
          </c:yVal>
          <c:smooth val="0"/>
          <c:extLst>
            <c:ext xmlns:c16="http://schemas.microsoft.com/office/drawing/2014/chart" uri="{C3380CC4-5D6E-409C-BE32-E72D297353CC}">
              <c16:uniqueId val="{00000001-E104-4E39-8A8D-C73D23034319}"/>
            </c:ext>
          </c:extLst>
        </c:ser>
        <c:ser>
          <c:idx val="3"/>
          <c:order val="2"/>
          <c:tx>
            <c:strRef>
              <c:f>'[30%conv,700C.CSV.xlsx]30%conv,700C'!$H$1</c:f>
              <c:strCache>
                <c:ptCount val="1"/>
                <c:pt idx="0">
                  <c:v>C6H6</c:v>
                </c:pt>
              </c:strCache>
            </c:strRef>
          </c:tx>
          <c:spPr>
            <a:ln w="31750" cap="rnd">
              <a:solidFill>
                <a:srgbClr val="C00000"/>
              </a:solidFill>
              <a:round/>
            </a:ln>
            <a:effectLst/>
          </c:spPr>
          <c:marker>
            <c:symbol val="circle"/>
            <c:size val="5"/>
            <c:spPr>
              <a:noFill/>
              <a:ln w="9525">
                <a:noFill/>
              </a:ln>
              <a:effectLst/>
            </c:spPr>
          </c:marker>
          <c:xVal>
            <c:numRef>
              <c:f>'[30%conv,700C.CSV.xlsx]30%conv,700C'!$A$2:$A$51</c:f>
              <c:numCache>
                <c:formatCode>General</c:formatCode>
                <c:ptCount val="50"/>
                <c:pt idx="0">
                  <c:v>5.0000000000000001E-4</c:v>
                </c:pt>
                <c:pt idx="1">
                  <c:v>6.7350000000000005E-4</c:v>
                </c:pt>
                <c:pt idx="2">
                  <c:v>8.4690000000000004E-4</c:v>
                </c:pt>
                <c:pt idx="3">
                  <c:v>1.0200000000000001E-3</c:v>
                </c:pt>
                <c:pt idx="4">
                  <c:v>1.194E-3</c:v>
                </c:pt>
                <c:pt idx="5">
                  <c:v>1.3669999999999999E-3</c:v>
                </c:pt>
                <c:pt idx="6">
                  <c:v>1.5410000000000001E-3</c:v>
                </c:pt>
                <c:pt idx="7">
                  <c:v>1.714E-3</c:v>
                </c:pt>
                <c:pt idx="8">
                  <c:v>1.8879999999999999E-3</c:v>
                </c:pt>
                <c:pt idx="9">
                  <c:v>2.0609999999999999E-3</c:v>
                </c:pt>
                <c:pt idx="10">
                  <c:v>2.235E-3</c:v>
                </c:pt>
                <c:pt idx="11">
                  <c:v>2.408E-3</c:v>
                </c:pt>
                <c:pt idx="12">
                  <c:v>2.5820000000000001E-3</c:v>
                </c:pt>
                <c:pt idx="13">
                  <c:v>2.7550000000000001E-3</c:v>
                </c:pt>
                <c:pt idx="14">
                  <c:v>2.9290000000000002E-3</c:v>
                </c:pt>
                <c:pt idx="15">
                  <c:v>3.1020000000000002E-3</c:v>
                </c:pt>
                <c:pt idx="16">
                  <c:v>3.2759999999999998E-3</c:v>
                </c:pt>
                <c:pt idx="17">
                  <c:v>3.4489999999999998E-3</c:v>
                </c:pt>
                <c:pt idx="18">
                  <c:v>3.6219999999999998E-3</c:v>
                </c:pt>
                <c:pt idx="19">
                  <c:v>3.7959999999999999E-3</c:v>
                </c:pt>
                <c:pt idx="20">
                  <c:v>3.9690000000000003E-3</c:v>
                </c:pt>
                <c:pt idx="21">
                  <c:v>4.143E-3</c:v>
                </c:pt>
                <c:pt idx="22">
                  <c:v>4.3160000000000004E-3</c:v>
                </c:pt>
                <c:pt idx="23">
                  <c:v>4.4900000000000001E-3</c:v>
                </c:pt>
                <c:pt idx="24">
                  <c:v>4.6629999999999996E-3</c:v>
                </c:pt>
                <c:pt idx="25">
                  <c:v>4.8370000000000002E-3</c:v>
                </c:pt>
                <c:pt idx="26">
                  <c:v>5.0099999999999997E-3</c:v>
                </c:pt>
                <c:pt idx="27">
                  <c:v>5.1840000000000002E-3</c:v>
                </c:pt>
                <c:pt idx="28">
                  <c:v>5.3569999999999998E-3</c:v>
                </c:pt>
                <c:pt idx="29">
                  <c:v>5.5310000000000003E-3</c:v>
                </c:pt>
                <c:pt idx="30">
                  <c:v>5.7039999999999999E-3</c:v>
                </c:pt>
                <c:pt idx="31">
                  <c:v>5.8780000000000004E-3</c:v>
                </c:pt>
                <c:pt idx="32">
                  <c:v>6.051E-3</c:v>
                </c:pt>
                <c:pt idx="33">
                  <c:v>6.2240000000000004E-3</c:v>
                </c:pt>
                <c:pt idx="34">
                  <c:v>6.398E-3</c:v>
                </c:pt>
                <c:pt idx="35">
                  <c:v>6.5709999999999996E-3</c:v>
                </c:pt>
                <c:pt idx="36">
                  <c:v>6.7450000000000001E-3</c:v>
                </c:pt>
                <c:pt idx="37">
                  <c:v>6.9179999999999997E-3</c:v>
                </c:pt>
                <c:pt idx="38">
                  <c:v>7.0920000000000002E-3</c:v>
                </c:pt>
                <c:pt idx="39">
                  <c:v>7.2649999999999998E-3</c:v>
                </c:pt>
                <c:pt idx="40">
                  <c:v>7.4390000000000003E-3</c:v>
                </c:pt>
                <c:pt idx="41">
                  <c:v>7.6119999999999998E-3</c:v>
                </c:pt>
                <c:pt idx="42">
                  <c:v>7.7860000000000004E-3</c:v>
                </c:pt>
                <c:pt idx="43">
                  <c:v>7.9590000000000008E-3</c:v>
                </c:pt>
                <c:pt idx="44">
                  <c:v>8.1329999999999996E-3</c:v>
                </c:pt>
                <c:pt idx="45">
                  <c:v>8.3059999999999991E-3</c:v>
                </c:pt>
                <c:pt idx="46">
                  <c:v>0.82030000000000003</c:v>
                </c:pt>
                <c:pt idx="47">
                  <c:v>0.83020000000000005</c:v>
                </c:pt>
                <c:pt idx="48">
                  <c:v>0.84009999999999996</c:v>
                </c:pt>
                <c:pt idx="49">
                  <c:v>0.85</c:v>
                </c:pt>
              </c:numCache>
            </c:numRef>
          </c:xVal>
          <c:yVal>
            <c:numRef>
              <c:f>'[30%conv,700C.CSV.xlsx]30%conv,700C'!$H$2:$H$51</c:f>
              <c:numCache>
                <c:formatCode>General</c:formatCode>
                <c:ptCount val="50"/>
                <c:pt idx="0">
                  <c:v>68.709999999999994</c:v>
                </c:pt>
                <c:pt idx="1">
                  <c:v>68.84</c:v>
                </c:pt>
                <c:pt idx="2">
                  <c:v>68.959999999999994</c:v>
                </c:pt>
                <c:pt idx="3">
                  <c:v>69.069999999999993</c:v>
                </c:pt>
                <c:pt idx="4">
                  <c:v>69.17</c:v>
                </c:pt>
                <c:pt idx="5">
                  <c:v>69.27</c:v>
                </c:pt>
                <c:pt idx="6">
                  <c:v>69.36</c:v>
                </c:pt>
                <c:pt idx="7">
                  <c:v>69.44</c:v>
                </c:pt>
                <c:pt idx="8">
                  <c:v>69.52</c:v>
                </c:pt>
                <c:pt idx="9">
                  <c:v>69.59</c:v>
                </c:pt>
                <c:pt idx="10">
                  <c:v>69.650000000000006</c:v>
                </c:pt>
                <c:pt idx="11">
                  <c:v>69.709999999999994</c:v>
                </c:pt>
                <c:pt idx="12">
                  <c:v>69.760000000000005</c:v>
                </c:pt>
                <c:pt idx="13">
                  <c:v>69.81</c:v>
                </c:pt>
                <c:pt idx="14">
                  <c:v>69.84</c:v>
                </c:pt>
                <c:pt idx="15">
                  <c:v>69.88</c:v>
                </c:pt>
                <c:pt idx="16">
                  <c:v>69.900000000000006</c:v>
                </c:pt>
                <c:pt idx="17">
                  <c:v>69.91</c:v>
                </c:pt>
                <c:pt idx="18">
                  <c:v>69.92</c:v>
                </c:pt>
                <c:pt idx="19">
                  <c:v>69.92</c:v>
                </c:pt>
                <c:pt idx="20">
                  <c:v>69.91</c:v>
                </c:pt>
                <c:pt idx="21">
                  <c:v>69.89</c:v>
                </c:pt>
                <c:pt idx="22">
                  <c:v>69.86</c:v>
                </c:pt>
                <c:pt idx="23">
                  <c:v>69.81</c:v>
                </c:pt>
                <c:pt idx="24">
                  <c:v>69.760000000000005</c:v>
                </c:pt>
                <c:pt idx="25">
                  <c:v>69.69</c:v>
                </c:pt>
                <c:pt idx="26">
                  <c:v>69.599999999999994</c:v>
                </c:pt>
                <c:pt idx="27">
                  <c:v>69.5</c:v>
                </c:pt>
                <c:pt idx="28">
                  <c:v>69.37</c:v>
                </c:pt>
                <c:pt idx="29">
                  <c:v>69.23</c:v>
                </c:pt>
                <c:pt idx="30">
                  <c:v>69.06</c:v>
                </c:pt>
                <c:pt idx="31">
                  <c:v>68.86</c:v>
                </c:pt>
                <c:pt idx="32">
                  <c:v>68.63</c:v>
                </c:pt>
                <c:pt idx="33">
                  <c:v>68.36</c:v>
                </c:pt>
                <c:pt idx="34">
                  <c:v>68.05</c:v>
                </c:pt>
                <c:pt idx="35">
                  <c:v>67.7</c:v>
                </c:pt>
                <c:pt idx="36">
                  <c:v>67.290000000000006</c:v>
                </c:pt>
                <c:pt idx="37">
                  <c:v>66.81</c:v>
                </c:pt>
                <c:pt idx="38">
                  <c:v>66.260000000000005</c:v>
                </c:pt>
                <c:pt idx="39">
                  <c:v>65.63</c:v>
                </c:pt>
                <c:pt idx="40">
                  <c:v>64.900000000000006</c:v>
                </c:pt>
                <c:pt idx="41">
                  <c:v>64.05</c:v>
                </c:pt>
                <c:pt idx="42">
                  <c:v>63.08</c:v>
                </c:pt>
                <c:pt idx="43">
                  <c:v>61.96</c:v>
                </c:pt>
                <c:pt idx="44">
                  <c:v>60.67</c:v>
                </c:pt>
                <c:pt idx="45">
                  <c:v>59.2</c:v>
                </c:pt>
              </c:numCache>
            </c:numRef>
          </c:yVal>
          <c:smooth val="0"/>
          <c:extLst>
            <c:ext xmlns:c16="http://schemas.microsoft.com/office/drawing/2014/chart" uri="{C3380CC4-5D6E-409C-BE32-E72D297353CC}">
              <c16:uniqueId val="{00000002-E104-4E39-8A8D-C73D23034319}"/>
            </c:ext>
          </c:extLst>
        </c:ser>
        <c:ser>
          <c:idx val="4"/>
          <c:order val="3"/>
          <c:tx>
            <c:strRef>
              <c:f>'[30%conv,700C.CSV.xlsx]30%conv,700C'!$I$1</c:f>
              <c:strCache>
                <c:ptCount val="1"/>
                <c:pt idx="0">
                  <c:v>C7H8</c:v>
                </c:pt>
              </c:strCache>
            </c:strRef>
          </c:tx>
          <c:spPr>
            <a:ln w="31750" cap="rnd">
              <a:solidFill>
                <a:srgbClr val="FFC000"/>
              </a:solidFill>
              <a:round/>
            </a:ln>
            <a:effectLst/>
          </c:spPr>
          <c:marker>
            <c:symbol val="circle"/>
            <c:size val="5"/>
            <c:spPr>
              <a:noFill/>
              <a:ln w="9525">
                <a:noFill/>
              </a:ln>
              <a:effectLst/>
            </c:spPr>
          </c:marker>
          <c:xVal>
            <c:numRef>
              <c:f>'[30%conv,700C.CSV.xlsx]30%conv,700C'!$A$2:$A$51</c:f>
              <c:numCache>
                <c:formatCode>General</c:formatCode>
                <c:ptCount val="50"/>
                <c:pt idx="0">
                  <c:v>5.0000000000000001E-4</c:v>
                </c:pt>
                <c:pt idx="1">
                  <c:v>6.7350000000000005E-4</c:v>
                </c:pt>
                <c:pt idx="2">
                  <c:v>8.4690000000000004E-4</c:v>
                </c:pt>
                <c:pt idx="3">
                  <c:v>1.0200000000000001E-3</c:v>
                </c:pt>
                <c:pt idx="4">
                  <c:v>1.194E-3</c:v>
                </c:pt>
                <c:pt idx="5">
                  <c:v>1.3669999999999999E-3</c:v>
                </c:pt>
                <c:pt idx="6">
                  <c:v>1.5410000000000001E-3</c:v>
                </c:pt>
                <c:pt idx="7">
                  <c:v>1.714E-3</c:v>
                </c:pt>
                <c:pt idx="8">
                  <c:v>1.8879999999999999E-3</c:v>
                </c:pt>
                <c:pt idx="9">
                  <c:v>2.0609999999999999E-3</c:v>
                </c:pt>
                <c:pt idx="10">
                  <c:v>2.235E-3</c:v>
                </c:pt>
                <c:pt idx="11">
                  <c:v>2.408E-3</c:v>
                </c:pt>
                <c:pt idx="12">
                  <c:v>2.5820000000000001E-3</c:v>
                </c:pt>
                <c:pt idx="13">
                  <c:v>2.7550000000000001E-3</c:v>
                </c:pt>
                <c:pt idx="14">
                  <c:v>2.9290000000000002E-3</c:v>
                </c:pt>
                <c:pt idx="15">
                  <c:v>3.1020000000000002E-3</c:v>
                </c:pt>
                <c:pt idx="16">
                  <c:v>3.2759999999999998E-3</c:v>
                </c:pt>
                <c:pt idx="17">
                  <c:v>3.4489999999999998E-3</c:v>
                </c:pt>
                <c:pt idx="18">
                  <c:v>3.6219999999999998E-3</c:v>
                </c:pt>
                <c:pt idx="19">
                  <c:v>3.7959999999999999E-3</c:v>
                </c:pt>
                <c:pt idx="20">
                  <c:v>3.9690000000000003E-3</c:v>
                </c:pt>
                <c:pt idx="21">
                  <c:v>4.143E-3</c:v>
                </c:pt>
                <c:pt idx="22">
                  <c:v>4.3160000000000004E-3</c:v>
                </c:pt>
                <c:pt idx="23">
                  <c:v>4.4900000000000001E-3</c:v>
                </c:pt>
                <c:pt idx="24">
                  <c:v>4.6629999999999996E-3</c:v>
                </c:pt>
                <c:pt idx="25">
                  <c:v>4.8370000000000002E-3</c:v>
                </c:pt>
                <c:pt idx="26">
                  <c:v>5.0099999999999997E-3</c:v>
                </c:pt>
                <c:pt idx="27">
                  <c:v>5.1840000000000002E-3</c:v>
                </c:pt>
                <c:pt idx="28">
                  <c:v>5.3569999999999998E-3</c:v>
                </c:pt>
                <c:pt idx="29">
                  <c:v>5.5310000000000003E-3</c:v>
                </c:pt>
                <c:pt idx="30">
                  <c:v>5.7039999999999999E-3</c:v>
                </c:pt>
                <c:pt idx="31">
                  <c:v>5.8780000000000004E-3</c:v>
                </c:pt>
                <c:pt idx="32">
                  <c:v>6.051E-3</c:v>
                </c:pt>
                <c:pt idx="33">
                  <c:v>6.2240000000000004E-3</c:v>
                </c:pt>
                <c:pt idx="34">
                  <c:v>6.398E-3</c:v>
                </c:pt>
                <c:pt idx="35">
                  <c:v>6.5709999999999996E-3</c:v>
                </c:pt>
                <c:pt idx="36">
                  <c:v>6.7450000000000001E-3</c:v>
                </c:pt>
                <c:pt idx="37">
                  <c:v>6.9179999999999997E-3</c:v>
                </c:pt>
                <c:pt idx="38">
                  <c:v>7.0920000000000002E-3</c:v>
                </c:pt>
                <c:pt idx="39">
                  <c:v>7.2649999999999998E-3</c:v>
                </c:pt>
                <c:pt idx="40">
                  <c:v>7.4390000000000003E-3</c:v>
                </c:pt>
                <c:pt idx="41">
                  <c:v>7.6119999999999998E-3</c:v>
                </c:pt>
                <c:pt idx="42">
                  <c:v>7.7860000000000004E-3</c:v>
                </c:pt>
                <c:pt idx="43">
                  <c:v>7.9590000000000008E-3</c:v>
                </c:pt>
                <c:pt idx="44">
                  <c:v>8.1329999999999996E-3</c:v>
                </c:pt>
                <c:pt idx="45">
                  <c:v>8.3059999999999991E-3</c:v>
                </c:pt>
                <c:pt idx="46">
                  <c:v>0.82030000000000003</c:v>
                </c:pt>
                <c:pt idx="47">
                  <c:v>0.83020000000000005</c:v>
                </c:pt>
                <c:pt idx="48">
                  <c:v>0.84009999999999996</c:v>
                </c:pt>
                <c:pt idx="49">
                  <c:v>0.85</c:v>
                </c:pt>
              </c:numCache>
            </c:numRef>
          </c:xVal>
          <c:yVal>
            <c:numRef>
              <c:f>'[30%conv,700C.CSV.xlsx]30%conv,700C'!$I$2:$I$51</c:f>
              <c:numCache>
                <c:formatCode>General</c:formatCode>
                <c:ptCount val="50"/>
                <c:pt idx="0">
                  <c:v>0.99990000000000001</c:v>
                </c:pt>
                <c:pt idx="1">
                  <c:v>1.0389999999999999</c:v>
                </c:pt>
                <c:pt idx="2">
                  <c:v>1.081</c:v>
                </c:pt>
                <c:pt idx="3">
                  <c:v>1.1240000000000001</c:v>
                </c:pt>
                <c:pt idx="4">
                  <c:v>1.1679999999999999</c:v>
                </c:pt>
                <c:pt idx="5">
                  <c:v>1.2150000000000001</c:v>
                </c:pt>
                <c:pt idx="6">
                  <c:v>1.264</c:v>
                </c:pt>
                <c:pt idx="7">
                  <c:v>1.3160000000000001</c:v>
                </c:pt>
                <c:pt idx="8">
                  <c:v>1.37</c:v>
                </c:pt>
                <c:pt idx="9">
                  <c:v>1.4259999999999999</c:v>
                </c:pt>
                <c:pt idx="10">
                  <c:v>1.486</c:v>
                </c:pt>
                <c:pt idx="11">
                  <c:v>1.5489999999999999</c:v>
                </c:pt>
                <c:pt idx="12">
                  <c:v>1.6160000000000001</c:v>
                </c:pt>
                <c:pt idx="13">
                  <c:v>1.6859999999999999</c:v>
                </c:pt>
                <c:pt idx="14">
                  <c:v>1.7609999999999999</c:v>
                </c:pt>
                <c:pt idx="15">
                  <c:v>1.84</c:v>
                </c:pt>
                <c:pt idx="16">
                  <c:v>1.9239999999999999</c:v>
                </c:pt>
                <c:pt idx="17">
                  <c:v>2.0139999999999998</c:v>
                </c:pt>
                <c:pt idx="18">
                  <c:v>2.11</c:v>
                </c:pt>
                <c:pt idx="19">
                  <c:v>2.2120000000000002</c:v>
                </c:pt>
                <c:pt idx="20">
                  <c:v>2.3220000000000001</c:v>
                </c:pt>
                <c:pt idx="21">
                  <c:v>2.4409999999999998</c:v>
                </c:pt>
                <c:pt idx="22">
                  <c:v>2.5680000000000001</c:v>
                </c:pt>
                <c:pt idx="23">
                  <c:v>2.706</c:v>
                </c:pt>
                <c:pt idx="24">
                  <c:v>2.855</c:v>
                </c:pt>
                <c:pt idx="25">
                  <c:v>3.0169999999999999</c:v>
                </c:pt>
                <c:pt idx="26">
                  <c:v>3.1930000000000001</c:v>
                </c:pt>
                <c:pt idx="27">
                  <c:v>3.3860000000000001</c:v>
                </c:pt>
                <c:pt idx="28">
                  <c:v>3.5960000000000001</c:v>
                </c:pt>
                <c:pt idx="29">
                  <c:v>3.8279999999999998</c:v>
                </c:pt>
                <c:pt idx="30">
                  <c:v>4.0839999999999996</c:v>
                </c:pt>
                <c:pt idx="31">
                  <c:v>4.3659999999999997</c:v>
                </c:pt>
                <c:pt idx="32">
                  <c:v>4.68</c:v>
                </c:pt>
                <c:pt idx="33">
                  <c:v>5.0289999999999999</c:v>
                </c:pt>
                <c:pt idx="34">
                  <c:v>5.4189999999999996</c:v>
                </c:pt>
                <c:pt idx="35">
                  <c:v>5.8570000000000002</c:v>
                </c:pt>
                <c:pt idx="36">
                  <c:v>6.3490000000000002</c:v>
                </c:pt>
                <c:pt idx="37">
                  <c:v>6.9039999999999999</c:v>
                </c:pt>
                <c:pt idx="38">
                  <c:v>7.5330000000000004</c:v>
                </c:pt>
                <c:pt idx="39">
                  <c:v>8.2460000000000004</c:v>
                </c:pt>
                <c:pt idx="40">
                  <c:v>9.0579999999999998</c:v>
                </c:pt>
                <c:pt idx="41">
                  <c:v>9.9819999999999993</c:v>
                </c:pt>
                <c:pt idx="42">
                  <c:v>11.03</c:v>
                </c:pt>
                <c:pt idx="43">
                  <c:v>12.23</c:v>
                </c:pt>
                <c:pt idx="44">
                  <c:v>13.6</c:v>
                </c:pt>
                <c:pt idx="45">
                  <c:v>15.15</c:v>
                </c:pt>
              </c:numCache>
            </c:numRef>
          </c:yVal>
          <c:smooth val="0"/>
          <c:extLst>
            <c:ext xmlns:c16="http://schemas.microsoft.com/office/drawing/2014/chart" uri="{C3380CC4-5D6E-409C-BE32-E72D297353CC}">
              <c16:uniqueId val="{00000003-E104-4E39-8A8D-C73D23034319}"/>
            </c:ext>
          </c:extLst>
        </c:ser>
        <c:ser>
          <c:idx val="1"/>
          <c:order val="5"/>
          <c:tx>
            <c:v>Total Aromatics</c:v>
          </c:tx>
          <c:spPr>
            <a:ln w="38100" cap="rnd">
              <a:solidFill>
                <a:schemeClr val="accent2"/>
              </a:solidFill>
              <a:round/>
            </a:ln>
            <a:effectLst/>
          </c:spPr>
          <c:marker>
            <c:symbol val="circle"/>
            <c:size val="5"/>
            <c:spPr>
              <a:noFill/>
              <a:ln w="9525">
                <a:noFill/>
              </a:ln>
              <a:effectLst/>
            </c:spPr>
          </c:marker>
          <c:xVal>
            <c:numRef>
              <c:f>'[30%conv,700C.CSV.xlsx]30%conv,700C'!$A$2:$A$47</c:f>
              <c:numCache>
                <c:formatCode>General</c:formatCode>
                <c:ptCount val="46"/>
                <c:pt idx="0">
                  <c:v>5.0000000000000001E-4</c:v>
                </c:pt>
                <c:pt idx="1">
                  <c:v>6.7350000000000005E-4</c:v>
                </c:pt>
                <c:pt idx="2">
                  <c:v>8.4690000000000004E-4</c:v>
                </c:pt>
                <c:pt idx="3">
                  <c:v>1.0200000000000001E-3</c:v>
                </c:pt>
                <c:pt idx="4">
                  <c:v>1.194E-3</c:v>
                </c:pt>
                <c:pt idx="5">
                  <c:v>1.3669999999999999E-3</c:v>
                </c:pt>
                <c:pt idx="6">
                  <c:v>1.5410000000000001E-3</c:v>
                </c:pt>
                <c:pt idx="7">
                  <c:v>1.714E-3</c:v>
                </c:pt>
                <c:pt idx="8">
                  <c:v>1.8879999999999999E-3</c:v>
                </c:pt>
                <c:pt idx="9">
                  <c:v>2.0609999999999999E-3</c:v>
                </c:pt>
                <c:pt idx="10">
                  <c:v>2.235E-3</c:v>
                </c:pt>
                <c:pt idx="11">
                  <c:v>2.408E-3</c:v>
                </c:pt>
                <c:pt idx="12">
                  <c:v>2.5820000000000001E-3</c:v>
                </c:pt>
                <c:pt idx="13">
                  <c:v>2.7550000000000001E-3</c:v>
                </c:pt>
                <c:pt idx="14">
                  <c:v>2.9290000000000002E-3</c:v>
                </c:pt>
                <c:pt idx="15">
                  <c:v>3.1020000000000002E-3</c:v>
                </c:pt>
                <c:pt idx="16">
                  <c:v>3.2759999999999998E-3</c:v>
                </c:pt>
                <c:pt idx="17">
                  <c:v>3.4489999999999998E-3</c:v>
                </c:pt>
                <c:pt idx="18">
                  <c:v>3.6219999999999998E-3</c:v>
                </c:pt>
                <c:pt idx="19">
                  <c:v>3.7959999999999999E-3</c:v>
                </c:pt>
                <c:pt idx="20">
                  <c:v>3.9690000000000003E-3</c:v>
                </c:pt>
                <c:pt idx="21">
                  <c:v>4.143E-3</c:v>
                </c:pt>
                <c:pt idx="22">
                  <c:v>4.3160000000000004E-3</c:v>
                </c:pt>
                <c:pt idx="23">
                  <c:v>4.4900000000000001E-3</c:v>
                </c:pt>
                <c:pt idx="24">
                  <c:v>4.6629999999999996E-3</c:v>
                </c:pt>
                <c:pt idx="25">
                  <c:v>4.8370000000000002E-3</c:v>
                </c:pt>
                <c:pt idx="26">
                  <c:v>5.0099999999999997E-3</c:v>
                </c:pt>
                <c:pt idx="27">
                  <c:v>5.1840000000000002E-3</c:v>
                </c:pt>
                <c:pt idx="28">
                  <c:v>5.3569999999999998E-3</c:v>
                </c:pt>
                <c:pt idx="29">
                  <c:v>5.5310000000000003E-3</c:v>
                </c:pt>
                <c:pt idx="30">
                  <c:v>5.7039999999999999E-3</c:v>
                </c:pt>
                <c:pt idx="31">
                  <c:v>5.8780000000000004E-3</c:v>
                </c:pt>
                <c:pt idx="32">
                  <c:v>6.051E-3</c:v>
                </c:pt>
                <c:pt idx="33">
                  <c:v>6.2240000000000004E-3</c:v>
                </c:pt>
                <c:pt idx="34">
                  <c:v>6.398E-3</c:v>
                </c:pt>
                <c:pt idx="35">
                  <c:v>6.5709999999999996E-3</c:v>
                </c:pt>
                <c:pt idx="36">
                  <c:v>6.7450000000000001E-3</c:v>
                </c:pt>
                <c:pt idx="37">
                  <c:v>6.9179999999999997E-3</c:v>
                </c:pt>
                <c:pt idx="38">
                  <c:v>7.0920000000000002E-3</c:v>
                </c:pt>
                <c:pt idx="39">
                  <c:v>7.2649999999999998E-3</c:v>
                </c:pt>
                <c:pt idx="40">
                  <c:v>7.4390000000000003E-3</c:v>
                </c:pt>
                <c:pt idx="41">
                  <c:v>7.6119999999999998E-3</c:v>
                </c:pt>
                <c:pt idx="42">
                  <c:v>7.7860000000000004E-3</c:v>
                </c:pt>
                <c:pt idx="43">
                  <c:v>7.9590000000000008E-3</c:v>
                </c:pt>
                <c:pt idx="44">
                  <c:v>8.1329999999999996E-3</c:v>
                </c:pt>
                <c:pt idx="45">
                  <c:v>8.3059999999999991E-3</c:v>
                </c:pt>
              </c:numCache>
            </c:numRef>
          </c:xVal>
          <c:yVal>
            <c:numRef>
              <c:f>'[30%conv,700C.CSV.xlsx]30%conv,700C'!$L$2:$L$47</c:f>
              <c:numCache>
                <c:formatCode>General</c:formatCode>
                <c:ptCount val="46"/>
                <c:pt idx="0">
                  <c:v>69.70989999999999</c:v>
                </c:pt>
                <c:pt idx="1">
                  <c:v>69.879000000000005</c:v>
                </c:pt>
                <c:pt idx="2">
                  <c:v>70.040999999999997</c:v>
                </c:pt>
                <c:pt idx="3">
                  <c:v>70.193999999999988</c:v>
                </c:pt>
                <c:pt idx="4">
                  <c:v>70.338000000000008</c:v>
                </c:pt>
                <c:pt idx="5">
                  <c:v>70.484999999999999</c:v>
                </c:pt>
                <c:pt idx="6">
                  <c:v>70.623999999999995</c:v>
                </c:pt>
                <c:pt idx="7">
                  <c:v>70.756</c:v>
                </c:pt>
                <c:pt idx="8">
                  <c:v>70.89</c:v>
                </c:pt>
                <c:pt idx="9">
                  <c:v>71.016000000000005</c:v>
                </c:pt>
                <c:pt idx="10">
                  <c:v>71.13600000000001</c:v>
                </c:pt>
                <c:pt idx="11">
                  <c:v>71.259</c:v>
                </c:pt>
                <c:pt idx="12">
                  <c:v>71.376000000000005</c:v>
                </c:pt>
                <c:pt idx="13">
                  <c:v>71.496000000000009</c:v>
                </c:pt>
                <c:pt idx="14">
                  <c:v>71.600999999999999</c:v>
                </c:pt>
                <c:pt idx="15">
                  <c:v>71.72</c:v>
                </c:pt>
                <c:pt idx="16">
                  <c:v>71.824000000000012</c:v>
                </c:pt>
                <c:pt idx="17">
                  <c:v>71.923999999999992</c:v>
                </c:pt>
                <c:pt idx="18">
                  <c:v>72.03</c:v>
                </c:pt>
                <c:pt idx="19">
                  <c:v>72.132000000000005</c:v>
                </c:pt>
                <c:pt idx="20">
                  <c:v>72.231999999999999</c:v>
                </c:pt>
                <c:pt idx="21">
                  <c:v>72.331000000000003</c:v>
                </c:pt>
                <c:pt idx="22">
                  <c:v>72.427999999999997</c:v>
                </c:pt>
                <c:pt idx="23">
                  <c:v>72.516000000000005</c:v>
                </c:pt>
                <c:pt idx="24">
                  <c:v>72.615000000000009</c:v>
                </c:pt>
                <c:pt idx="25">
                  <c:v>72.706999999999994</c:v>
                </c:pt>
                <c:pt idx="26">
                  <c:v>72.792999999999992</c:v>
                </c:pt>
                <c:pt idx="27">
                  <c:v>72.885999999999996</c:v>
                </c:pt>
                <c:pt idx="28">
                  <c:v>72.966000000000008</c:v>
                </c:pt>
                <c:pt idx="29">
                  <c:v>73.058000000000007</c:v>
                </c:pt>
                <c:pt idx="30">
                  <c:v>73.144000000000005</c:v>
                </c:pt>
                <c:pt idx="31">
                  <c:v>73.225999999999999</c:v>
                </c:pt>
                <c:pt idx="32">
                  <c:v>73.31</c:v>
                </c:pt>
                <c:pt idx="33">
                  <c:v>73.388999999999996</c:v>
                </c:pt>
                <c:pt idx="34">
                  <c:v>73.468999999999994</c:v>
                </c:pt>
                <c:pt idx="35">
                  <c:v>73.557000000000002</c:v>
                </c:pt>
                <c:pt idx="36">
                  <c:v>73.63900000000001</c:v>
                </c:pt>
                <c:pt idx="37">
                  <c:v>73.713999999999999</c:v>
                </c:pt>
                <c:pt idx="38">
                  <c:v>73.793000000000006</c:v>
                </c:pt>
                <c:pt idx="39">
                  <c:v>73.875999999999991</c:v>
                </c:pt>
                <c:pt idx="40">
                  <c:v>73.957999999999998</c:v>
                </c:pt>
                <c:pt idx="41">
                  <c:v>74.031999999999996</c:v>
                </c:pt>
                <c:pt idx="42">
                  <c:v>74.11</c:v>
                </c:pt>
                <c:pt idx="43">
                  <c:v>74.19</c:v>
                </c:pt>
                <c:pt idx="44">
                  <c:v>74.27</c:v>
                </c:pt>
                <c:pt idx="45">
                  <c:v>74.350000000000009</c:v>
                </c:pt>
              </c:numCache>
            </c:numRef>
          </c:yVal>
          <c:smooth val="0"/>
          <c:extLst>
            <c:ext xmlns:c16="http://schemas.microsoft.com/office/drawing/2014/chart" uri="{C3380CC4-5D6E-409C-BE32-E72D297353CC}">
              <c16:uniqueId val="{00000004-E104-4E39-8A8D-C73D23034319}"/>
            </c:ext>
          </c:extLst>
        </c:ser>
        <c:dLbls>
          <c:showLegendKey val="0"/>
          <c:showVal val="0"/>
          <c:showCatName val="0"/>
          <c:showSerName val="0"/>
          <c:showPercent val="0"/>
          <c:showBubbleSize val="0"/>
        </c:dLbls>
        <c:axId val="623021615"/>
        <c:axId val="623022575"/>
      </c:scatterChart>
      <c:scatterChart>
        <c:scatterStyle val="lineMarker"/>
        <c:varyColors val="0"/>
        <c:ser>
          <c:idx val="7"/>
          <c:order val="4"/>
          <c:tx>
            <c:v>Flow Rate</c:v>
          </c:tx>
          <c:spPr>
            <a:ln w="25400" cap="rnd">
              <a:solidFill>
                <a:schemeClr val="tx2"/>
              </a:solidFill>
              <a:prstDash val="sysDot"/>
              <a:round/>
            </a:ln>
            <a:effectLst/>
          </c:spPr>
          <c:marker>
            <c:symbol val="circle"/>
            <c:size val="5"/>
            <c:spPr>
              <a:noFill/>
              <a:ln w="9525">
                <a:noFill/>
              </a:ln>
              <a:effectLst/>
            </c:spPr>
          </c:marker>
          <c:xVal>
            <c:numRef>
              <c:f>'[30%conv,700C.CSV.xlsx]30%conv,700C'!$A$2:$A$51</c:f>
              <c:numCache>
                <c:formatCode>General</c:formatCode>
                <c:ptCount val="50"/>
                <c:pt idx="0">
                  <c:v>5.0000000000000001E-4</c:v>
                </c:pt>
                <c:pt idx="1">
                  <c:v>6.7350000000000005E-4</c:v>
                </c:pt>
                <c:pt idx="2">
                  <c:v>8.4690000000000004E-4</c:v>
                </c:pt>
                <c:pt idx="3">
                  <c:v>1.0200000000000001E-3</c:v>
                </c:pt>
                <c:pt idx="4">
                  <c:v>1.194E-3</c:v>
                </c:pt>
                <c:pt idx="5">
                  <c:v>1.3669999999999999E-3</c:v>
                </c:pt>
                <c:pt idx="6">
                  <c:v>1.5410000000000001E-3</c:v>
                </c:pt>
                <c:pt idx="7">
                  <c:v>1.714E-3</c:v>
                </c:pt>
                <c:pt idx="8">
                  <c:v>1.8879999999999999E-3</c:v>
                </c:pt>
                <c:pt idx="9">
                  <c:v>2.0609999999999999E-3</c:v>
                </c:pt>
                <c:pt idx="10">
                  <c:v>2.235E-3</c:v>
                </c:pt>
                <c:pt idx="11">
                  <c:v>2.408E-3</c:v>
                </c:pt>
                <c:pt idx="12">
                  <c:v>2.5820000000000001E-3</c:v>
                </c:pt>
                <c:pt idx="13">
                  <c:v>2.7550000000000001E-3</c:v>
                </c:pt>
                <c:pt idx="14">
                  <c:v>2.9290000000000002E-3</c:v>
                </c:pt>
                <c:pt idx="15">
                  <c:v>3.1020000000000002E-3</c:v>
                </c:pt>
                <c:pt idx="16">
                  <c:v>3.2759999999999998E-3</c:v>
                </c:pt>
                <c:pt idx="17">
                  <c:v>3.4489999999999998E-3</c:v>
                </c:pt>
                <c:pt idx="18">
                  <c:v>3.6219999999999998E-3</c:v>
                </c:pt>
                <c:pt idx="19">
                  <c:v>3.7959999999999999E-3</c:v>
                </c:pt>
                <c:pt idx="20">
                  <c:v>3.9690000000000003E-3</c:v>
                </c:pt>
                <c:pt idx="21">
                  <c:v>4.143E-3</c:v>
                </c:pt>
                <c:pt idx="22">
                  <c:v>4.3160000000000004E-3</c:v>
                </c:pt>
                <c:pt idx="23">
                  <c:v>4.4900000000000001E-3</c:v>
                </c:pt>
                <c:pt idx="24">
                  <c:v>4.6629999999999996E-3</c:v>
                </c:pt>
                <c:pt idx="25">
                  <c:v>4.8370000000000002E-3</c:v>
                </c:pt>
                <c:pt idx="26">
                  <c:v>5.0099999999999997E-3</c:v>
                </c:pt>
                <c:pt idx="27">
                  <c:v>5.1840000000000002E-3</c:v>
                </c:pt>
                <c:pt idx="28">
                  <c:v>5.3569999999999998E-3</c:v>
                </c:pt>
                <c:pt idx="29">
                  <c:v>5.5310000000000003E-3</c:v>
                </c:pt>
                <c:pt idx="30">
                  <c:v>5.7039999999999999E-3</c:v>
                </c:pt>
                <c:pt idx="31">
                  <c:v>5.8780000000000004E-3</c:v>
                </c:pt>
                <c:pt idx="32">
                  <c:v>6.051E-3</c:v>
                </c:pt>
                <c:pt idx="33">
                  <c:v>6.2240000000000004E-3</c:v>
                </c:pt>
                <c:pt idx="34">
                  <c:v>6.398E-3</c:v>
                </c:pt>
                <c:pt idx="35">
                  <c:v>6.5709999999999996E-3</c:v>
                </c:pt>
                <c:pt idx="36">
                  <c:v>6.7450000000000001E-3</c:v>
                </c:pt>
                <c:pt idx="37">
                  <c:v>6.9179999999999997E-3</c:v>
                </c:pt>
                <c:pt idx="38">
                  <c:v>7.0920000000000002E-3</c:v>
                </c:pt>
                <c:pt idx="39">
                  <c:v>7.2649999999999998E-3</c:v>
                </c:pt>
                <c:pt idx="40">
                  <c:v>7.4390000000000003E-3</c:v>
                </c:pt>
                <c:pt idx="41">
                  <c:v>7.6119999999999998E-3</c:v>
                </c:pt>
                <c:pt idx="42">
                  <c:v>7.7860000000000004E-3</c:v>
                </c:pt>
                <c:pt idx="43">
                  <c:v>7.9590000000000008E-3</c:v>
                </c:pt>
                <c:pt idx="44">
                  <c:v>8.1329999999999996E-3</c:v>
                </c:pt>
                <c:pt idx="45">
                  <c:v>8.3059999999999991E-3</c:v>
                </c:pt>
                <c:pt idx="46">
                  <c:v>0.82030000000000003</c:v>
                </c:pt>
                <c:pt idx="47">
                  <c:v>0.83020000000000005</c:v>
                </c:pt>
                <c:pt idx="48">
                  <c:v>0.84009999999999996</c:v>
                </c:pt>
                <c:pt idx="49">
                  <c:v>0.85</c:v>
                </c:pt>
              </c:numCache>
            </c:numRef>
          </c:xVal>
          <c:yVal>
            <c:numRef>
              <c:f>'[30%conv,700C.CSV.xlsx]30%conv,700C'!$D$2:$D$51</c:f>
              <c:numCache>
                <c:formatCode>General</c:formatCode>
                <c:ptCount val="50"/>
                <c:pt idx="0">
                  <c:v>0.61950000000000005</c:v>
                </c:pt>
                <c:pt idx="1">
                  <c:v>0.63</c:v>
                </c:pt>
                <c:pt idx="2">
                  <c:v>0.64029999999999998</c:v>
                </c:pt>
                <c:pt idx="3">
                  <c:v>0.65049999999999997</c:v>
                </c:pt>
                <c:pt idx="4">
                  <c:v>0.66069999999999995</c:v>
                </c:pt>
                <c:pt idx="5">
                  <c:v>0.67069999999999996</c:v>
                </c:pt>
                <c:pt idx="6">
                  <c:v>0.68059999999999998</c:v>
                </c:pt>
                <c:pt idx="7">
                  <c:v>0.69040000000000001</c:v>
                </c:pt>
                <c:pt idx="8">
                  <c:v>0.70009999999999994</c:v>
                </c:pt>
                <c:pt idx="9">
                  <c:v>0.70979999999999999</c:v>
                </c:pt>
                <c:pt idx="10">
                  <c:v>0.71940000000000004</c:v>
                </c:pt>
                <c:pt idx="11">
                  <c:v>0.72889999999999999</c:v>
                </c:pt>
                <c:pt idx="12">
                  <c:v>0.73839999999999995</c:v>
                </c:pt>
                <c:pt idx="13">
                  <c:v>0.74780000000000002</c:v>
                </c:pt>
                <c:pt idx="14">
                  <c:v>0.75719999999999998</c:v>
                </c:pt>
                <c:pt idx="15">
                  <c:v>0.76649999999999996</c:v>
                </c:pt>
                <c:pt idx="16">
                  <c:v>0.77580000000000005</c:v>
                </c:pt>
                <c:pt idx="17">
                  <c:v>0.78510000000000002</c:v>
                </c:pt>
                <c:pt idx="18">
                  <c:v>0.79430000000000001</c:v>
                </c:pt>
                <c:pt idx="19">
                  <c:v>0.80349999999999999</c:v>
                </c:pt>
                <c:pt idx="20">
                  <c:v>0.81259999999999999</c:v>
                </c:pt>
                <c:pt idx="21">
                  <c:v>0.82179999999999997</c:v>
                </c:pt>
                <c:pt idx="22">
                  <c:v>0.83089999999999997</c:v>
                </c:pt>
                <c:pt idx="23">
                  <c:v>0.84</c:v>
                </c:pt>
                <c:pt idx="24">
                  <c:v>0.84909999999999997</c:v>
                </c:pt>
                <c:pt idx="25">
                  <c:v>0.85829999999999995</c:v>
                </c:pt>
                <c:pt idx="26">
                  <c:v>0.86739999999999995</c:v>
                </c:pt>
                <c:pt idx="27">
                  <c:v>0.87649999999999995</c:v>
                </c:pt>
                <c:pt idx="28">
                  <c:v>0.88560000000000005</c:v>
                </c:pt>
                <c:pt idx="29">
                  <c:v>0.89470000000000005</c:v>
                </c:pt>
                <c:pt idx="30">
                  <c:v>0.90390000000000004</c:v>
                </c:pt>
                <c:pt idx="31">
                  <c:v>0.91300000000000003</c:v>
                </c:pt>
                <c:pt idx="32">
                  <c:v>0.92220000000000002</c:v>
                </c:pt>
                <c:pt idx="33">
                  <c:v>0.93149999999999999</c:v>
                </c:pt>
                <c:pt idx="34">
                  <c:v>0.94079999999999997</c:v>
                </c:pt>
                <c:pt idx="35">
                  <c:v>0.95009999999999994</c:v>
                </c:pt>
                <c:pt idx="36">
                  <c:v>0.95950000000000002</c:v>
                </c:pt>
                <c:pt idx="37">
                  <c:v>0.96899999999999997</c:v>
                </c:pt>
                <c:pt idx="38">
                  <c:v>0.97860000000000003</c:v>
                </c:pt>
                <c:pt idx="39">
                  <c:v>0.98829999999999996</c:v>
                </c:pt>
                <c:pt idx="40">
                  <c:v>0.99809999999999999</c:v>
                </c:pt>
                <c:pt idx="41">
                  <c:v>1.008</c:v>
                </c:pt>
                <c:pt idx="42">
                  <c:v>1.018</c:v>
                </c:pt>
                <c:pt idx="43">
                  <c:v>1.0289999999999999</c:v>
                </c:pt>
                <c:pt idx="44">
                  <c:v>1.0389999999999999</c:v>
                </c:pt>
                <c:pt idx="45">
                  <c:v>1.05</c:v>
                </c:pt>
              </c:numCache>
            </c:numRef>
          </c:yVal>
          <c:smooth val="0"/>
          <c:extLst>
            <c:ext xmlns:c16="http://schemas.microsoft.com/office/drawing/2014/chart" uri="{C3380CC4-5D6E-409C-BE32-E72D297353CC}">
              <c16:uniqueId val="{00000005-E104-4E39-8A8D-C73D23034319}"/>
            </c:ext>
          </c:extLst>
        </c:ser>
        <c:dLbls>
          <c:showLegendKey val="0"/>
          <c:showVal val="0"/>
          <c:showCatName val="0"/>
          <c:showSerName val="0"/>
          <c:showPercent val="0"/>
          <c:showBubbleSize val="0"/>
        </c:dLbls>
        <c:axId val="846837439"/>
        <c:axId val="846834079"/>
      </c:scatterChart>
      <c:valAx>
        <c:axId val="623021615"/>
        <c:scaling>
          <c:orientation val="minMax"/>
          <c:max val="8.5000000000000023E-3"/>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Current Density (A/cm2)</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3022575"/>
        <c:crosses val="autoZero"/>
        <c:crossBetween val="midCat"/>
      </c:valAx>
      <c:valAx>
        <c:axId val="62302257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Selectivity (%)</a:t>
                </a:r>
              </a:p>
            </c:rich>
          </c:tx>
          <c:layout>
            <c:manualLayout>
              <c:xMode val="edge"/>
              <c:yMode val="edge"/>
              <c:x val="1.6666666666666666E-2"/>
              <c:y val="0.1619014289880431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3021615"/>
        <c:crosses val="autoZero"/>
        <c:crossBetween val="midCat"/>
      </c:valAx>
      <c:valAx>
        <c:axId val="846834079"/>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Flow Rate (L/gcat/h)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6837439"/>
        <c:crosses val="max"/>
        <c:crossBetween val="midCat"/>
      </c:valAx>
      <c:valAx>
        <c:axId val="846837439"/>
        <c:scaling>
          <c:orientation val="minMax"/>
        </c:scaling>
        <c:delete val="1"/>
        <c:axPos val="b"/>
        <c:numFmt formatCode="General" sourceLinked="1"/>
        <c:majorTickMark val="out"/>
        <c:minorTickMark val="none"/>
        <c:tickLblPos val="nextTo"/>
        <c:crossAx val="846834079"/>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surface3DChart>
        <c:wireframe val="1"/>
        <c:ser>
          <c:idx val="1"/>
          <c:order val="0"/>
          <c:tx>
            <c:strRef>
              <c:f>'[30%conv,700C.CSV.xlsx]30%conv,700C'!$P$1</c:f>
              <c:strCache>
                <c:ptCount val="1"/>
                <c:pt idx="0">
                  <c:v>Inlet</c:v>
                </c:pt>
              </c:strCache>
            </c:strRef>
          </c:tx>
          <c:spPr>
            <a:ln w="9525" cap="rnd">
              <a:solidFill>
                <a:schemeClr val="accent2"/>
              </a:solidFill>
              <a:round/>
            </a:ln>
            <a:effectLst/>
          </c:spPr>
          <c:cat>
            <c:numRef>
              <c:f>'[30%conv,700C.CSV.xlsx]30%conv,700C'!$A$2:$A$47</c:f>
              <c:numCache>
                <c:formatCode>General</c:formatCode>
                <c:ptCount val="46"/>
                <c:pt idx="0">
                  <c:v>5.0000000000000001E-4</c:v>
                </c:pt>
                <c:pt idx="1">
                  <c:v>6.7350000000000005E-4</c:v>
                </c:pt>
                <c:pt idx="2">
                  <c:v>8.4690000000000004E-4</c:v>
                </c:pt>
                <c:pt idx="3">
                  <c:v>1.0200000000000001E-3</c:v>
                </c:pt>
                <c:pt idx="4">
                  <c:v>1.194E-3</c:v>
                </c:pt>
                <c:pt idx="5">
                  <c:v>1.3669999999999999E-3</c:v>
                </c:pt>
                <c:pt idx="6">
                  <c:v>1.5410000000000001E-3</c:v>
                </c:pt>
                <c:pt idx="7">
                  <c:v>1.714E-3</c:v>
                </c:pt>
                <c:pt idx="8">
                  <c:v>1.8879999999999999E-3</c:v>
                </c:pt>
                <c:pt idx="9">
                  <c:v>2.0609999999999999E-3</c:v>
                </c:pt>
                <c:pt idx="10">
                  <c:v>2.235E-3</c:v>
                </c:pt>
                <c:pt idx="11">
                  <c:v>2.408E-3</c:v>
                </c:pt>
                <c:pt idx="12">
                  <c:v>2.5820000000000001E-3</c:v>
                </c:pt>
                <c:pt idx="13">
                  <c:v>2.7550000000000001E-3</c:v>
                </c:pt>
                <c:pt idx="14">
                  <c:v>2.9290000000000002E-3</c:v>
                </c:pt>
                <c:pt idx="15">
                  <c:v>3.1020000000000002E-3</c:v>
                </c:pt>
                <c:pt idx="16">
                  <c:v>3.2759999999999998E-3</c:v>
                </c:pt>
                <c:pt idx="17">
                  <c:v>3.4489999999999998E-3</c:v>
                </c:pt>
                <c:pt idx="18">
                  <c:v>3.6219999999999998E-3</c:v>
                </c:pt>
                <c:pt idx="19">
                  <c:v>3.7959999999999999E-3</c:v>
                </c:pt>
                <c:pt idx="20">
                  <c:v>3.9690000000000003E-3</c:v>
                </c:pt>
                <c:pt idx="21">
                  <c:v>4.143E-3</c:v>
                </c:pt>
                <c:pt idx="22">
                  <c:v>4.3160000000000004E-3</c:v>
                </c:pt>
                <c:pt idx="23">
                  <c:v>4.4900000000000001E-3</c:v>
                </c:pt>
                <c:pt idx="24">
                  <c:v>4.6629999999999996E-3</c:v>
                </c:pt>
                <c:pt idx="25">
                  <c:v>4.8370000000000002E-3</c:v>
                </c:pt>
                <c:pt idx="26">
                  <c:v>5.0099999999999997E-3</c:v>
                </c:pt>
                <c:pt idx="27">
                  <c:v>5.1840000000000002E-3</c:v>
                </c:pt>
                <c:pt idx="28">
                  <c:v>5.3569999999999998E-3</c:v>
                </c:pt>
                <c:pt idx="29">
                  <c:v>5.5310000000000003E-3</c:v>
                </c:pt>
                <c:pt idx="30">
                  <c:v>5.7039999999999999E-3</c:v>
                </c:pt>
                <c:pt idx="31">
                  <c:v>5.8780000000000004E-3</c:v>
                </c:pt>
                <c:pt idx="32">
                  <c:v>6.051E-3</c:v>
                </c:pt>
                <c:pt idx="33">
                  <c:v>6.2240000000000004E-3</c:v>
                </c:pt>
                <c:pt idx="34">
                  <c:v>6.398E-3</c:v>
                </c:pt>
                <c:pt idx="35">
                  <c:v>6.5709999999999996E-3</c:v>
                </c:pt>
                <c:pt idx="36">
                  <c:v>6.7450000000000001E-3</c:v>
                </c:pt>
                <c:pt idx="37">
                  <c:v>6.9179999999999997E-3</c:v>
                </c:pt>
                <c:pt idx="38">
                  <c:v>7.0920000000000002E-3</c:v>
                </c:pt>
                <c:pt idx="39">
                  <c:v>7.2649999999999998E-3</c:v>
                </c:pt>
                <c:pt idx="40">
                  <c:v>7.4390000000000003E-3</c:v>
                </c:pt>
                <c:pt idx="41">
                  <c:v>7.6119999999999998E-3</c:v>
                </c:pt>
                <c:pt idx="42">
                  <c:v>7.7860000000000004E-3</c:v>
                </c:pt>
                <c:pt idx="43">
                  <c:v>7.9590000000000008E-3</c:v>
                </c:pt>
                <c:pt idx="44">
                  <c:v>8.1329999999999996E-3</c:v>
                </c:pt>
                <c:pt idx="45">
                  <c:v>8.3059999999999991E-3</c:v>
                </c:pt>
              </c:numCache>
            </c:numRef>
          </c:cat>
          <c:val>
            <c:numRef>
              <c:f>'[30%conv,700C.CSV.xlsx]30%conv,700C'!$P$2:$P$47</c:f>
              <c:numCache>
                <c:formatCode>0.00E+00</c:formatCode>
                <c:ptCount val="46"/>
                <c:pt idx="0">
                  <c:v>0.4713</c:v>
                </c:pt>
                <c:pt idx="1">
                  <c:v>0.4793</c:v>
                </c:pt>
                <c:pt idx="2">
                  <c:v>0.48720000000000002</c:v>
                </c:pt>
                <c:pt idx="3">
                  <c:v>0.49490000000000001</c:v>
                </c:pt>
                <c:pt idx="4">
                  <c:v>0.50260000000000005</c:v>
                </c:pt>
                <c:pt idx="5">
                  <c:v>0.51029999999999998</c:v>
                </c:pt>
                <c:pt idx="6">
                  <c:v>0.51780000000000004</c:v>
                </c:pt>
                <c:pt idx="7">
                  <c:v>0.52529999999999999</c:v>
                </c:pt>
                <c:pt idx="8">
                  <c:v>0.53269999999999995</c:v>
                </c:pt>
                <c:pt idx="9">
                  <c:v>0.54</c:v>
                </c:pt>
                <c:pt idx="10">
                  <c:v>0.54730000000000001</c:v>
                </c:pt>
                <c:pt idx="11">
                  <c:v>0.55459999999999998</c:v>
                </c:pt>
                <c:pt idx="12">
                  <c:v>0.56179999999999997</c:v>
                </c:pt>
                <c:pt idx="13">
                  <c:v>0.56899999999999995</c:v>
                </c:pt>
                <c:pt idx="14">
                  <c:v>0.57609999999999995</c:v>
                </c:pt>
                <c:pt idx="15">
                  <c:v>0.58320000000000005</c:v>
                </c:pt>
                <c:pt idx="16">
                  <c:v>0.59030000000000005</c:v>
                </c:pt>
                <c:pt idx="17">
                  <c:v>0.59730000000000005</c:v>
                </c:pt>
                <c:pt idx="18">
                  <c:v>0.60429999999999995</c:v>
                </c:pt>
                <c:pt idx="19">
                  <c:v>0.61129999999999995</c:v>
                </c:pt>
                <c:pt idx="20">
                  <c:v>0.61829999999999996</c:v>
                </c:pt>
                <c:pt idx="21">
                  <c:v>0.62519999999999998</c:v>
                </c:pt>
                <c:pt idx="22">
                  <c:v>0.63219999999999998</c:v>
                </c:pt>
                <c:pt idx="23">
                  <c:v>0.6391</c:v>
                </c:pt>
                <c:pt idx="24">
                  <c:v>0.64610000000000001</c:v>
                </c:pt>
                <c:pt idx="25">
                  <c:v>0.65300000000000002</c:v>
                </c:pt>
                <c:pt idx="26">
                  <c:v>0.65990000000000004</c:v>
                </c:pt>
                <c:pt idx="27">
                  <c:v>0.66679999999999995</c:v>
                </c:pt>
                <c:pt idx="28">
                  <c:v>0.67379999999999995</c:v>
                </c:pt>
                <c:pt idx="29">
                  <c:v>0.68069999999999997</c:v>
                </c:pt>
                <c:pt idx="30">
                  <c:v>0.68769999999999998</c:v>
                </c:pt>
                <c:pt idx="31">
                  <c:v>0.69469999999999998</c:v>
                </c:pt>
                <c:pt idx="32">
                  <c:v>0.70169999999999999</c:v>
                </c:pt>
                <c:pt idx="33">
                  <c:v>0.7087</c:v>
                </c:pt>
                <c:pt idx="34">
                  <c:v>0.71579999999999999</c:v>
                </c:pt>
                <c:pt idx="35">
                  <c:v>0.72289999999999999</c:v>
                </c:pt>
                <c:pt idx="36">
                  <c:v>0.73</c:v>
                </c:pt>
                <c:pt idx="37">
                  <c:v>0.73729999999999996</c:v>
                </c:pt>
                <c:pt idx="38">
                  <c:v>0.74460000000000004</c:v>
                </c:pt>
                <c:pt idx="39">
                  <c:v>0.75190000000000001</c:v>
                </c:pt>
                <c:pt idx="40">
                  <c:v>0.75939999999999996</c:v>
                </c:pt>
                <c:pt idx="41">
                  <c:v>0.76700000000000002</c:v>
                </c:pt>
                <c:pt idx="42">
                  <c:v>0.77470000000000006</c:v>
                </c:pt>
                <c:pt idx="43">
                  <c:v>0.78259999999999996</c:v>
                </c:pt>
                <c:pt idx="44">
                  <c:v>0.79059999999999997</c:v>
                </c:pt>
                <c:pt idx="45">
                  <c:v>0.79890000000000005</c:v>
                </c:pt>
              </c:numCache>
            </c:numRef>
          </c:val>
          <c:extLst>
            <c:ext xmlns:c16="http://schemas.microsoft.com/office/drawing/2014/chart" uri="{C3380CC4-5D6E-409C-BE32-E72D297353CC}">
              <c16:uniqueId val="{00000000-0F6F-476E-BA91-C9E32E09677C}"/>
            </c:ext>
          </c:extLst>
        </c:ser>
        <c:ser>
          <c:idx val="2"/>
          <c:order val="1"/>
          <c:tx>
            <c:strRef>
              <c:f>'[30%conv,700C.CSV.xlsx]30%conv,700C'!$Q$1</c:f>
              <c:strCache>
                <c:ptCount val="1"/>
                <c:pt idx="0">
                  <c:v>1</c:v>
                </c:pt>
              </c:strCache>
            </c:strRef>
          </c:tx>
          <c:spPr>
            <a:ln w="9525" cap="rnd">
              <a:solidFill>
                <a:schemeClr val="accent3"/>
              </a:solidFill>
              <a:round/>
            </a:ln>
            <a:effectLst/>
          </c:spPr>
          <c:cat>
            <c:numRef>
              <c:f>'[30%conv,700C.CSV.xlsx]30%conv,700C'!$A$2:$A$47</c:f>
              <c:numCache>
                <c:formatCode>General</c:formatCode>
                <c:ptCount val="46"/>
                <c:pt idx="0">
                  <c:v>5.0000000000000001E-4</c:v>
                </c:pt>
                <c:pt idx="1">
                  <c:v>6.7350000000000005E-4</c:v>
                </c:pt>
                <c:pt idx="2">
                  <c:v>8.4690000000000004E-4</c:v>
                </c:pt>
                <c:pt idx="3">
                  <c:v>1.0200000000000001E-3</c:v>
                </c:pt>
                <c:pt idx="4">
                  <c:v>1.194E-3</c:v>
                </c:pt>
                <c:pt idx="5">
                  <c:v>1.3669999999999999E-3</c:v>
                </c:pt>
                <c:pt idx="6">
                  <c:v>1.5410000000000001E-3</c:v>
                </c:pt>
                <c:pt idx="7">
                  <c:v>1.714E-3</c:v>
                </c:pt>
                <c:pt idx="8">
                  <c:v>1.8879999999999999E-3</c:v>
                </c:pt>
                <c:pt idx="9">
                  <c:v>2.0609999999999999E-3</c:v>
                </c:pt>
                <c:pt idx="10">
                  <c:v>2.235E-3</c:v>
                </c:pt>
                <c:pt idx="11">
                  <c:v>2.408E-3</c:v>
                </c:pt>
                <c:pt idx="12">
                  <c:v>2.5820000000000001E-3</c:v>
                </c:pt>
                <c:pt idx="13">
                  <c:v>2.7550000000000001E-3</c:v>
                </c:pt>
                <c:pt idx="14">
                  <c:v>2.9290000000000002E-3</c:v>
                </c:pt>
                <c:pt idx="15">
                  <c:v>3.1020000000000002E-3</c:v>
                </c:pt>
                <c:pt idx="16">
                  <c:v>3.2759999999999998E-3</c:v>
                </c:pt>
                <c:pt idx="17">
                  <c:v>3.4489999999999998E-3</c:v>
                </c:pt>
                <c:pt idx="18">
                  <c:v>3.6219999999999998E-3</c:v>
                </c:pt>
                <c:pt idx="19">
                  <c:v>3.7959999999999999E-3</c:v>
                </c:pt>
                <c:pt idx="20">
                  <c:v>3.9690000000000003E-3</c:v>
                </c:pt>
                <c:pt idx="21">
                  <c:v>4.143E-3</c:v>
                </c:pt>
                <c:pt idx="22">
                  <c:v>4.3160000000000004E-3</c:v>
                </c:pt>
                <c:pt idx="23">
                  <c:v>4.4900000000000001E-3</c:v>
                </c:pt>
                <c:pt idx="24">
                  <c:v>4.6629999999999996E-3</c:v>
                </c:pt>
                <c:pt idx="25">
                  <c:v>4.8370000000000002E-3</c:v>
                </c:pt>
                <c:pt idx="26">
                  <c:v>5.0099999999999997E-3</c:v>
                </c:pt>
                <c:pt idx="27">
                  <c:v>5.1840000000000002E-3</c:v>
                </c:pt>
                <c:pt idx="28">
                  <c:v>5.3569999999999998E-3</c:v>
                </c:pt>
                <c:pt idx="29">
                  <c:v>5.5310000000000003E-3</c:v>
                </c:pt>
                <c:pt idx="30">
                  <c:v>5.7039999999999999E-3</c:v>
                </c:pt>
                <c:pt idx="31">
                  <c:v>5.8780000000000004E-3</c:v>
                </c:pt>
                <c:pt idx="32">
                  <c:v>6.051E-3</c:v>
                </c:pt>
                <c:pt idx="33">
                  <c:v>6.2240000000000004E-3</c:v>
                </c:pt>
                <c:pt idx="34">
                  <c:v>6.398E-3</c:v>
                </c:pt>
                <c:pt idx="35">
                  <c:v>6.5709999999999996E-3</c:v>
                </c:pt>
                <c:pt idx="36">
                  <c:v>6.7450000000000001E-3</c:v>
                </c:pt>
                <c:pt idx="37">
                  <c:v>6.9179999999999997E-3</c:v>
                </c:pt>
                <c:pt idx="38">
                  <c:v>7.0920000000000002E-3</c:v>
                </c:pt>
                <c:pt idx="39">
                  <c:v>7.2649999999999998E-3</c:v>
                </c:pt>
                <c:pt idx="40">
                  <c:v>7.4390000000000003E-3</c:v>
                </c:pt>
                <c:pt idx="41">
                  <c:v>7.6119999999999998E-3</c:v>
                </c:pt>
                <c:pt idx="42">
                  <c:v>7.7860000000000004E-3</c:v>
                </c:pt>
                <c:pt idx="43">
                  <c:v>7.9590000000000008E-3</c:v>
                </c:pt>
                <c:pt idx="44">
                  <c:v>8.1329999999999996E-3</c:v>
                </c:pt>
                <c:pt idx="45">
                  <c:v>8.3059999999999991E-3</c:v>
                </c:pt>
              </c:numCache>
            </c:numRef>
          </c:cat>
          <c:val>
            <c:numRef>
              <c:f>'[30%conv,700C.CSV.xlsx]30%conv,700C'!$Q$2:$Q$47</c:f>
              <c:numCache>
                <c:formatCode>0.00E+00</c:formatCode>
                <c:ptCount val="46"/>
                <c:pt idx="0">
                  <c:v>1.1129999999999999E-2</c:v>
                </c:pt>
                <c:pt idx="1">
                  <c:v>1.142E-2</c:v>
                </c:pt>
                <c:pt idx="2">
                  <c:v>1.172E-2</c:v>
                </c:pt>
                <c:pt idx="3">
                  <c:v>1.2019999999999999E-2</c:v>
                </c:pt>
                <c:pt idx="4">
                  <c:v>1.231E-2</c:v>
                </c:pt>
                <c:pt idx="5">
                  <c:v>1.261E-2</c:v>
                </c:pt>
                <c:pt idx="6">
                  <c:v>1.291E-2</c:v>
                </c:pt>
                <c:pt idx="7">
                  <c:v>1.321E-2</c:v>
                </c:pt>
                <c:pt idx="8">
                  <c:v>1.3509999999999999E-2</c:v>
                </c:pt>
                <c:pt idx="9">
                  <c:v>1.3809999999999999E-2</c:v>
                </c:pt>
                <c:pt idx="10">
                  <c:v>1.4120000000000001E-2</c:v>
                </c:pt>
                <c:pt idx="11">
                  <c:v>1.4420000000000001E-2</c:v>
                </c:pt>
                <c:pt idx="12">
                  <c:v>1.473E-2</c:v>
                </c:pt>
                <c:pt idx="13">
                  <c:v>1.504E-2</c:v>
                </c:pt>
                <c:pt idx="14">
                  <c:v>1.5339999999999999E-2</c:v>
                </c:pt>
                <c:pt idx="15">
                  <c:v>1.566E-2</c:v>
                </c:pt>
                <c:pt idx="16">
                  <c:v>1.5970000000000002E-2</c:v>
                </c:pt>
                <c:pt idx="17">
                  <c:v>1.6279999999999999E-2</c:v>
                </c:pt>
                <c:pt idx="18">
                  <c:v>1.66E-2</c:v>
                </c:pt>
                <c:pt idx="19">
                  <c:v>1.6920000000000001E-2</c:v>
                </c:pt>
                <c:pt idx="20">
                  <c:v>1.7239999999999998E-2</c:v>
                </c:pt>
                <c:pt idx="21">
                  <c:v>1.7559999999999999E-2</c:v>
                </c:pt>
                <c:pt idx="22">
                  <c:v>1.788E-2</c:v>
                </c:pt>
                <c:pt idx="23">
                  <c:v>1.821E-2</c:v>
                </c:pt>
                <c:pt idx="24">
                  <c:v>1.8540000000000001E-2</c:v>
                </c:pt>
                <c:pt idx="25">
                  <c:v>1.8870000000000001E-2</c:v>
                </c:pt>
                <c:pt idx="26">
                  <c:v>1.9199999999999998E-2</c:v>
                </c:pt>
                <c:pt idx="27">
                  <c:v>1.9529999999999999E-2</c:v>
                </c:pt>
                <c:pt idx="28">
                  <c:v>1.9869999999999999E-2</c:v>
                </c:pt>
                <c:pt idx="29">
                  <c:v>2.0209999999999999E-2</c:v>
                </c:pt>
                <c:pt idx="30">
                  <c:v>2.0559999999999998E-2</c:v>
                </c:pt>
                <c:pt idx="31">
                  <c:v>2.0910000000000002E-2</c:v>
                </c:pt>
                <c:pt idx="32">
                  <c:v>2.1260000000000001E-2</c:v>
                </c:pt>
                <c:pt idx="33">
                  <c:v>2.162E-2</c:v>
                </c:pt>
                <c:pt idx="34">
                  <c:v>2.198E-2</c:v>
                </c:pt>
                <c:pt idx="35">
                  <c:v>2.2339999999999999E-2</c:v>
                </c:pt>
                <c:pt idx="36">
                  <c:v>2.2710000000000001E-2</c:v>
                </c:pt>
                <c:pt idx="37">
                  <c:v>2.3089999999999999E-2</c:v>
                </c:pt>
                <c:pt idx="38">
                  <c:v>2.3480000000000001E-2</c:v>
                </c:pt>
                <c:pt idx="39">
                  <c:v>2.3869999999999999E-2</c:v>
                </c:pt>
                <c:pt idx="40">
                  <c:v>2.427E-2</c:v>
                </c:pt>
                <c:pt idx="41">
                  <c:v>2.4680000000000001E-2</c:v>
                </c:pt>
                <c:pt idx="42">
                  <c:v>2.5100000000000001E-2</c:v>
                </c:pt>
                <c:pt idx="43">
                  <c:v>2.554E-2</c:v>
                </c:pt>
                <c:pt idx="44">
                  <c:v>2.5989999999999999E-2</c:v>
                </c:pt>
                <c:pt idx="45">
                  <c:v>2.6460000000000001E-2</c:v>
                </c:pt>
              </c:numCache>
            </c:numRef>
          </c:val>
          <c:extLst>
            <c:ext xmlns:c16="http://schemas.microsoft.com/office/drawing/2014/chart" uri="{C3380CC4-5D6E-409C-BE32-E72D297353CC}">
              <c16:uniqueId val="{00000001-0F6F-476E-BA91-C9E32E09677C}"/>
            </c:ext>
          </c:extLst>
        </c:ser>
        <c:ser>
          <c:idx val="3"/>
          <c:order val="2"/>
          <c:tx>
            <c:strRef>
              <c:f>'[30%conv,700C.CSV.xlsx]30%conv,700C'!$R$1</c:f>
              <c:strCache>
                <c:ptCount val="1"/>
                <c:pt idx="0">
                  <c:v>2</c:v>
                </c:pt>
              </c:strCache>
            </c:strRef>
          </c:tx>
          <c:spPr>
            <a:ln w="9525" cap="rnd">
              <a:solidFill>
                <a:schemeClr val="accent4"/>
              </a:solidFill>
              <a:round/>
            </a:ln>
            <a:effectLst/>
          </c:spPr>
          <c:cat>
            <c:numRef>
              <c:f>'[30%conv,700C.CSV.xlsx]30%conv,700C'!$A$2:$A$47</c:f>
              <c:numCache>
                <c:formatCode>General</c:formatCode>
                <c:ptCount val="46"/>
                <c:pt idx="0">
                  <c:v>5.0000000000000001E-4</c:v>
                </c:pt>
                <c:pt idx="1">
                  <c:v>6.7350000000000005E-4</c:v>
                </c:pt>
                <c:pt idx="2">
                  <c:v>8.4690000000000004E-4</c:v>
                </c:pt>
                <c:pt idx="3">
                  <c:v>1.0200000000000001E-3</c:v>
                </c:pt>
                <c:pt idx="4">
                  <c:v>1.194E-3</c:v>
                </c:pt>
                <c:pt idx="5">
                  <c:v>1.3669999999999999E-3</c:v>
                </c:pt>
                <c:pt idx="6">
                  <c:v>1.5410000000000001E-3</c:v>
                </c:pt>
                <c:pt idx="7">
                  <c:v>1.714E-3</c:v>
                </c:pt>
                <c:pt idx="8">
                  <c:v>1.8879999999999999E-3</c:v>
                </c:pt>
                <c:pt idx="9">
                  <c:v>2.0609999999999999E-3</c:v>
                </c:pt>
                <c:pt idx="10">
                  <c:v>2.235E-3</c:v>
                </c:pt>
                <c:pt idx="11">
                  <c:v>2.408E-3</c:v>
                </c:pt>
                <c:pt idx="12">
                  <c:v>2.5820000000000001E-3</c:v>
                </c:pt>
                <c:pt idx="13">
                  <c:v>2.7550000000000001E-3</c:v>
                </c:pt>
                <c:pt idx="14">
                  <c:v>2.9290000000000002E-3</c:v>
                </c:pt>
                <c:pt idx="15">
                  <c:v>3.1020000000000002E-3</c:v>
                </c:pt>
                <c:pt idx="16">
                  <c:v>3.2759999999999998E-3</c:v>
                </c:pt>
                <c:pt idx="17">
                  <c:v>3.4489999999999998E-3</c:v>
                </c:pt>
                <c:pt idx="18">
                  <c:v>3.6219999999999998E-3</c:v>
                </c:pt>
                <c:pt idx="19">
                  <c:v>3.7959999999999999E-3</c:v>
                </c:pt>
                <c:pt idx="20">
                  <c:v>3.9690000000000003E-3</c:v>
                </c:pt>
                <c:pt idx="21">
                  <c:v>4.143E-3</c:v>
                </c:pt>
                <c:pt idx="22">
                  <c:v>4.3160000000000004E-3</c:v>
                </c:pt>
                <c:pt idx="23">
                  <c:v>4.4900000000000001E-3</c:v>
                </c:pt>
                <c:pt idx="24">
                  <c:v>4.6629999999999996E-3</c:v>
                </c:pt>
                <c:pt idx="25">
                  <c:v>4.8370000000000002E-3</c:v>
                </c:pt>
                <c:pt idx="26">
                  <c:v>5.0099999999999997E-3</c:v>
                </c:pt>
                <c:pt idx="27">
                  <c:v>5.1840000000000002E-3</c:v>
                </c:pt>
                <c:pt idx="28">
                  <c:v>5.3569999999999998E-3</c:v>
                </c:pt>
                <c:pt idx="29">
                  <c:v>5.5310000000000003E-3</c:v>
                </c:pt>
                <c:pt idx="30">
                  <c:v>5.7039999999999999E-3</c:v>
                </c:pt>
                <c:pt idx="31">
                  <c:v>5.8780000000000004E-3</c:v>
                </c:pt>
                <c:pt idx="32">
                  <c:v>6.051E-3</c:v>
                </c:pt>
                <c:pt idx="33">
                  <c:v>6.2240000000000004E-3</c:v>
                </c:pt>
                <c:pt idx="34">
                  <c:v>6.398E-3</c:v>
                </c:pt>
                <c:pt idx="35">
                  <c:v>6.5709999999999996E-3</c:v>
                </c:pt>
                <c:pt idx="36">
                  <c:v>6.7450000000000001E-3</c:v>
                </c:pt>
                <c:pt idx="37">
                  <c:v>6.9179999999999997E-3</c:v>
                </c:pt>
                <c:pt idx="38">
                  <c:v>7.0920000000000002E-3</c:v>
                </c:pt>
                <c:pt idx="39">
                  <c:v>7.2649999999999998E-3</c:v>
                </c:pt>
                <c:pt idx="40">
                  <c:v>7.4390000000000003E-3</c:v>
                </c:pt>
                <c:pt idx="41">
                  <c:v>7.6119999999999998E-3</c:v>
                </c:pt>
                <c:pt idx="42">
                  <c:v>7.7860000000000004E-3</c:v>
                </c:pt>
                <c:pt idx="43">
                  <c:v>7.9590000000000008E-3</c:v>
                </c:pt>
                <c:pt idx="44">
                  <c:v>8.1329999999999996E-3</c:v>
                </c:pt>
                <c:pt idx="45">
                  <c:v>8.3059999999999991E-3</c:v>
                </c:pt>
              </c:numCache>
            </c:numRef>
          </c:cat>
          <c:val>
            <c:numRef>
              <c:f>'[30%conv,700C.CSV.xlsx]30%conv,700C'!$R$2:$R$47</c:f>
              <c:numCache>
                <c:formatCode>0.00E+00</c:formatCode>
                <c:ptCount val="46"/>
                <c:pt idx="0">
                  <c:v>1.6530000000000001E-4</c:v>
                </c:pt>
                <c:pt idx="1">
                  <c:v>1.719E-4</c:v>
                </c:pt>
                <c:pt idx="2">
                  <c:v>1.7870000000000001E-4</c:v>
                </c:pt>
                <c:pt idx="3">
                  <c:v>1.8560000000000001E-4</c:v>
                </c:pt>
                <c:pt idx="4">
                  <c:v>1.9259999999999999E-4</c:v>
                </c:pt>
                <c:pt idx="5">
                  <c:v>1.998E-4</c:v>
                </c:pt>
                <c:pt idx="6">
                  <c:v>2.0709999999999999E-4</c:v>
                </c:pt>
                <c:pt idx="7">
                  <c:v>2.1450000000000001E-4</c:v>
                </c:pt>
                <c:pt idx="8">
                  <c:v>2.22E-4</c:v>
                </c:pt>
                <c:pt idx="9">
                  <c:v>2.297E-4</c:v>
                </c:pt>
                <c:pt idx="10">
                  <c:v>2.375E-4</c:v>
                </c:pt>
                <c:pt idx="11">
                  <c:v>2.454E-4</c:v>
                </c:pt>
                <c:pt idx="12">
                  <c:v>2.5349999999999998E-4</c:v>
                </c:pt>
                <c:pt idx="13">
                  <c:v>2.6170000000000002E-4</c:v>
                </c:pt>
                <c:pt idx="14">
                  <c:v>2.7010000000000001E-4</c:v>
                </c:pt>
                <c:pt idx="15">
                  <c:v>2.786E-4</c:v>
                </c:pt>
                <c:pt idx="16">
                  <c:v>2.8719999999999999E-4</c:v>
                </c:pt>
                <c:pt idx="17">
                  <c:v>2.9599999999999998E-4</c:v>
                </c:pt>
                <c:pt idx="18">
                  <c:v>3.0489999999999998E-4</c:v>
                </c:pt>
                <c:pt idx="19">
                  <c:v>3.1399999999999999E-4</c:v>
                </c:pt>
                <c:pt idx="20">
                  <c:v>3.232E-4</c:v>
                </c:pt>
                <c:pt idx="21">
                  <c:v>3.3260000000000001E-4</c:v>
                </c:pt>
                <c:pt idx="22">
                  <c:v>3.4220000000000002E-4</c:v>
                </c:pt>
                <c:pt idx="23">
                  <c:v>3.5189999999999999E-4</c:v>
                </c:pt>
                <c:pt idx="24">
                  <c:v>3.6170000000000001E-4</c:v>
                </c:pt>
                <c:pt idx="25">
                  <c:v>3.7179999999999998E-4</c:v>
                </c:pt>
                <c:pt idx="26">
                  <c:v>3.8200000000000002E-4</c:v>
                </c:pt>
                <c:pt idx="27">
                  <c:v>3.924E-4</c:v>
                </c:pt>
                <c:pt idx="28">
                  <c:v>4.0299999999999998E-4</c:v>
                </c:pt>
                <c:pt idx="29">
                  <c:v>4.1379999999999998E-4</c:v>
                </c:pt>
                <c:pt idx="30">
                  <c:v>4.2480000000000003E-4</c:v>
                </c:pt>
                <c:pt idx="31">
                  <c:v>4.3600000000000003E-4</c:v>
                </c:pt>
                <c:pt idx="32">
                  <c:v>4.4749999999999998E-4</c:v>
                </c:pt>
                <c:pt idx="33">
                  <c:v>4.5919999999999999E-4</c:v>
                </c:pt>
                <c:pt idx="34">
                  <c:v>4.7110000000000001E-4</c:v>
                </c:pt>
                <c:pt idx="35">
                  <c:v>4.8339999999999999E-4</c:v>
                </c:pt>
                <c:pt idx="36">
                  <c:v>4.9589999999999996E-4</c:v>
                </c:pt>
                <c:pt idx="37">
                  <c:v>5.0880000000000001E-4</c:v>
                </c:pt>
                <c:pt idx="38">
                  <c:v>5.2209999999999995E-4</c:v>
                </c:pt>
                <c:pt idx="39">
                  <c:v>5.3569999999999996E-4</c:v>
                </c:pt>
                <c:pt idx="40">
                  <c:v>5.4989999999999998E-4</c:v>
                </c:pt>
                <c:pt idx="41">
                  <c:v>5.6450000000000001E-4</c:v>
                </c:pt>
                <c:pt idx="42">
                  <c:v>5.7970000000000005E-4</c:v>
                </c:pt>
                <c:pt idx="43">
                  <c:v>5.9559999999999995E-4</c:v>
                </c:pt>
                <c:pt idx="44">
                  <c:v>6.1220000000000003E-4</c:v>
                </c:pt>
                <c:pt idx="45">
                  <c:v>6.2969999999999996E-4</c:v>
                </c:pt>
              </c:numCache>
            </c:numRef>
          </c:val>
          <c:extLst>
            <c:ext xmlns:c16="http://schemas.microsoft.com/office/drawing/2014/chart" uri="{C3380CC4-5D6E-409C-BE32-E72D297353CC}">
              <c16:uniqueId val="{00000002-0F6F-476E-BA91-C9E32E09677C}"/>
            </c:ext>
          </c:extLst>
        </c:ser>
        <c:ser>
          <c:idx val="4"/>
          <c:order val="3"/>
          <c:tx>
            <c:strRef>
              <c:f>'[30%conv,700C.CSV.xlsx]30%conv,700C'!$S$1</c:f>
              <c:strCache>
                <c:ptCount val="1"/>
                <c:pt idx="0">
                  <c:v>3</c:v>
                </c:pt>
              </c:strCache>
            </c:strRef>
          </c:tx>
          <c:spPr>
            <a:ln w="9525" cap="rnd">
              <a:solidFill>
                <a:schemeClr val="accent5"/>
              </a:solidFill>
              <a:round/>
            </a:ln>
            <a:effectLst/>
          </c:spPr>
          <c:cat>
            <c:numRef>
              <c:f>'[30%conv,700C.CSV.xlsx]30%conv,700C'!$A$2:$A$47</c:f>
              <c:numCache>
                <c:formatCode>General</c:formatCode>
                <c:ptCount val="46"/>
                <c:pt idx="0">
                  <c:v>5.0000000000000001E-4</c:v>
                </c:pt>
                <c:pt idx="1">
                  <c:v>6.7350000000000005E-4</c:v>
                </c:pt>
                <c:pt idx="2">
                  <c:v>8.4690000000000004E-4</c:v>
                </c:pt>
                <c:pt idx="3">
                  <c:v>1.0200000000000001E-3</c:v>
                </c:pt>
                <c:pt idx="4">
                  <c:v>1.194E-3</c:v>
                </c:pt>
                <c:pt idx="5">
                  <c:v>1.3669999999999999E-3</c:v>
                </c:pt>
                <c:pt idx="6">
                  <c:v>1.5410000000000001E-3</c:v>
                </c:pt>
                <c:pt idx="7">
                  <c:v>1.714E-3</c:v>
                </c:pt>
                <c:pt idx="8">
                  <c:v>1.8879999999999999E-3</c:v>
                </c:pt>
                <c:pt idx="9">
                  <c:v>2.0609999999999999E-3</c:v>
                </c:pt>
                <c:pt idx="10">
                  <c:v>2.235E-3</c:v>
                </c:pt>
                <c:pt idx="11">
                  <c:v>2.408E-3</c:v>
                </c:pt>
                <c:pt idx="12">
                  <c:v>2.5820000000000001E-3</c:v>
                </c:pt>
                <c:pt idx="13">
                  <c:v>2.7550000000000001E-3</c:v>
                </c:pt>
                <c:pt idx="14">
                  <c:v>2.9290000000000002E-3</c:v>
                </c:pt>
                <c:pt idx="15">
                  <c:v>3.1020000000000002E-3</c:v>
                </c:pt>
                <c:pt idx="16">
                  <c:v>3.2759999999999998E-3</c:v>
                </c:pt>
                <c:pt idx="17">
                  <c:v>3.4489999999999998E-3</c:v>
                </c:pt>
                <c:pt idx="18">
                  <c:v>3.6219999999999998E-3</c:v>
                </c:pt>
                <c:pt idx="19">
                  <c:v>3.7959999999999999E-3</c:v>
                </c:pt>
                <c:pt idx="20">
                  <c:v>3.9690000000000003E-3</c:v>
                </c:pt>
                <c:pt idx="21">
                  <c:v>4.143E-3</c:v>
                </c:pt>
                <c:pt idx="22">
                  <c:v>4.3160000000000004E-3</c:v>
                </c:pt>
                <c:pt idx="23">
                  <c:v>4.4900000000000001E-3</c:v>
                </c:pt>
                <c:pt idx="24">
                  <c:v>4.6629999999999996E-3</c:v>
                </c:pt>
                <c:pt idx="25">
                  <c:v>4.8370000000000002E-3</c:v>
                </c:pt>
                <c:pt idx="26">
                  <c:v>5.0099999999999997E-3</c:v>
                </c:pt>
                <c:pt idx="27">
                  <c:v>5.1840000000000002E-3</c:v>
                </c:pt>
                <c:pt idx="28">
                  <c:v>5.3569999999999998E-3</c:v>
                </c:pt>
                <c:pt idx="29">
                  <c:v>5.5310000000000003E-3</c:v>
                </c:pt>
                <c:pt idx="30">
                  <c:v>5.7039999999999999E-3</c:v>
                </c:pt>
                <c:pt idx="31">
                  <c:v>5.8780000000000004E-3</c:v>
                </c:pt>
                <c:pt idx="32">
                  <c:v>6.051E-3</c:v>
                </c:pt>
                <c:pt idx="33">
                  <c:v>6.2240000000000004E-3</c:v>
                </c:pt>
                <c:pt idx="34">
                  <c:v>6.398E-3</c:v>
                </c:pt>
                <c:pt idx="35">
                  <c:v>6.5709999999999996E-3</c:v>
                </c:pt>
                <c:pt idx="36">
                  <c:v>6.7450000000000001E-3</c:v>
                </c:pt>
                <c:pt idx="37">
                  <c:v>6.9179999999999997E-3</c:v>
                </c:pt>
                <c:pt idx="38">
                  <c:v>7.0920000000000002E-3</c:v>
                </c:pt>
                <c:pt idx="39">
                  <c:v>7.2649999999999998E-3</c:v>
                </c:pt>
                <c:pt idx="40">
                  <c:v>7.4390000000000003E-3</c:v>
                </c:pt>
                <c:pt idx="41">
                  <c:v>7.6119999999999998E-3</c:v>
                </c:pt>
                <c:pt idx="42">
                  <c:v>7.7860000000000004E-3</c:v>
                </c:pt>
                <c:pt idx="43">
                  <c:v>7.9590000000000008E-3</c:v>
                </c:pt>
                <c:pt idx="44">
                  <c:v>8.1329999999999996E-3</c:v>
                </c:pt>
                <c:pt idx="45">
                  <c:v>8.3059999999999991E-3</c:v>
                </c:pt>
              </c:numCache>
            </c:numRef>
          </c:cat>
          <c:val>
            <c:numRef>
              <c:f>'[30%conv,700C.CSV.xlsx]30%conv,700C'!$S$2:$S$47</c:f>
              <c:numCache>
                <c:formatCode>0.00E+00</c:formatCode>
                <c:ptCount val="46"/>
                <c:pt idx="0">
                  <c:v>1.717E-6</c:v>
                </c:pt>
                <c:pt idx="1">
                  <c:v>1.81E-6</c:v>
                </c:pt>
                <c:pt idx="2">
                  <c:v>1.9069999999999999E-6</c:v>
                </c:pt>
                <c:pt idx="3">
                  <c:v>2.007E-6</c:v>
                </c:pt>
                <c:pt idx="4">
                  <c:v>2.1100000000000001E-6</c:v>
                </c:pt>
                <c:pt idx="5">
                  <c:v>2.2170000000000001E-6</c:v>
                </c:pt>
                <c:pt idx="6">
                  <c:v>2.328E-6</c:v>
                </c:pt>
                <c:pt idx="7">
                  <c:v>2.441E-6</c:v>
                </c:pt>
                <c:pt idx="8">
                  <c:v>2.559E-6</c:v>
                </c:pt>
                <c:pt idx="9">
                  <c:v>2.6800000000000002E-6</c:v>
                </c:pt>
                <c:pt idx="10">
                  <c:v>2.8049999999999998E-6</c:v>
                </c:pt>
                <c:pt idx="11">
                  <c:v>2.9340000000000002E-6</c:v>
                </c:pt>
                <c:pt idx="12">
                  <c:v>3.067E-6</c:v>
                </c:pt>
                <c:pt idx="13">
                  <c:v>3.2030000000000001E-6</c:v>
                </c:pt>
                <c:pt idx="14">
                  <c:v>3.3440000000000001E-6</c:v>
                </c:pt>
                <c:pt idx="15">
                  <c:v>3.489E-6</c:v>
                </c:pt>
                <c:pt idx="16">
                  <c:v>3.6380000000000002E-6</c:v>
                </c:pt>
                <c:pt idx="17">
                  <c:v>3.7919999999999999E-6</c:v>
                </c:pt>
                <c:pt idx="18">
                  <c:v>3.9500000000000003E-6</c:v>
                </c:pt>
                <c:pt idx="19">
                  <c:v>4.1130000000000003E-6</c:v>
                </c:pt>
                <c:pt idx="20">
                  <c:v>4.2799999999999997E-6</c:v>
                </c:pt>
                <c:pt idx="21">
                  <c:v>4.4519999999999999E-6</c:v>
                </c:pt>
                <c:pt idx="22">
                  <c:v>4.6290000000000001E-6</c:v>
                </c:pt>
                <c:pt idx="23">
                  <c:v>4.8110000000000002E-6</c:v>
                </c:pt>
                <c:pt idx="24">
                  <c:v>4.9980000000000003E-6</c:v>
                </c:pt>
                <c:pt idx="25">
                  <c:v>5.1900000000000003E-6</c:v>
                </c:pt>
                <c:pt idx="26">
                  <c:v>5.3879999999999999E-6</c:v>
                </c:pt>
                <c:pt idx="27">
                  <c:v>5.592E-6</c:v>
                </c:pt>
                <c:pt idx="28">
                  <c:v>5.8019999999999997E-6</c:v>
                </c:pt>
                <c:pt idx="29">
                  <c:v>6.0179999999999998E-6</c:v>
                </c:pt>
                <c:pt idx="30">
                  <c:v>6.241E-6</c:v>
                </c:pt>
                <c:pt idx="31">
                  <c:v>6.4699999999999999E-6</c:v>
                </c:pt>
                <c:pt idx="32">
                  <c:v>6.7070000000000003E-6</c:v>
                </c:pt>
                <c:pt idx="33">
                  <c:v>6.951E-6</c:v>
                </c:pt>
                <c:pt idx="34">
                  <c:v>7.2030000000000003E-6</c:v>
                </c:pt>
                <c:pt idx="35">
                  <c:v>7.4649999999999997E-6</c:v>
                </c:pt>
                <c:pt idx="36">
                  <c:v>7.7360000000000001E-6</c:v>
                </c:pt>
                <c:pt idx="37">
                  <c:v>8.0169999999999996E-6</c:v>
                </c:pt>
                <c:pt idx="38">
                  <c:v>8.3089999999999996E-6</c:v>
                </c:pt>
                <c:pt idx="39">
                  <c:v>8.6139999999999992E-6</c:v>
                </c:pt>
                <c:pt idx="40">
                  <c:v>8.9330000000000007E-6</c:v>
                </c:pt>
                <c:pt idx="41">
                  <c:v>9.268E-6</c:v>
                </c:pt>
                <c:pt idx="42">
                  <c:v>9.6199999999999994E-6</c:v>
                </c:pt>
                <c:pt idx="43">
                  <c:v>9.9920000000000002E-6</c:v>
                </c:pt>
                <c:pt idx="44">
                  <c:v>1.039E-5</c:v>
                </c:pt>
                <c:pt idx="45">
                  <c:v>1.08E-5</c:v>
                </c:pt>
              </c:numCache>
            </c:numRef>
          </c:val>
          <c:extLst>
            <c:ext xmlns:c16="http://schemas.microsoft.com/office/drawing/2014/chart" uri="{C3380CC4-5D6E-409C-BE32-E72D297353CC}">
              <c16:uniqueId val="{00000003-0F6F-476E-BA91-C9E32E09677C}"/>
            </c:ext>
          </c:extLst>
        </c:ser>
        <c:ser>
          <c:idx val="5"/>
          <c:order val="4"/>
          <c:tx>
            <c:strRef>
              <c:f>'[30%conv,700C.CSV.xlsx]30%conv,700C'!$T$1</c:f>
              <c:strCache>
                <c:ptCount val="1"/>
                <c:pt idx="0">
                  <c:v>4</c:v>
                </c:pt>
              </c:strCache>
            </c:strRef>
          </c:tx>
          <c:spPr>
            <a:ln w="9525" cap="rnd">
              <a:solidFill>
                <a:schemeClr val="accent6"/>
              </a:solidFill>
              <a:round/>
            </a:ln>
            <a:effectLst/>
          </c:spPr>
          <c:cat>
            <c:numRef>
              <c:f>'[30%conv,700C.CSV.xlsx]30%conv,700C'!$A$2:$A$47</c:f>
              <c:numCache>
                <c:formatCode>General</c:formatCode>
                <c:ptCount val="46"/>
                <c:pt idx="0">
                  <c:v>5.0000000000000001E-4</c:v>
                </c:pt>
                <c:pt idx="1">
                  <c:v>6.7350000000000005E-4</c:v>
                </c:pt>
                <c:pt idx="2">
                  <c:v>8.4690000000000004E-4</c:v>
                </c:pt>
                <c:pt idx="3">
                  <c:v>1.0200000000000001E-3</c:v>
                </c:pt>
                <c:pt idx="4">
                  <c:v>1.194E-3</c:v>
                </c:pt>
                <c:pt idx="5">
                  <c:v>1.3669999999999999E-3</c:v>
                </c:pt>
                <c:pt idx="6">
                  <c:v>1.5410000000000001E-3</c:v>
                </c:pt>
                <c:pt idx="7">
                  <c:v>1.714E-3</c:v>
                </c:pt>
                <c:pt idx="8">
                  <c:v>1.8879999999999999E-3</c:v>
                </c:pt>
                <c:pt idx="9">
                  <c:v>2.0609999999999999E-3</c:v>
                </c:pt>
                <c:pt idx="10">
                  <c:v>2.235E-3</c:v>
                </c:pt>
                <c:pt idx="11">
                  <c:v>2.408E-3</c:v>
                </c:pt>
                <c:pt idx="12">
                  <c:v>2.5820000000000001E-3</c:v>
                </c:pt>
                <c:pt idx="13">
                  <c:v>2.7550000000000001E-3</c:v>
                </c:pt>
                <c:pt idx="14">
                  <c:v>2.9290000000000002E-3</c:v>
                </c:pt>
                <c:pt idx="15">
                  <c:v>3.1020000000000002E-3</c:v>
                </c:pt>
                <c:pt idx="16">
                  <c:v>3.2759999999999998E-3</c:v>
                </c:pt>
                <c:pt idx="17">
                  <c:v>3.4489999999999998E-3</c:v>
                </c:pt>
                <c:pt idx="18">
                  <c:v>3.6219999999999998E-3</c:v>
                </c:pt>
                <c:pt idx="19">
                  <c:v>3.7959999999999999E-3</c:v>
                </c:pt>
                <c:pt idx="20">
                  <c:v>3.9690000000000003E-3</c:v>
                </c:pt>
                <c:pt idx="21">
                  <c:v>4.143E-3</c:v>
                </c:pt>
                <c:pt idx="22">
                  <c:v>4.3160000000000004E-3</c:v>
                </c:pt>
                <c:pt idx="23">
                  <c:v>4.4900000000000001E-3</c:v>
                </c:pt>
                <c:pt idx="24">
                  <c:v>4.6629999999999996E-3</c:v>
                </c:pt>
                <c:pt idx="25">
                  <c:v>4.8370000000000002E-3</c:v>
                </c:pt>
                <c:pt idx="26">
                  <c:v>5.0099999999999997E-3</c:v>
                </c:pt>
                <c:pt idx="27">
                  <c:v>5.1840000000000002E-3</c:v>
                </c:pt>
                <c:pt idx="28">
                  <c:v>5.3569999999999998E-3</c:v>
                </c:pt>
                <c:pt idx="29">
                  <c:v>5.5310000000000003E-3</c:v>
                </c:pt>
                <c:pt idx="30">
                  <c:v>5.7039999999999999E-3</c:v>
                </c:pt>
                <c:pt idx="31">
                  <c:v>5.8780000000000004E-3</c:v>
                </c:pt>
                <c:pt idx="32">
                  <c:v>6.051E-3</c:v>
                </c:pt>
                <c:pt idx="33">
                  <c:v>6.2240000000000004E-3</c:v>
                </c:pt>
                <c:pt idx="34">
                  <c:v>6.398E-3</c:v>
                </c:pt>
                <c:pt idx="35">
                  <c:v>6.5709999999999996E-3</c:v>
                </c:pt>
                <c:pt idx="36">
                  <c:v>6.7450000000000001E-3</c:v>
                </c:pt>
                <c:pt idx="37">
                  <c:v>6.9179999999999997E-3</c:v>
                </c:pt>
                <c:pt idx="38">
                  <c:v>7.0920000000000002E-3</c:v>
                </c:pt>
                <c:pt idx="39">
                  <c:v>7.2649999999999998E-3</c:v>
                </c:pt>
                <c:pt idx="40">
                  <c:v>7.4390000000000003E-3</c:v>
                </c:pt>
                <c:pt idx="41">
                  <c:v>7.6119999999999998E-3</c:v>
                </c:pt>
                <c:pt idx="42">
                  <c:v>7.7860000000000004E-3</c:v>
                </c:pt>
                <c:pt idx="43">
                  <c:v>7.9590000000000008E-3</c:v>
                </c:pt>
                <c:pt idx="44">
                  <c:v>8.1329999999999996E-3</c:v>
                </c:pt>
                <c:pt idx="45">
                  <c:v>8.3059999999999991E-3</c:v>
                </c:pt>
              </c:numCache>
            </c:numRef>
          </c:cat>
          <c:val>
            <c:numRef>
              <c:f>'[30%conv,700C.CSV.xlsx]30%conv,700C'!$T$2:$T$47</c:f>
              <c:numCache>
                <c:formatCode>0.00E+00</c:formatCode>
                <c:ptCount val="46"/>
                <c:pt idx="0">
                  <c:v>1.392E-8</c:v>
                </c:pt>
                <c:pt idx="1">
                  <c:v>1.486E-8</c:v>
                </c:pt>
                <c:pt idx="2">
                  <c:v>1.5860000000000001E-8</c:v>
                </c:pt>
                <c:pt idx="3">
                  <c:v>1.6899999999999999E-8</c:v>
                </c:pt>
                <c:pt idx="4">
                  <c:v>1.7999999999999999E-8</c:v>
                </c:pt>
                <c:pt idx="5">
                  <c:v>1.9140000000000001E-8</c:v>
                </c:pt>
                <c:pt idx="6">
                  <c:v>2.0339999999999999E-8</c:v>
                </c:pt>
                <c:pt idx="7">
                  <c:v>2.159E-8</c:v>
                </c:pt>
                <c:pt idx="8">
                  <c:v>2.29E-8</c:v>
                </c:pt>
                <c:pt idx="9">
                  <c:v>2.428E-8</c:v>
                </c:pt>
                <c:pt idx="10">
                  <c:v>2.571E-8</c:v>
                </c:pt>
                <c:pt idx="11">
                  <c:v>2.7199999999999999E-8</c:v>
                </c:pt>
                <c:pt idx="12">
                  <c:v>2.8760000000000001E-8</c:v>
                </c:pt>
                <c:pt idx="13">
                  <c:v>3.0379999999999998E-8</c:v>
                </c:pt>
                <c:pt idx="14">
                  <c:v>3.208E-8</c:v>
                </c:pt>
                <c:pt idx="15">
                  <c:v>3.3839999999999997E-8</c:v>
                </c:pt>
                <c:pt idx="16">
                  <c:v>3.5679999999999999E-8</c:v>
                </c:pt>
                <c:pt idx="17">
                  <c:v>3.7599999999999999E-8</c:v>
                </c:pt>
                <c:pt idx="18">
                  <c:v>3.9589999999999999E-8</c:v>
                </c:pt>
                <c:pt idx="19">
                  <c:v>4.1670000000000002E-8</c:v>
                </c:pt>
                <c:pt idx="20">
                  <c:v>4.3830000000000003E-8</c:v>
                </c:pt>
                <c:pt idx="21">
                  <c:v>4.608E-8</c:v>
                </c:pt>
                <c:pt idx="22">
                  <c:v>4.8410000000000001E-8</c:v>
                </c:pt>
                <c:pt idx="23">
                  <c:v>5.0850000000000002E-8</c:v>
                </c:pt>
                <c:pt idx="24">
                  <c:v>5.3370000000000001E-8</c:v>
                </c:pt>
                <c:pt idx="25">
                  <c:v>5.5999999999999999E-8</c:v>
                </c:pt>
                <c:pt idx="26">
                  <c:v>5.8740000000000002E-8</c:v>
                </c:pt>
                <c:pt idx="27">
                  <c:v>6.1589999999999998E-8</c:v>
                </c:pt>
                <c:pt idx="28">
                  <c:v>6.4550000000000006E-8</c:v>
                </c:pt>
                <c:pt idx="29">
                  <c:v>6.7630000000000004E-8</c:v>
                </c:pt>
                <c:pt idx="30">
                  <c:v>7.0840000000000004E-8</c:v>
                </c:pt>
                <c:pt idx="31">
                  <c:v>7.4180000000000006E-8</c:v>
                </c:pt>
                <c:pt idx="32">
                  <c:v>7.7670000000000007E-8</c:v>
                </c:pt>
                <c:pt idx="33">
                  <c:v>8.1310000000000005E-8</c:v>
                </c:pt>
                <c:pt idx="34">
                  <c:v>8.5109999999999999E-8</c:v>
                </c:pt>
                <c:pt idx="35">
                  <c:v>8.9089999999999999E-8</c:v>
                </c:pt>
                <c:pt idx="36">
                  <c:v>9.3260000000000003E-8</c:v>
                </c:pt>
                <c:pt idx="37">
                  <c:v>9.7629999999999995E-8</c:v>
                </c:pt>
                <c:pt idx="38">
                  <c:v>1.022E-7</c:v>
                </c:pt>
                <c:pt idx="39">
                  <c:v>1.071E-7</c:v>
                </c:pt>
                <c:pt idx="40">
                  <c:v>1.122E-7</c:v>
                </c:pt>
                <c:pt idx="41">
                  <c:v>1.177E-7</c:v>
                </c:pt>
                <c:pt idx="42">
                  <c:v>1.2349999999999999E-7</c:v>
                </c:pt>
                <c:pt idx="43">
                  <c:v>1.297E-7</c:v>
                </c:pt>
                <c:pt idx="44">
                  <c:v>1.364E-7</c:v>
                </c:pt>
                <c:pt idx="45">
                  <c:v>1.4359999999999999E-7</c:v>
                </c:pt>
              </c:numCache>
            </c:numRef>
          </c:val>
          <c:extLst>
            <c:ext xmlns:c16="http://schemas.microsoft.com/office/drawing/2014/chart" uri="{C3380CC4-5D6E-409C-BE32-E72D297353CC}">
              <c16:uniqueId val="{00000004-0F6F-476E-BA91-C9E32E09677C}"/>
            </c:ext>
          </c:extLst>
        </c:ser>
        <c:ser>
          <c:idx val="6"/>
          <c:order val="5"/>
          <c:tx>
            <c:strRef>
              <c:f>'[30%conv,700C.CSV.xlsx]30%conv,700C'!$U$1</c:f>
              <c:strCache>
                <c:ptCount val="1"/>
                <c:pt idx="0">
                  <c:v>5</c:v>
                </c:pt>
              </c:strCache>
            </c:strRef>
          </c:tx>
          <c:spPr>
            <a:ln w="9525" cap="rnd">
              <a:solidFill>
                <a:schemeClr val="accent1">
                  <a:lumMod val="60000"/>
                </a:schemeClr>
              </a:solidFill>
              <a:round/>
            </a:ln>
            <a:effectLst/>
          </c:spPr>
          <c:cat>
            <c:numRef>
              <c:f>'[30%conv,700C.CSV.xlsx]30%conv,700C'!$A$2:$A$47</c:f>
              <c:numCache>
                <c:formatCode>General</c:formatCode>
                <c:ptCount val="46"/>
                <c:pt idx="0">
                  <c:v>5.0000000000000001E-4</c:v>
                </c:pt>
                <c:pt idx="1">
                  <c:v>6.7350000000000005E-4</c:v>
                </c:pt>
                <c:pt idx="2">
                  <c:v>8.4690000000000004E-4</c:v>
                </c:pt>
                <c:pt idx="3">
                  <c:v>1.0200000000000001E-3</c:v>
                </c:pt>
                <c:pt idx="4">
                  <c:v>1.194E-3</c:v>
                </c:pt>
                <c:pt idx="5">
                  <c:v>1.3669999999999999E-3</c:v>
                </c:pt>
                <c:pt idx="6">
                  <c:v>1.5410000000000001E-3</c:v>
                </c:pt>
                <c:pt idx="7">
                  <c:v>1.714E-3</c:v>
                </c:pt>
                <c:pt idx="8">
                  <c:v>1.8879999999999999E-3</c:v>
                </c:pt>
                <c:pt idx="9">
                  <c:v>2.0609999999999999E-3</c:v>
                </c:pt>
                <c:pt idx="10">
                  <c:v>2.235E-3</c:v>
                </c:pt>
                <c:pt idx="11">
                  <c:v>2.408E-3</c:v>
                </c:pt>
                <c:pt idx="12">
                  <c:v>2.5820000000000001E-3</c:v>
                </c:pt>
                <c:pt idx="13">
                  <c:v>2.7550000000000001E-3</c:v>
                </c:pt>
                <c:pt idx="14">
                  <c:v>2.9290000000000002E-3</c:v>
                </c:pt>
                <c:pt idx="15">
                  <c:v>3.1020000000000002E-3</c:v>
                </c:pt>
                <c:pt idx="16">
                  <c:v>3.2759999999999998E-3</c:v>
                </c:pt>
                <c:pt idx="17">
                  <c:v>3.4489999999999998E-3</c:v>
                </c:pt>
                <c:pt idx="18">
                  <c:v>3.6219999999999998E-3</c:v>
                </c:pt>
                <c:pt idx="19">
                  <c:v>3.7959999999999999E-3</c:v>
                </c:pt>
                <c:pt idx="20">
                  <c:v>3.9690000000000003E-3</c:v>
                </c:pt>
                <c:pt idx="21">
                  <c:v>4.143E-3</c:v>
                </c:pt>
                <c:pt idx="22">
                  <c:v>4.3160000000000004E-3</c:v>
                </c:pt>
                <c:pt idx="23">
                  <c:v>4.4900000000000001E-3</c:v>
                </c:pt>
                <c:pt idx="24">
                  <c:v>4.6629999999999996E-3</c:v>
                </c:pt>
                <c:pt idx="25">
                  <c:v>4.8370000000000002E-3</c:v>
                </c:pt>
                <c:pt idx="26">
                  <c:v>5.0099999999999997E-3</c:v>
                </c:pt>
                <c:pt idx="27">
                  <c:v>5.1840000000000002E-3</c:v>
                </c:pt>
                <c:pt idx="28">
                  <c:v>5.3569999999999998E-3</c:v>
                </c:pt>
                <c:pt idx="29">
                  <c:v>5.5310000000000003E-3</c:v>
                </c:pt>
                <c:pt idx="30">
                  <c:v>5.7039999999999999E-3</c:v>
                </c:pt>
                <c:pt idx="31">
                  <c:v>5.8780000000000004E-3</c:v>
                </c:pt>
                <c:pt idx="32">
                  <c:v>6.051E-3</c:v>
                </c:pt>
                <c:pt idx="33">
                  <c:v>6.2240000000000004E-3</c:v>
                </c:pt>
                <c:pt idx="34">
                  <c:v>6.398E-3</c:v>
                </c:pt>
                <c:pt idx="35">
                  <c:v>6.5709999999999996E-3</c:v>
                </c:pt>
                <c:pt idx="36">
                  <c:v>6.7450000000000001E-3</c:v>
                </c:pt>
                <c:pt idx="37">
                  <c:v>6.9179999999999997E-3</c:v>
                </c:pt>
                <c:pt idx="38">
                  <c:v>7.0920000000000002E-3</c:v>
                </c:pt>
                <c:pt idx="39">
                  <c:v>7.2649999999999998E-3</c:v>
                </c:pt>
                <c:pt idx="40">
                  <c:v>7.4390000000000003E-3</c:v>
                </c:pt>
                <c:pt idx="41">
                  <c:v>7.6119999999999998E-3</c:v>
                </c:pt>
                <c:pt idx="42">
                  <c:v>7.7860000000000004E-3</c:v>
                </c:pt>
                <c:pt idx="43">
                  <c:v>7.9590000000000008E-3</c:v>
                </c:pt>
                <c:pt idx="44">
                  <c:v>8.1329999999999996E-3</c:v>
                </c:pt>
                <c:pt idx="45">
                  <c:v>8.3059999999999991E-3</c:v>
                </c:pt>
              </c:numCache>
            </c:numRef>
          </c:cat>
          <c:val>
            <c:numRef>
              <c:f>'[30%conv,700C.CSV.xlsx]30%conv,700C'!$U$2:$U$47</c:f>
              <c:numCache>
                <c:formatCode>0.00E+00</c:formatCode>
                <c:ptCount val="46"/>
                <c:pt idx="0">
                  <c:v>9.3630000000000004E-11</c:v>
                </c:pt>
                <c:pt idx="1">
                  <c:v>1.012E-10</c:v>
                </c:pt>
                <c:pt idx="2">
                  <c:v>1.092E-10</c:v>
                </c:pt>
                <c:pt idx="3">
                  <c:v>1.178E-10</c:v>
                </c:pt>
                <c:pt idx="4">
                  <c:v>1.2679999999999999E-10</c:v>
                </c:pt>
                <c:pt idx="5">
                  <c:v>1.3649999999999999E-10</c:v>
                </c:pt>
                <c:pt idx="6">
                  <c:v>1.4659999999999999E-10</c:v>
                </c:pt>
                <c:pt idx="7">
                  <c:v>1.5739999999999999E-10</c:v>
                </c:pt>
                <c:pt idx="8">
                  <c:v>1.6890000000000001E-10</c:v>
                </c:pt>
                <c:pt idx="9">
                  <c:v>1.8089999999999999E-10</c:v>
                </c:pt>
                <c:pt idx="10">
                  <c:v>1.9369999999999999E-10</c:v>
                </c:pt>
                <c:pt idx="11">
                  <c:v>2.0719999999999999E-10</c:v>
                </c:pt>
                <c:pt idx="12">
                  <c:v>2.2140000000000001E-10</c:v>
                </c:pt>
                <c:pt idx="13">
                  <c:v>2.3639999999999998E-10</c:v>
                </c:pt>
                <c:pt idx="14">
                  <c:v>2.523E-10</c:v>
                </c:pt>
                <c:pt idx="15">
                  <c:v>2.69E-10</c:v>
                </c:pt>
                <c:pt idx="16">
                  <c:v>2.8660000000000002E-10</c:v>
                </c:pt>
                <c:pt idx="17">
                  <c:v>3.0510000000000001E-10</c:v>
                </c:pt>
                <c:pt idx="18">
                  <c:v>3.246E-10</c:v>
                </c:pt>
                <c:pt idx="19">
                  <c:v>3.4509999999999998E-10</c:v>
                </c:pt>
                <c:pt idx="20">
                  <c:v>3.6669999999999998E-10</c:v>
                </c:pt>
                <c:pt idx="21">
                  <c:v>3.8940000000000002E-10</c:v>
                </c:pt>
                <c:pt idx="22">
                  <c:v>4.1319999999999998E-10</c:v>
                </c:pt>
                <c:pt idx="23">
                  <c:v>4.3829999999999998E-10</c:v>
                </c:pt>
                <c:pt idx="24">
                  <c:v>4.6470000000000001E-10</c:v>
                </c:pt>
                <c:pt idx="25">
                  <c:v>4.9239999999999997E-10</c:v>
                </c:pt>
                <c:pt idx="26">
                  <c:v>5.2150000000000001E-10</c:v>
                </c:pt>
                <c:pt idx="27">
                  <c:v>5.5220000000000002E-10</c:v>
                </c:pt>
                <c:pt idx="28">
                  <c:v>5.8439999999999997E-10</c:v>
                </c:pt>
                <c:pt idx="29">
                  <c:v>6.182E-10</c:v>
                </c:pt>
                <c:pt idx="30">
                  <c:v>6.5389999999999999E-10</c:v>
                </c:pt>
                <c:pt idx="31">
                  <c:v>6.9140000000000001E-10</c:v>
                </c:pt>
                <c:pt idx="32">
                  <c:v>7.3099999999999996E-10</c:v>
                </c:pt>
                <c:pt idx="33">
                  <c:v>7.7270000000000003E-10</c:v>
                </c:pt>
                <c:pt idx="34">
                  <c:v>8.1669999999999998E-10</c:v>
                </c:pt>
                <c:pt idx="35">
                  <c:v>8.6330000000000001E-10</c:v>
                </c:pt>
                <c:pt idx="36">
                  <c:v>9.1260000000000003E-10</c:v>
                </c:pt>
                <c:pt idx="37">
                  <c:v>9.6490000000000005E-10</c:v>
                </c:pt>
                <c:pt idx="38">
                  <c:v>1.0210000000000001E-9</c:v>
                </c:pt>
                <c:pt idx="39">
                  <c:v>1.08E-9</c:v>
                </c:pt>
                <c:pt idx="40">
                  <c:v>1.144E-9</c:v>
                </c:pt>
                <c:pt idx="41">
                  <c:v>1.212E-9</c:v>
                </c:pt>
                <c:pt idx="42">
                  <c:v>1.2859999999999999E-9</c:v>
                </c:pt>
                <c:pt idx="43">
                  <c:v>1.3649999999999999E-9</c:v>
                </c:pt>
                <c:pt idx="44">
                  <c:v>1.4519999999999999E-9</c:v>
                </c:pt>
                <c:pt idx="45">
                  <c:v>1.5469999999999999E-9</c:v>
                </c:pt>
              </c:numCache>
            </c:numRef>
          </c:val>
          <c:extLst>
            <c:ext xmlns:c16="http://schemas.microsoft.com/office/drawing/2014/chart" uri="{C3380CC4-5D6E-409C-BE32-E72D297353CC}">
              <c16:uniqueId val="{00000005-0F6F-476E-BA91-C9E32E09677C}"/>
            </c:ext>
          </c:extLst>
        </c:ser>
        <c:ser>
          <c:idx val="7"/>
          <c:order val="6"/>
          <c:tx>
            <c:strRef>
              <c:f>'[30%conv,700C.CSV.xlsx]30%conv,700C'!$V$1</c:f>
              <c:strCache>
                <c:ptCount val="1"/>
                <c:pt idx="0">
                  <c:v>6</c:v>
                </c:pt>
              </c:strCache>
            </c:strRef>
          </c:tx>
          <c:spPr>
            <a:ln w="9525" cap="rnd">
              <a:solidFill>
                <a:schemeClr val="accent2">
                  <a:lumMod val="60000"/>
                </a:schemeClr>
              </a:solidFill>
              <a:round/>
            </a:ln>
            <a:effectLst/>
          </c:spPr>
          <c:cat>
            <c:numRef>
              <c:f>'[30%conv,700C.CSV.xlsx]30%conv,700C'!$A$2:$A$47</c:f>
              <c:numCache>
                <c:formatCode>General</c:formatCode>
                <c:ptCount val="46"/>
                <c:pt idx="0">
                  <c:v>5.0000000000000001E-4</c:v>
                </c:pt>
                <c:pt idx="1">
                  <c:v>6.7350000000000005E-4</c:v>
                </c:pt>
                <c:pt idx="2">
                  <c:v>8.4690000000000004E-4</c:v>
                </c:pt>
                <c:pt idx="3">
                  <c:v>1.0200000000000001E-3</c:v>
                </c:pt>
                <c:pt idx="4">
                  <c:v>1.194E-3</c:v>
                </c:pt>
                <c:pt idx="5">
                  <c:v>1.3669999999999999E-3</c:v>
                </c:pt>
                <c:pt idx="6">
                  <c:v>1.5410000000000001E-3</c:v>
                </c:pt>
                <c:pt idx="7">
                  <c:v>1.714E-3</c:v>
                </c:pt>
                <c:pt idx="8">
                  <c:v>1.8879999999999999E-3</c:v>
                </c:pt>
                <c:pt idx="9">
                  <c:v>2.0609999999999999E-3</c:v>
                </c:pt>
                <c:pt idx="10">
                  <c:v>2.235E-3</c:v>
                </c:pt>
                <c:pt idx="11">
                  <c:v>2.408E-3</c:v>
                </c:pt>
                <c:pt idx="12">
                  <c:v>2.5820000000000001E-3</c:v>
                </c:pt>
                <c:pt idx="13">
                  <c:v>2.7550000000000001E-3</c:v>
                </c:pt>
                <c:pt idx="14">
                  <c:v>2.9290000000000002E-3</c:v>
                </c:pt>
                <c:pt idx="15">
                  <c:v>3.1020000000000002E-3</c:v>
                </c:pt>
                <c:pt idx="16">
                  <c:v>3.2759999999999998E-3</c:v>
                </c:pt>
                <c:pt idx="17">
                  <c:v>3.4489999999999998E-3</c:v>
                </c:pt>
                <c:pt idx="18">
                  <c:v>3.6219999999999998E-3</c:v>
                </c:pt>
                <c:pt idx="19">
                  <c:v>3.7959999999999999E-3</c:v>
                </c:pt>
                <c:pt idx="20">
                  <c:v>3.9690000000000003E-3</c:v>
                </c:pt>
                <c:pt idx="21">
                  <c:v>4.143E-3</c:v>
                </c:pt>
                <c:pt idx="22">
                  <c:v>4.3160000000000004E-3</c:v>
                </c:pt>
                <c:pt idx="23">
                  <c:v>4.4900000000000001E-3</c:v>
                </c:pt>
                <c:pt idx="24">
                  <c:v>4.6629999999999996E-3</c:v>
                </c:pt>
                <c:pt idx="25">
                  <c:v>4.8370000000000002E-3</c:v>
                </c:pt>
                <c:pt idx="26">
                  <c:v>5.0099999999999997E-3</c:v>
                </c:pt>
                <c:pt idx="27">
                  <c:v>5.1840000000000002E-3</c:v>
                </c:pt>
                <c:pt idx="28">
                  <c:v>5.3569999999999998E-3</c:v>
                </c:pt>
                <c:pt idx="29">
                  <c:v>5.5310000000000003E-3</c:v>
                </c:pt>
                <c:pt idx="30">
                  <c:v>5.7039999999999999E-3</c:v>
                </c:pt>
                <c:pt idx="31">
                  <c:v>5.8780000000000004E-3</c:v>
                </c:pt>
                <c:pt idx="32">
                  <c:v>6.051E-3</c:v>
                </c:pt>
                <c:pt idx="33">
                  <c:v>6.2240000000000004E-3</c:v>
                </c:pt>
                <c:pt idx="34">
                  <c:v>6.398E-3</c:v>
                </c:pt>
                <c:pt idx="35">
                  <c:v>6.5709999999999996E-3</c:v>
                </c:pt>
                <c:pt idx="36">
                  <c:v>6.7450000000000001E-3</c:v>
                </c:pt>
                <c:pt idx="37">
                  <c:v>6.9179999999999997E-3</c:v>
                </c:pt>
                <c:pt idx="38">
                  <c:v>7.0920000000000002E-3</c:v>
                </c:pt>
                <c:pt idx="39">
                  <c:v>7.2649999999999998E-3</c:v>
                </c:pt>
                <c:pt idx="40">
                  <c:v>7.4390000000000003E-3</c:v>
                </c:pt>
                <c:pt idx="41">
                  <c:v>7.6119999999999998E-3</c:v>
                </c:pt>
                <c:pt idx="42">
                  <c:v>7.7860000000000004E-3</c:v>
                </c:pt>
                <c:pt idx="43">
                  <c:v>7.9590000000000008E-3</c:v>
                </c:pt>
                <c:pt idx="44">
                  <c:v>8.1329999999999996E-3</c:v>
                </c:pt>
                <c:pt idx="45">
                  <c:v>8.3059999999999991E-3</c:v>
                </c:pt>
              </c:numCache>
            </c:numRef>
          </c:cat>
          <c:val>
            <c:numRef>
              <c:f>'[30%conv,700C.CSV.xlsx]30%conv,700C'!$V$2:$V$47</c:f>
              <c:numCache>
                <c:formatCode>0.00E+00</c:formatCode>
                <c:ptCount val="46"/>
                <c:pt idx="0">
                  <c:v>5.4339999999999999E-13</c:v>
                </c:pt>
                <c:pt idx="1">
                  <c:v>5.9350000000000005E-13</c:v>
                </c:pt>
                <c:pt idx="2">
                  <c:v>6.4750000000000002E-13</c:v>
                </c:pt>
                <c:pt idx="3">
                  <c:v>7.0549999999999997E-13</c:v>
                </c:pt>
                <c:pt idx="4">
                  <c:v>7.6769999999999995E-13</c:v>
                </c:pt>
                <c:pt idx="5">
                  <c:v>8.3450000000000003E-13</c:v>
                </c:pt>
                <c:pt idx="6">
                  <c:v>9.0599999999999998E-13</c:v>
                </c:pt>
                <c:pt idx="7">
                  <c:v>9.8260000000000007E-13</c:v>
                </c:pt>
                <c:pt idx="8">
                  <c:v>1.065E-12</c:v>
                </c:pt>
                <c:pt idx="9">
                  <c:v>1.1519999999999999E-12</c:v>
                </c:pt>
                <c:pt idx="10">
                  <c:v>1.2459999999999999E-12</c:v>
                </c:pt>
                <c:pt idx="11">
                  <c:v>1.3459999999999999E-12</c:v>
                </c:pt>
                <c:pt idx="12">
                  <c:v>1.453E-12</c:v>
                </c:pt>
                <c:pt idx="13">
                  <c:v>1.566E-12</c:v>
                </c:pt>
                <c:pt idx="14">
                  <c:v>1.6880000000000001E-12</c:v>
                </c:pt>
                <c:pt idx="15">
                  <c:v>1.817E-12</c:v>
                </c:pt>
                <c:pt idx="16">
                  <c:v>1.954E-12</c:v>
                </c:pt>
                <c:pt idx="17">
                  <c:v>2.0999999999999999E-12</c:v>
                </c:pt>
                <c:pt idx="18">
                  <c:v>2.2560000000000001E-12</c:v>
                </c:pt>
                <c:pt idx="19">
                  <c:v>2.4209999999999999E-12</c:v>
                </c:pt>
                <c:pt idx="20">
                  <c:v>2.5969999999999999E-12</c:v>
                </c:pt>
                <c:pt idx="21">
                  <c:v>2.7839999999999999E-12</c:v>
                </c:pt>
                <c:pt idx="22">
                  <c:v>2.982E-12</c:v>
                </c:pt>
                <c:pt idx="23">
                  <c:v>3.1920000000000001E-12</c:v>
                </c:pt>
                <c:pt idx="24">
                  <c:v>3.416E-12</c:v>
                </c:pt>
                <c:pt idx="25">
                  <c:v>3.6529999999999999E-12</c:v>
                </c:pt>
                <c:pt idx="26">
                  <c:v>3.905E-12</c:v>
                </c:pt>
                <c:pt idx="27">
                  <c:v>4.1720000000000004E-12</c:v>
                </c:pt>
                <c:pt idx="28">
                  <c:v>4.4560000000000004E-12</c:v>
                </c:pt>
                <c:pt idx="29">
                  <c:v>4.7579999999999997E-12</c:v>
                </c:pt>
                <c:pt idx="30">
                  <c:v>5.078E-12</c:v>
                </c:pt>
                <c:pt idx="31">
                  <c:v>5.4190000000000002E-12</c:v>
                </c:pt>
                <c:pt idx="32">
                  <c:v>5.7809999999999997E-12</c:v>
                </c:pt>
                <c:pt idx="33">
                  <c:v>6.1680000000000004E-12</c:v>
                </c:pt>
                <c:pt idx="34">
                  <c:v>6.5799999999999998E-12</c:v>
                </c:pt>
                <c:pt idx="35">
                  <c:v>7.0200000000000004E-12</c:v>
                </c:pt>
                <c:pt idx="36">
                  <c:v>7.4910000000000003E-12</c:v>
                </c:pt>
                <c:pt idx="37">
                  <c:v>7.9959999999999995E-12</c:v>
                </c:pt>
                <c:pt idx="38">
                  <c:v>8.5400000000000004E-12</c:v>
                </c:pt>
                <c:pt idx="39">
                  <c:v>9.1259999999999997E-12</c:v>
                </c:pt>
                <c:pt idx="40">
                  <c:v>9.7600000000000004E-12</c:v>
                </c:pt>
                <c:pt idx="41">
                  <c:v>1.045E-11</c:v>
                </c:pt>
                <c:pt idx="42">
                  <c:v>1.1200000000000001E-11</c:v>
                </c:pt>
                <c:pt idx="43">
                  <c:v>1.2029999999999999E-11</c:v>
                </c:pt>
                <c:pt idx="44">
                  <c:v>1.2939999999999999E-11</c:v>
                </c:pt>
                <c:pt idx="45">
                  <c:v>1.3940000000000001E-11</c:v>
                </c:pt>
              </c:numCache>
            </c:numRef>
          </c:val>
          <c:extLst>
            <c:ext xmlns:c16="http://schemas.microsoft.com/office/drawing/2014/chart" uri="{C3380CC4-5D6E-409C-BE32-E72D297353CC}">
              <c16:uniqueId val="{00000006-0F6F-476E-BA91-C9E32E09677C}"/>
            </c:ext>
          </c:extLst>
        </c:ser>
        <c:ser>
          <c:idx val="8"/>
          <c:order val="7"/>
          <c:tx>
            <c:strRef>
              <c:f>'[30%conv,700C.CSV.xlsx]30%conv,700C'!$W$1</c:f>
              <c:strCache>
                <c:ptCount val="1"/>
                <c:pt idx="0">
                  <c:v>7</c:v>
                </c:pt>
              </c:strCache>
            </c:strRef>
          </c:tx>
          <c:spPr>
            <a:ln w="9525" cap="rnd">
              <a:solidFill>
                <a:schemeClr val="accent3">
                  <a:lumMod val="60000"/>
                </a:schemeClr>
              </a:solidFill>
              <a:round/>
            </a:ln>
            <a:effectLst/>
          </c:spPr>
          <c:cat>
            <c:numRef>
              <c:f>'[30%conv,700C.CSV.xlsx]30%conv,700C'!$A$2:$A$47</c:f>
              <c:numCache>
                <c:formatCode>General</c:formatCode>
                <c:ptCount val="46"/>
                <c:pt idx="0">
                  <c:v>5.0000000000000001E-4</c:v>
                </c:pt>
                <c:pt idx="1">
                  <c:v>6.7350000000000005E-4</c:v>
                </c:pt>
                <c:pt idx="2">
                  <c:v>8.4690000000000004E-4</c:v>
                </c:pt>
                <c:pt idx="3">
                  <c:v>1.0200000000000001E-3</c:v>
                </c:pt>
                <c:pt idx="4">
                  <c:v>1.194E-3</c:v>
                </c:pt>
                <c:pt idx="5">
                  <c:v>1.3669999999999999E-3</c:v>
                </c:pt>
                <c:pt idx="6">
                  <c:v>1.5410000000000001E-3</c:v>
                </c:pt>
                <c:pt idx="7">
                  <c:v>1.714E-3</c:v>
                </c:pt>
                <c:pt idx="8">
                  <c:v>1.8879999999999999E-3</c:v>
                </c:pt>
                <c:pt idx="9">
                  <c:v>2.0609999999999999E-3</c:v>
                </c:pt>
                <c:pt idx="10">
                  <c:v>2.235E-3</c:v>
                </c:pt>
                <c:pt idx="11">
                  <c:v>2.408E-3</c:v>
                </c:pt>
                <c:pt idx="12">
                  <c:v>2.5820000000000001E-3</c:v>
                </c:pt>
                <c:pt idx="13">
                  <c:v>2.7550000000000001E-3</c:v>
                </c:pt>
                <c:pt idx="14">
                  <c:v>2.9290000000000002E-3</c:v>
                </c:pt>
                <c:pt idx="15">
                  <c:v>3.1020000000000002E-3</c:v>
                </c:pt>
                <c:pt idx="16">
                  <c:v>3.2759999999999998E-3</c:v>
                </c:pt>
                <c:pt idx="17">
                  <c:v>3.4489999999999998E-3</c:v>
                </c:pt>
                <c:pt idx="18">
                  <c:v>3.6219999999999998E-3</c:v>
                </c:pt>
                <c:pt idx="19">
                  <c:v>3.7959999999999999E-3</c:v>
                </c:pt>
                <c:pt idx="20">
                  <c:v>3.9690000000000003E-3</c:v>
                </c:pt>
                <c:pt idx="21">
                  <c:v>4.143E-3</c:v>
                </c:pt>
                <c:pt idx="22">
                  <c:v>4.3160000000000004E-3</c:v>
                </c:pt>
                <c:pt idx="23">
                  <c:v>4.4900000000000001E-3</c:v>
                </c:pt>
                <c:pt idx="24">
                  <c:v>4.6629999999999996E-3</c:v>
                </c:pt>
                <c:pt idx="25">
                  <c:v>4.8370000000000002E-3</c:v>
                </c:pt>
                <c:pt idx="26">
                  <c:v>5.0099999999999997E-3</c:v>
                </c:pt>
                <c:pt idx="27">
                  <c:v>5.1840000000000002E-3</c:v>
                </c:pt>
                <c:pt idx="28">
                  <c:v>5.3569999999999998E-3</c:v>
                </c:pt>
                <c:pt idx="29">
                  <c:v>5.5310000000000003E-3</c:v>
                </c:pt>
                <c:pt idx="30">
                  <c:v>5.7039999999999999E-3</c:v>
                </c:pt>
                <c:pt idx="31">
                  <c:v>5.8780000000000004E-3</c:v>
                </c:pt>
                <c:pt idx="32">
                  <c:v>6.051E-3</c:v>
                </c:pt>
                <c:pt idx="33">
                  <c:v>6.2240000000000004E-3</c:v>
                </c:pt>
                <c:pt idx="34">
                  <c:v>6.398E-3</c:v>
                </c:pt>
                <c:pt idx="35">
                  <c:v>6.5709999999999996E-3</c:v>
                </c:pt>
                <c:pt idx="36">
                  <c:v>6.7450000000000001E-3</c:v>
                </c:pt>
                <c:pt idx="37">
                  <c:v>6.9179999999999997E-3</c:v>
                </c:pt>
                <c:pt idx="38">
                  <c:v>7.0920000000000002E-3</c:v>
                </c:pt>
                <c:pt idx="39">
                  <c:v>7.2649999999999998E-3</c:v>
                </c:pt>
                <c:pt idx="40">
                  <c:v>7.4390000000000003E-3</c:v>
                </c:pt>
                <c:pt idx="41">
                  <c:v>7.6119999999999998E-3</c:v>
                </c:pt>
                <c:pt idx="42">
                  <c:v>7.7860000000000004E-3</c:v>
                </c:pt>
                <c:pt idx="43">
                  <c:v>7.9590000000000008E-3</c:v>
                </c:pt>
                <c:pt idx="44">
                  <c:v>8.1329999999999996E-3</c:v>
                </c:pt>
                <c:pt idx="45">
                  <c:v>8.3059999999999991E-3</c:v>
                </c:pt>
              </c:numCache>
            </c:numRef>
          </c:cat>
          <c:val>
            <c:numRef>
              <c:f>'[30%conv,700C.CSV.xlsx]30%conv,700C'!$W$2:$W$47</c:f>
              <c:numCache>
                <c:formatCode>0.00E+00</c:formatCode>
                <c:ptCount val="46"/>
                <c:pt idx="0">
                  <c:v>2.7929999999999998E-15</c:v>
                </c:pt>
                <c:pt idx="1">
                  <c:v>3.08E-15</c:v>
                </c:pt>
                <c:pt idx="2">
                  <c:v>3.3910000000000001E-15</c:v>
                </c:pt>
                <c:pt idx="3">
                  <c:v>3.7300000000000003E-15</c:v>
                </c:pt>
                <c:pt idx="4">
                  <c:v>4.0970000000000001E-15</c:v>
                </c:pt>
                <c:pt idx="5">
                  <c:v>4.4949999999999999E-15</c:v>
                </c:pt>
                <c:pt idx="6">
                  <c:v>4.9250000000000002E-15</c:v>
                </c:pt>
                <c:pt idx="7">
                  <c:v>5.3899999999999996E-15</c:v>
                </c:pt>
                <c:pt idx="8">
                  <c:v>5.8930000000000001E-15</c:v>
                </c:pt>
                <c:pt idx="9">
                  <c:v>6.4359999999999997E-15</c:v>
                </c:pt>
                <c:pt idx="10">
                  <c:v>7.0220000000000001E-15</c:v>
                </c:pt>
                <c:pt idx="11">
                  <c:v>7.6530000000000003E-15</c:v>
                </c:pt>
                <c:pt idx="12">
                  <c:v>8.3330000000000003E-15</c:v>
                </c:pt>
                <c:pt idx="13">
                  <c:v>9.0660000000000002E-15</c:v>
                </c:pt>
                <c:pt idx="14">
                  <c:v>9.8529999999999998E-15</c:v>
                </c:pt>
                <c:pt idx="15">
                  <c:v>1.07E-14</c:v>
                </c:pt>
                <c:pt idx="16">
                  <c:v>1.1610000000000001E-14</c:v>
                </c:pt>
                <c:pt idx="17">
                  <c:v>1.259E-14</c:v>
                </c:pt>
                <c:pt idx="18">
                  <c:v>1.3640000000000001E-14</c:v>
                </c:pt>
                <c:pt idx="19">
                  <c:v>1.4759999999999998E-14</c:v>
                </c:pt>
                <c:pt idx="20">
                  <c:v>1.597E-14</c:v>
                </c:pt>
                <c:pt idx="21">
                  <c:v>1.7269999999999999E-14</c:v>
                </c:pt>
                <c:pt idx="22">
                  <c:v>1.8650000000000001E-14</c:v>
                </c:pt>
                <c:pt idx="23">
                  <c:v>2.014E-14</c:v>
                </c:pt>
                <c:pt idx="24">
                  <c:v>2.1729999999999999E-14</c:v>
                </c:pt>
                <c:pt idx="25">
                  <c:v>2.3439999999999999E-14</c:v>
                </c:pt>
                <c:pt idx="26">
                  <c:v>2.5269999999999999E-14</c:v>
                </c:pt>
                <c:pt idx="27">
                  <c:v>2.7230000000000001E-14</c:v>
                </c:pt>
                <c:pt idx="28">
                  <c:v>2.933E-14</c:v>
                </c:pt>
                <c:pt idx="29">
                  <c:v>3.1580000000000003E-14</c:v>
                </c:pt>
                <c:pt idx="30">
                  <c:v>3.3990000000000002E-14</c:v>
                </c:pt>
                <c:pt idx="31">
                  <c:v>3.658E-14</c:v>
                </c:pt>
                <c:pt idx="32">
                  <c:v>3.9360000000000002E-14</c:v>
                </c:pt>
                <c:pt idx="33">
                  <c:v>4.2349999999999998E-14</c:v>
                </c:pt>
                <c:pt idx="34">
                  <c:v>4.558E-14</c:v>
                </c:pt>
                <c:pt idx="35">
                  <c:v>4.9050000000000003E-14</c:v>
                </c:pt>
                <c:pt idx="36">
                  <c:v>5.2809999999999998E-14</c:v>
                </c:pt>
                <c:pt idx="37">
                  <c:v>5.6880000000000006E-14</c:v>
                </c:pt>
                <c:pt idx="38">
                  <c:v>6.1300000000000001E-14</c:v>
                </c:pt>
                <c:pt idx="39">
                  <c:v>6.612E-14</c:v>
                </c:pt>
                <c:pt idx="40">
                  <c:v>7.1389999999999999E-14</c:v>
                </c:pt>
                <c:pt idx="41">
                  <c:v>7.7189999999999997E-14</c:v>
                </c:pt>
                <c:pt idx="42">
                  <c:v>8.3579999999999996E-14</c:v>
                </c:pt>
                <c:pt idx="43">
                  <c:v>9.0679999999999998E-14</c:v>
                </c:pt>
                <c:pt idx="44">
                  <c:v>9.8600000000000004E-14</c:v>
                </c:pt>
                <c:pt idx="45">
                  <c:v>1.075E-13</c:v>
                </c:pt>
              </c:numCache>
            </c:numRef>
          </c:val>
          <c:extLst>
            <c:ext xmlns:c16="http://schemas.microsoft.com/office/drawing/2014/chart" uri="{C3380CC4-5D6E-409C-BE32-E72D297353CC}">
              <c16:uniqueId val="{00000007-0F6F-476E-BA91-C9E32E09677C}"/>
            </c:ext>
          </c:extLst>
        </c:ser>
        <c:ser>
          <c:idx val="9"/>
          <c:order val="8"/>
          <c:tx>
            <c:strRef>
              <c:f>'[30%conv,700C.CSV.xlsx]30%conv,700C'!$X$1</c:f>
              <c:strCache>
                <c:ptCount val="1"/>
                <c:pt idx="0">
                  <c:v>8</c:v>
                </c:pt>
              </c:strCache>
            </c:strRef>
          </c:tx>
          <c:spPr>
            <a:ln w="9525" cap="rnd">
              <a:solidFill>
                <a:schemeClr val="accent4">
                  <a:lumMod val="60000"/>
                </a:schemeClr>
              </a:solidFill>
              <a:round/>
            </a:ln>
            <a:effectLst/>
          </c:spPr>
          <c:cat>
            <c:numRef>
              <c:f>'[30%conv,700C.CSV.xlsx]30%conv,700C'!$A$2:$A$47</c:f>
              <c:numCache>
                <c:formatCode>General</c:formatCode>
                <c:ptCount val="46"/>
                <c:pt idx="0">
                  <c:v>5.0000000000000001E-4</c:v>
                </c:pt>
                <c:pt idx="1">
                  <c:v>6.7350000000000005E-4</c:v>
                </c:pt>
                <c:pt idx="2">
                  <c:v>8.4690000000000004E-4</c:v>
                </c:pt>
                <c:pt idx="3">
                  <c:v>1.0200000000000001E-3</c:v>
                </c:pt>
                <c:pt idx="4">
                  <c:v>1.194E-3</c:v>
                </c:pt>
                <c:pt idx="5">
                  <c:v>1.3669999999999999E-3</c:v>
                </c:pt>
                <c:pt idx="6">
                  <c:v>1.5410000000000001E-3</c:v>
                </c:pt>
                <c:pt idx="7">
                  <c:v>1.714E-3</c:v>
                </c:pt>
                <c:pt idx="8">
                  <c:v>1.8879999999999999E-3</c:v>
                </c:pt>
                <c:pt idx="9">
                  <c:v>2.0609999999999999E-3</c:v>
                </c:pt>
                <c:pt idx="10">
                  <c:v>2.235E-3</c:v>
                </c:pt>
                <c:pt idx="11">
                  <c:v>2.408E-3</c:v>
                </c:pt>
                <c:pt idx="12">
                  <c:v>2.5820000000000001E-3</c:v>
                </c:pt>
                <c:pt idx="13">
                  <c:v>2.7550000000000001E-3</c:v>
                </c:pt>
                <c:pt idx="14">
                  <c:v>2.9290000000000002E-3</c:v>
                </c:pt>
                <c:pt idx="15">
                  <c:v>3.1020000000000002E-3</c:v>
                </c:pt>
                <c:pt idx="16">
                  <c:v>3.2759999999999998E-3</c:v>
                </c:pt>
                <c:pt idx="17">
                  <c:v>3.4489999999999998E-3</c:v>
                </c:pt>
                <c:pt idx="18">
                  <c:v>3.6219999999999998E-3</c:v>
                </c:pt>
                <c:pt idx="19">
                  <c:v>3.7959999999999999E-3</c:v>
                </c:pt>
                <c:pt idx="20">
                  <c:v>3.9690000000000003E-3</c:v>
                </c:pt>
                <c:pt idx="21">
                  <c:v>4.143E-3</c:v>
                </c:pt>
                <c:pt idx="22">
                  <c:v>4.3160000000000004E-3</c:v>
                </c:pt>
                <c:pt idx="23">
                  <c:v>4.4900000000000001E-3</c:v>
                </c:pt>
                <c:pt idx="24">
                  <c:v>4.6629999999999996E-3</c:v>
                </c:pt>
                <c:pt idx="25">
                  <c:v>4.8370000000000002E-3</c:v>
                </c:pt>
                <c:pt idx="26">
                  <c:v>5.0099999999999997E-3</c:v>
                </c:pt>
                <c:pt idx="27">
                  <c:v>5.1840000000000002E-3</c:v>
                </c:pt>
                <c:pt idx="28">
                  <c:v>5.3569999999999998E-3</c:v>
                </c:pt>
                <c:pt idx="29">
                  <c:v>5.5310000000000003E-3</c:v>
                </c:pt>
                <c:pt idx="30">
                  <c:v>5.7039999999999999E-3</c:v>
                </c:pt>
                <c:pt idx="31">
                  <c:v>5.8780000000000004E-3</c:v>
                </c:pt>
                <c:pt idx="32">
                  <c:v>6.051E-3</c:v>
                </c:pt>
                <c:pt idx="33">
                  <c:v>6.2240000000000004E-3</c:v>
                </c:pt>
                <c:pt idx="34">
                  <c:v>6.398E-3</c:v>
                </c:pt>
                <c:pt idx="35">
                  <c:v>6.5709999999999996E-3</c:v>
                </c:pt>
                <c:pt idx="36">
                  <c:v>6.7450000000000001E-3</c:v>
                </c:pt>
                <c:pt idx="37">
                  <c:v>6.9179999999999997E-3</c:v>
                </c:pt>
                <c:pt idx="38">
                  <c:v>7.0920000000000002E-3</c:v>
                </c:pt>
                <c:pt idx="39">
                  <c:v>7.2649999999999998E-3</c:v>
                </c:pt>
                <c:pt idx="40">
                  <c:v>7.4390000000000003E-3</c:v>
                </c:pt>
                <c:pt idx="41">
                  <c:v>7.6119999999999998E-3</c:v>
                </c:pt>
                <c:pt idx="42">
                  <c:v>7.7860000000000004E-3</c:v>
                </c:pt>
                <c:pt idx="43">
                  <c:v>7.9590000000000008E-3</c:v>
                </c:pt>
                <c:pt idx="44">
                  <c:v>8.1329999999999996E-3</c:v>
                </c:pt>
                <c:pt idx="45">
                  <c:v>8.3059999999999991E-3</c:v>
                </c:pt>
              </c:numCache>
            </c:numRef>
          </c:cat>
          <c:val>
            <c:numRef>
              <c:f>'[30%conv,700C.CSV.xlsx]30%conv,700C'!$X$2:$X$47</c:f>
              <c:numCache>
                <c:formatCode>0.00E+00</c:formatCode>
                <c:ptCount val="46"/>
                <c:pt idx="0">
                  <c:v>1.296E-17</c:v>
                </c:pt>
                <c:pt idx="1">
                  <c:v>1.441E-17</c:v>
                </c:pt>
                <c:pt idx="2">
                  <c:v>1.6000000000000001E-17</c:v>
                </c:pt>
                <c:pt idx="3">
                  <c:v>1.7749999999999999E-17</c:v>
                </c:pt>
                <c:pt idx="4">
                  <c:v>1.9649999999999999E-17</c:v>
                </c:pt>
                <c:pt idx="5">
                  <c:v>2.174E-17</c:v>
                </c:pt>
                <c:pt idx="6">
                  <c:v>2.4010000000000001E-17</c:v>
                </c:pt>
                <c:pt idx="7">
                  <c:v>2.649E-17</c:v>
                </c:pt>
                <c:pt idx="8">
                  <c:v>2.9199999999999999E-17</c:v>
                </c:pt>
                <c:pt idx="9">
                  <c:v>3.2139999999999997E-17</c:v>
                </c:pt>
                <c:pt idx="10">
                  <c:v>3.5349999999999998E-17</c:v>
                </c:pt>
                <c:pt idx="11">
                  <c:v>3.8830000000000001E-17</c:v>
                </c:pt>
                <c:pt idx="12">
                  <c:v>4.2620000000000003E-17</c:v>
                </c:pt>
                <c:pt idx="13">
                  <c:v>4.6729999999999997E-17</c:v>
                </c:pt>
                <c:pt idx="14">
                  <c:v>5.119E-17</c:v>
                </c:pt>
                <c:pt idx="15">
                  <c:v>5.6019999999999996E-17</c:v>
                </c:pt>
                <c:pt idx="16">
                  <c:v>6.1259999999999996E-17</c:v>
                </c:pt>
                <c:pt idx="17">
                  <c:v>6.6929999999999997E-17</c:v>
                </c:pt>
                <c:pt idx="18">
                  <c:v>7.3069999999999997E-17</c:v>
                </c:pt>
                <c:pt idx="19">
                  <c:v>7.9720000000000004E-17</c:v>
                </c:pt>
                <c:pt idx="20">
                  <c:v>8.6910000000000004E-17</c:v>
                </c:pt>
                <c:pt idx="21">
                  <c:v>9.4670000000000005E-17</c:v>
                </c:pt>
                <c:pt idx="22">
                  <c:v>1.031E-16</c:v>
                </c:pt>
                <c:pt idx="23">
                  <c:v>1.1210000000000001E-16</c:v>
                </c:pt>
                <c:pt idx="24">
                  <c:v>1.2189999999999999E-16</c:v>
                </c:pt>
                <c:pt idx="25">
                  <c:v>1.3250000000000001E-16</c:v>
                </c:pt>
                <c:pt idx="26">
                  <c:v>1.44E-16</c:v>
                </c:pt>
                <c:pt idx="27">
                  <c:v>1.563E-16</c:v>
                </c:pt>
                <c:pt idx="28">
                  <c:v>1.697E-16</c:v>
                </c:pt>
                <c:pt idx="29">
                  <c:v>1.841E-16</c:v>
                </c:pt>
                <c:pt idx="30">
                  <c:v>1.997E-16</c:v>
                </c:pt>
                <c:pt idx="31">
                  <c:v>2.1660000000000001E-16</c:v>
                </c:pt>
                <c:pt idx="32">
                  <c:v>2.3489999999999998E-16</c:v>
                </c:pt>
                <c:pt idx="33">
                  <c:v>2.5480000000000002E-16</c:v>
                </c:pt>
                <c:pt idx="34">
                  <c:v>2.7630000000000002E-16</c:v>
                </c:pt>
                <c:pt idx="35">
                  <c:v>2.9980000000000001E-16</c:v>
                </c:pt>
                <c:pt idx="36">
                  <c:v>3.2540000000000002E-16</c:v>
                </c:pt>
                <c:pt idx="37">
                  <c:v>3.5339999999999998E-16</c:v>
                </c:pt>
                <c:pt idx="38">
                  <c:v>3.8420000000000001E-16</c:v>
                </c:pt>
                <c:pt idx="39">
                  <c:v>4.1799999999999999E-16</c:v>
                </c:pt>
                <c:pt idx="40">
                  <c:v>4.5539999999999996E-16</c:v>
                </c:pt>
                <c:pt idx="41">
                  <c:v>4.9690000000000005E-16</c:v>
                </c:pt>
                <c:pt idx="42">
                  <c:v>5.4329999999999997E-16</c:v>
                </c:pt>
                <c:pt idx="43">
                  <c:v>5.9530000000000003E-16</c:v>
                </c:pt>
                <c:pt idx="44">
                  <c:v>6.5410000000000002E-16</c:v>
                </c:pt>
                <c:pt idx="45">
                  <c:v>7.208E-16</c:v>
                </c:pt>
              </c:numCache>
            </c:numRef>
          </c:val>
          <c:extLst>
            <c:ext xmlns:c16="http://schemas.microsoft.com/office/drawing/2014/chart" uri="{C3380CC4-5D6E-409C-BE32-E72D297353CC}">
              <c16:uniqueId val="{00000008-0F6F-476E-BA91-C9E32E09677C}"/>
            </c:ext>
          </c:extLst>
        </c:ser>
        <c:ser>
          <c:idx val="10"/>
          <c:order val="9"/>
          <c:tx>
            <c:strRef>
              <c:f>'[30%conv,700C.CSV.xlsx]30%conv,700C'!$Y$1</c:f>
              <c:strCache>
                <c:ptCount val="1"/>
                <c:pt idx="0">
                  <c:v>9</c:v>
                </c:pt>
              </c:strCache>
            </c:strRef>
          </c:tx>
          <c:spPr>
            <a:ln w="9525" cap="rnd">
              <a:solidFill>
                <a:schemeClr val="accent5">
                  <a:lumMod val="60000"/>
                </a:schemeClr>
              </a:solidFill>
              <a:round/>
            </a:ln>
            <a:effectLst/>
          </c:spPr>
          <c:cat>
            <c:numRef>
              <c:f>'[30%conv,700C.CSV.xlsx]30%conv,700C'!$A$2:$A$47</c:f>
              <c:numCache>
                <c:formatCode>General</c:formatCode>
                <c:ptCount val="46"/>
                <c:pt idx="0">
                  <c:v>5.0000000000000001E-4</c:v>
                </c:pt>
                <c:pt idx="1">
                  <c:v>6.7350000000000005E-4</c:v>
                </c:pt>
                <c:pt idx="2">
                  <c:v>8.4690000000000004E-4</c:v>
                </c:pt>
                <c:pt idx="3">
                  <c:v>1.0200000000000001E-3</c:v>
                </c:pt>
                <c:pt idx="4">
                  <c:v>1.194E-3</c:v>
                </c:pt>
                <c:pt idx="5">
                  <c:v>1.3669999999999999E-3</c:v>
                </c:pt>
                <c:pt idx="6">
                  <c:v>1.5410000000000001E-3</c:v>
                </c:pt>
                <c:pt idx="7">
                  <c:v>1.714E-3</c:v>
                </c:pt>
                <c:pt idx="8">
                  <c:v>1.8879999999999999E-3</c:v>
                </c:pt>
                <c:pt idx="9">
                  <c:v>2.0609999999999999E-3</c:v>
                </c:pt>
                <c:pt idx="10">
                  <c:v>2.235E-3</c:v>
                </c:pt>
                <c:pt idx="11">
                  <c:v>2.408E-3</c:v>
                </c:pt>
                <c:pt idx="12">
                  <c:v>2.5820000000000001E-3</c:v>
                </c:pt>
                <c:pt idx="13">
                  <c:v>2.7550000000000001E-3</c:v>
                </c:pt>
                <c:pt idx="14">
                  <c:v>2.9290000000000002E-3</c:v>
                </c:pt>
                <c:pt idx="15">
                  <c:v>3.1020000000000002E-3</c:v>
                </c:pt>
                <c:pt idx="16">
                  <c:v>3.2759999999999998E-3</c:v>
                </c:pt>
                <c:pt idx="17">
                  <c:v>3.4489999999999998E-3</c:v>
                </c:pt>
                <c:pt idx="18">
                  <c:v>3.6219999999999998E-3</c:v>
                </c:pt>
                <c:pt idx="19">
                  <c:v>3.7959999999999999E-3</c:v>
                </c:pt>
                <c:pt idx="20">
                  <c:v>3.9690000000000003E-3</c:v>
                </c:pt>
                <c:pt idx="21">
                  <c:v>4.143E-3</c:v>
                </c:pt>
                <c:pt idx="22">
                  <c:v>4.3160000000000004E-3</c:v>
                </c:pt>
                <c:pt idx="23">
                  <c:v>4.4900000000000001E-3</c:v>
                </c:pt>
                <c:pt idx="24">
                  <c:v>4.6629999999999996E-3</c:v>
                </c:pt>
                <c:pt idx="25">
                  <c:v>4.8370000000000002E-3</c:v>
                </c:pt>
                <c:pt idx="26">
                  <c:v>5.0099999999999997E-3</c:v>
                </c:pt>
                <c:pt idx="27">
                  <c:v>5.1840000000000002E-3</c:v>
                </c:pt>
                <c:pt idx="28">
                  <c:v>5.3569999999999998E-3</c:v>
                </c:pt>
                <c:pt idx="29">
                  <c:v>5.5310000000000003E-3</c:v>
                </c:pt>
                <c:pt idx="30">
                  <c:v>5.7039999999999999E-3</c:v>
                </c:pt>
                <c:pt idx="31">
                  <c:v>5.8780000000000004E-3</c:v>
                </c:pt>
                <c:pt idx="32">
                  <c:v>6.051E-3</c:v>
                </c:pt>
                <c:pt idx="33">
                  <c:v>6.2240000000000004E-3</c:v>
                </c:pt>
                <c:pt idx="34">
                  <c:v>6.398E-3</c:v>
                </c:pt>
                <c:pt idx="35">
                  <c:v>6.5709999999999996E-3</c:v>
                </c:pt>
                <c:pt idx="36">
                  <c:v>6.7450000000000001E-3</c:v>
                </c:pt>
                <c:pt idx="37">
                  <c:v>6.9179999999999997E-3</c:v>
                </c:pt>
                <c:pt idx="38">
                  <c:v>7.0920000000000002E-3</c:v>
                </c:pt>
                <c:pt idx="39">
                  <c:v>7.2649999999999998E-3</c:v>
                </c:pt>
                <c:pt idx="40">
                  <c:v>7.4390000000000003E-3</c:v>
                </c:pt>
                <c:pt idx="41">
                  <c:v>7.6119999999999998E-3</c:v>
                </c:pt>
                <c:pt idx="42">
                  <c:v>7.7860000000000004E-3</c:v>
                </c:pt>
                <c:pt idx="43">
                  <c:v>7.9590000000000008E-3</c:v>
                </c:pt>
                <c:pt idx="44">
                  <c:v>8.1329999999999996E-3</c:v>
                </c:pt>
                <c:pt idx="45">
                  <c:v>8.3059999999999991E-3</c:v>
                </c:pt>
              </c:numCache>
            </c:numRef>
          </c:cat>
          <c:val>
            <c:numRef>
              <c:f>'[30%conv,700C.CSV.xlsx]30%conv,700C'!$Y$2:$Y$47</c:f>
              <c:numCache>
                <c:formatCode>0.00E+00</c:formatCode>
                <c:ptCount val="46"/>
                <c:pt idx="0">
                  <c:v>5.5060000000000003E-20</c:v>
                </c:pt>
                <c:pt idx="1">
                  <c:v>6.1689999999999997E-20</c:v>
                </c:pt>
                <c:pt idx="2">
                  <c:v>6.9009999999999997E-20</c:v>
                </c:pt>
                <c:pt idx="3">
                  <c:v>7.7079999999999997E-20</c:v>
                </c:pt>
                <c:pt idx="4">
                  <c:v>8.5980000000000004E-20</c:v>
                </c:pt>
                <c:pt idx="5">
                  <c:v>9.5780000000000004E-20</c:v>
                </c:pt>
                <c:pt idx="6">
                  <c:v>1.066E-19</c:v>
                </c:pt>
                <c:pt idx="7">
                  <c:v>1.1840000000000001E-19</c:v>
                </c:pt>
                <c:pt idx="8">
                  <c:v>1.314E-19</c:v>
                </c:pt>
                <c:pt idx="9">
                  <c:v>1.457E-19</c:v>
                </c:pt>
                <c:pt idx="10">
                  <c:v>1.6130000000000001E-19</c:v>
                </c:pt>
                <c:pt idx="11">
                  <c:v>1.784E-19</c:v>
                </c:pt>
                <c:pt idx="12">
                  <c:v>1.972E-19</c:v>
                </c:pt>
                <c:pt idx="13">
                  <c:v>2.177E-19</c:v>
                </c:pt>
                <c:pt idx="14">
                  <c:v>2.4009999999999998E-19</c:v>
                </c:pt>
                <c:pt idx="15">
                  <c:v>2.6460000000000002E-19</c:v>
                </c:pt>
                <c:pt idx="16">
                  <c:v>2.9129999999999999E-19</c:v>
                </c:pt>
                <c:pt idx="17">
                  <c:v>3.204E-19</c:v>
                </c:pt>
                <c:pt idx="18">
                  <c:v>3.5219999999999999E-19</c:v>
                </c:pt>
                <c:pt idx="19">
                  <c:v>3.8689999999999999E-19</c:v>
                </c:pt>
                <c:pt idx="20">
                  <c:v>4.2459999999999999E-19</c:v>
                </c:pt>
                <c:pt idx="21">
                  <c:v>4.6569999999999996E-19</c:v>
                </c:pt>
                <c:pt idx="22">
                  <c:v>5.104E-19</c:v>
                </c:pt>
                <c:pt idx="23">
                  <c:v>5.5909999999999998E-19</c:v>
                </c:pt>
                <c:pt idx="24">
                  <c:v>6.121E-19</c:v>
                </c:pt>
                <c:pt idx="25">
                  <c:v>6.6979999999999999E-19</c:v>
                </c:pt>
                <c:pt idx="26">
                  <c:v>7.3259999999999996E-19</c:v>
                </c:pt>
                <c:pt idx="27">
                  <c:v>8.0090000000000001E-19</c:v>
                </c:pt>
                <c:pt idx="28">
                  <c:v>8.7530000000000007E-19</c:v>
                </c:pt>
                <c:pt idx="29">
                  <c:v>9.5630000000000007E-19</c:v>
                </c:pt>
                <c:pt idx="30">
                  <c:v>1.045E-18</c:v>
                </c:pt>
                <c:pt idx="31">
                  <c:v>1.1409999999999999E-18</c:v>
                </c:pt>
                <c:pt idx="32">
                  <c:v>1.246E-18</c:v>
                </c:pt>
                <c:pt idx="33">
                  <c:v>1.3609999999999999E-18</c:v>
                </c:pt>
                <c:pt idx="34">
                  <c:v>1.4870000000000001E-18</c:v>
                </c:pt>
                <c:pt idx="35">
                  <c:v>1.625E-18</c:v>
                </c:pt>
                <c:pt idx="36">
                  <c:v>1.7780000000000001E-18</c:v>
                </c:pt>
                <c:pt idx="37">
                  <c:v>1.9450000000000001E-18</c:v>
                </c:pt>
                <c:pt idx="38">
                  <c:v>2.1310000000000001E-18</c:v>
                </c:pt>
                <c:pt idx="39">
                  <c:v>2.337E-18</c:v>
                </c:pt>
                <c:pt idx="40">
                  <c:v>2.5680000000000001E-18</c:v>
                </c:pt>
                <c:pt idx="41">
                  <c:v>2.8259999999999998E-18</c:v>
                </c:pt>
                <c:pt idx="42">
                  <c:v>3.1179999999999999E-18</c:v>
                </c:pt>
                <c:pt idx="43">
                  <c:v>3.4489999999999999E-18</c:v>
                </c:pt>
                <c:pt idx="44">
                  <c:v>3.8269999999999997E-18</c:v>
                </c:pt>
                <c:pt idx="45">
                  <c:v>4.2620000000000001E-18</c:v>
                </c:pt>
              </c:numCache>
            </c:numRef>
          </c:val>
          <c:extLst>
            <c:ext xmlns:c16="http://schemas.microsoft.com/office/drawing/2014/chart" uri="{C3380CC4-5D6E-409C-BE32-E72D297353CC}">
              <c16:uniqueId val="{00000009-0F6F-476E-BA91-C9E32E09677C}"/>
            </c:ext>
          </c:extLst>
        </c:ser>
        <c:ser>
          <c:idx val="11"/>
          <c:order val="10"/>
          <c:tx>
            <c:strRef>
              <c:f>'[30%conv,700C.CSV.xlsx]30%conv,700C'!$Z$1</c:f>
              <c:strCache>
                <c:ptCount val="1"/>
                <c:pt idx="0">
                  <c:v>10</c:v>
                </c:pt>
              </c:strCache>
            </c:strRef>
          </c:tx>
          <c:spPr>
            <a:ln w="9525" cap="rnd">
              <a:solidFill>
                <a:schemeClr val="accent6">
                  <a:lumMod val="60000"/>
                </a:schemeClr>
              </a:solidFill>
              <a:round/>
            </a:ln>
            <a:effectLst/>
          </c:spPr>
          <c:cat>
            <c:numRef>
              <c:f>'[30%conv,700C.CSV.xlsx]30%conv,700C'!$A$2:$A$47</c:f>
              <c:numCache>
                <c:formatCode>General</c:formatCode>
                <c:ptCount val="46"/>
                <c:pt idx="0">
                  <c:v>5.0000000000000001E-4</c:v>
                </c:pt>
                <c:pt idx="1">
                  <c:v>6.7350000000000005E-4</c:v>
                </c:pt>
                <c:pt idx="2">
                  <c:v>8.4690000000000004E-4</c:v>
                </c:pt>
                <c:pt idx="3">
                  <c:v>1.0200000000000001E-3</c:v>
                </c:pt>
                <c:pt idx="4">
                  <c:v>1.194E-3</c:v>
                </c:pt>
                <c:pt idx="5">
                  <c:v>1.3669999999999999E-3</c:v>
                </c:pt>
                <c:pt idx="6">
                  <c:v>1.5410000000000001E-3</c:v>
                </c:pt>
                <c:pt idx="7">
                  <c:v>1.714E-3</c:v>
                </c:pt>
                <c:pt idx="8">
                  <c:v>1.8879999999999999E-3</c:v>
                </c:pt>
                <c:pt idx="9">
                  <c:v>2.0609999999999999E-3</c:v>
                </c:pt>
                <c:pt idx="10">
                  <c:v>2.235E-3</c:v>
                </c:pt>
                <c:pt idx="11">
                  <c:v>2.408E-3</c:v>
                </c:pt>
                <c:pt idx="12">
                  <c:v>2.5820000000000001E-3</c:v>
                </c:pt>
                <c:pt idx="13">
                  <c:v>2.7550000000000001E-3</c:v>
                </c:pt>
                <c:pt idx="14">
                  <c:v>2.9290000000000002E-3</c:v>
                </c:pt>
                <c:pt idx="15">
                  <c:v>3.1020000000000002E-3</c:v>
                </c:pt>
                <c:pt idx="16">
                  <c:v>3.2759999999999998E-3</c:v>
                </c:pt>
                <c:pt idx="17">
                  <c:v>3.4489999999999998E-3</c:v>
                </c:pt>
                <c:pt idx="18">
                  <c:v>3.6219999999999998E-3</c:v>
                </c:pt>
                <c:pt idx="19">
                  <c:v>3.7959999999999999E-3</c:v>
                </c:pt>
                <c:pt idx="20">
                  <c:v>3.9690000000000003E-3</c:v>
                </c:pt>
                <c:pt idx="21">
                  <c:v>4.143E-3</c:v>
                </c:pt>
                <c:pt idx="22">
                  <c:v>4.3160000000000004E-3</c:v>
                </c:pt>
                <c:pt idx="23">
                  <c:v>4.4900000000000001E-3</c:v>
                </c:pt>
                <c:pt idx="24">
                  <c:v>4.6629999999999996E-3</c:v>
                </c:pt>
                <c:pt idx="25">
                  <c:v>4.8370000000000002E-3</c:v>
                </c:pt>
                <c:pt idx="26">
                  <c:v>5.0099999999999997E-3</c:v>
                </c:pt>
                <c:pt idx="27">
                  <c:v>5.1840000000000002E-3</c:v>
                </c:pt>
                <c:pt idx="28">
                  <c:v>5.3569999999999998E-3</c:v>
                </c:pt>
                <c:pt idx="29">
                  <c:v>5.5310000000000003E-3</c:v>
                </c:pt>
                <c:pt idx="30">
                  <c:v>5.7039999999999999E-3</c:v>
                </c:pt>
                <c:pt idx="31">
                  <c:v>5.8780000000000004E-3</c:v>
                </c:pt>
                <c:pt idx="32">
                  <c:v>6.051E-3</c:v>
                </c:pt>
                <c:pt idx="33">
                  <c:v>6.2240000000000004E-3</c:v>
                </c:pt>
                <c:pt idx="34">
                  <c:v>6.398E-3</c:v>
                </c:pt>
                <c:pt idx="35">
                  <c:v>6.5709999999999996E-3</c:v>
                </c:pt>
                <c:pt idx="36">
                  <c:v>6.7450000000000001E-3</c:v>
                </c:pt>
                <c:pt idx="37">
                  <c:v>6.9179999999999997E-3</c:v>
                </c:pt>
                <c:pt idx="38">
                  <c:v>7.0920000000000002E-3</c:v>
                </c:pt>
                <c:pt idx="39">
                  <c:v>7.2649999999999998E-3</c:v>
                </c:pt>
                <c:pt idx="40">
                  <c:v>7.4390000000000003E-3</c:v>
                </c:pt>
                <c:pt idx="41">
                  <c:v>7.6119999999999998E-3</c:v>
                </c:pt>
                <c:pt idx="42">
                  <c:v>7.7860000000000004E-3</c:v>
                </c:pt>
                <c:pt idx="43">
                  <c:v>7.9590000000000008E-3</c:v>
                </c:pt>
                <c:pt idx="44">
                  <c:v>8.1329999999999996E-3</c:v>
                </c:pt>
                <c:pt idx="45">
                  <c:v>8.3059999999999991E-3</c:v>
                </c:pt>
              </c:numCache>
            </c:numRef>
          </c:cat>
          <c:val>
            <c:numRef>
              <c:f>'[30%conv,700C.CSV.xlsx]30%conv,700C'!$Z$2:$Z$47</c:f>
              <c:numCache>
                <c:formatCode>0.00E+00</c:formatCode>
                <c:ptCount val="46"/>
                <c:pt idx="0">
                  <c:v>2.1679999999999999E-22</c:v>
                </c:pt>
                <c:pt idx="1">
                  <c:v>2.444E-22</c:v>
                </c:pt>
                <c:pt idx="2">
                  <c:v>2.7510000000000001E-22</c:v>
                </c:pt>
                <c:pt idx="3">
                  <c:v>3.0920000000000001E-22</c:v>
                </c:pt>
                <c:pt idx="4">
                  <c:v>3.4710000000000001E-22</c:v>
                </c:pt>
                <c:pt idx="5">
                  <c:v>3.8899999999999998E-22</c:v>
                </c:pt>
                <c:pt idx="6">
                  <c:v>4.354E-22</c:v>
                </c:pt>
                <c:pt idx="7">
                  <c:v>4.8669999999999996E-22</c:v>
                </c:pt>
                <c:pt idx="8">
                  <c:v>5.4339999999999997E-22</c:v>
                </c:pt>
                <c:pt idx="9">
                  <c:v>6.0599999999999999E-22</c:v>
                </c:pt>
                <c:pt idx="10">
                  <c:v>6.7500000000000003E-22</c:v>
                </c:pt>
                <c:pt idx="11">
                  <c:v>7.5119999999999996E-22</c:v>
                </c:pt>
                <c:pt idx="12">
                  <c:v>8.35E-22</c:v>
                </c:pt>
                <c:pt idx="13">
                  <c:v>9.272E-22</c:v>
                </c:pt>
                <c:pt idx="14">
                  <c:v>1.0290000000000001E-21</c:v>
                </c:pt>
                <c:pt idx="15">
                  <c:v>1.1399999999999999E-21</c:v>
                </c:pt>
                <c:pt idx="16">
                  <c:v>1.263E-21</c:v>
                </c:pt>
                <c:pt idx="17">
                  <c:v>1.397E-21</c:v>
                </c:pt>
                <c:pt idx="18">
                  <c:v>1.545E-21</c:v>
                </c:pt>
                <c:pt idx="19">
                  <c:v>1.7070000000000001E-21</c:v>
                </c:pt>
                <c:pt idx="20">
                  <c:v>1.884E-21</c:v>
                </c:pt>
                <c:pt idx="21">
                  <c:v>2.0789999999999999E-21</c:v>
                </c:pt>
                <c:pt idx="22">
                  <c:v>2.2919999999999999E-21</c:v>
                </c:pt>
                <c:pt idx="23">
                  <c:v>2.5249999999999999E-21</c:v>
                </c:pt>
                <c:pt idx="24">
                  <c:v>2.781E-21</c:v>
                </c:pt>
                <c:pt idx="25">
                  <c:v>3.061E-21</c:v>
                </c:pt>
                <c:pt idx="26">
                  <c:v>3.3679999999999999E-21</c:v>
                </c:pt>
                <c:pt idx="27">
                  <c:v>3.7049999999999998E-21</c:v>
                </c:pt>
                <c:pt idx="28">
                  <c:v>4.0729999999999997E-21</c:v>
                </c:pt>
                <c:pt idx="29">
                  <c:v>4.4769999999999997E-21</c:v>
                </c:pt>
                <c:pt idx="30">
                  <c:v>4.921E-21</c:v>
                </c:pt>
                <c:pt idx="31">
                  <c:v>5.408E-21</c:v>
                </c:pt>
                <c:pt idx="32">
                  <c:v>5.943E-21</c:v>
                </c:pt>
                <c:pt idx="33">
                  <c:v>6.5329999999999997E-21</c:v>
                </c:pt>
                <c:pt idx="34">
                  <c:v>7.1840000000000003E-21</c:v>
                </c:pt>
                <c:pt idx="35">
                  <c:v>7.9040000000000007E-21</c:v>
                </c:pt>
                <c:pt idx="36">
                  <c:v>8.7020000000000001E-21</c:v>
                </c:pt>
                <c:pt idx="37">
                  <c:v>9.5889999999999998E-21</c:v>
                </c:pt>
                <c:pt idx="38">
                  <c:v>1.058E-20</c:v>
                </c:pt>
                <c:pt idx="39">
                  <c:v>1.169E-20</c:v>
                </c:pt>
                <c:pt idx="40">
                  <c:v>1.294E-20</c:v>
                </c:pt>
                <c:pt idx="41">
                  <c:v>1.436E-20</c:v>
                </c:pt>
                <c:pt idx="42">
                  <c:v>1.5970000000000001E-20</c:v>
                </c:pt>
                <c:pt idx="43">
                  <c:v>1.7819999999999999E-20</c:v>
                </c:pt>
                <c:pt idx="44">
                  <c:v>1.9959999999999999E-20</c:v>
                </c:pt>
                <c:pt idx="45">
                  <c:v>2.2449999999999999E-20</c:v>
                </c:pt>
              </c:numCache>
            </c:numRef>
          </c:val>
          <c:extLst>
            <c:ext xmlns:c16="http://schemas.microsoft.com/office/drawing/2014/chart" uri="{C3380CC4-5D6E-409C-BE32-E72D297353CC}">
              <c16:uniqueId val="{0000000A-0F6F-476E-BA91-C9E32E09677C}"/>
            </c:ext>
          </c:extLst>
        </c:ser>
        <c:ser>
          <c:idx val="12"/>
          <c:order val="11"/>
          <c:tx>
            <c:strRef>
              <c:f>'[30%conv,700C.CSV.xlsx]30%conv,700C'!$AA$1</c:f>
              <c:strCache>
                <c:ptCount val="1"/>
                <c:pt idx="0">
                  <c:v>11</c:v>
                </c:pt>
              </c:strCache>
            </c:strRef>
          </c:tx>
          <c:spPr>
            <a:ln w="9525" cap="rnd">
              <a:solidFill>
                <a:schemeClr val="accent1">
                  <a:lumMod val="80000"/>
                  <a:lumOff val="20000"/>
                </a:schemeClr>
              </a:solidFill>
              <a:round/>
            </a:ln>
            <a:effectLst/>
          </c:spPr>
          <c:cat>
            <c:numRef>
              <c:f>'[30%conv,700C.CSV.xlsx]30%conv,700C'!$A$2:$A$47</c:f>
              <c:numCache>
                <c:formatCode>General</c:formatCode>
                <c:ptCount val="46"/>
                <c:pt idx="0">
                  <c:v>5.0000000000000001E-4</c:v>
                </c:pt>
                <c:pt idx="1">
                  <c:v>6.7350000000000005E-4</c:v>
                </c:pt>
                <c:pt idx="2">
                  <c:v>8.4690000000000004E-4</c:v>
                </c:pt>
                <c:pt idx="3">
                  <c:v>1.0200000000000001E-3</c:v>
                </c:pt>
                <c:pt idx="4">
                  <c:v>1.194E-3</c:v>
                </c:pt>
                <c:pt idx="5">
                  <c:v>1.3669999999999999E-3</c:v>
                </c:pt>
                <c:pt idx="6">
                  <c:v>1.5410000000000001E-3</c:v>
                </c:pt>
                <c:pt idx="7">
                  <c:v>1.714E-3</c:v>
                </c:pt>
                <c:pt idx="8">
                  <c:v>1.8879999999999999E-3</c:v>
                </c:pt>
                <c:pt idx="9">
                  <c:v>2.0609999999999999E-3</c:v>
                </c:pt>
                <c:pt idx="10">
                  <c:v>2.235E-3</c:v>
                </c:pt>
                <c:pt idx="11">
                  <c:v>2.408E-3</c:v>
                </c:pt>
                <c:pt idx="12">
                  <c:v>2.5820000000000001E-3</c:v>
                </c:pt>
                <c:pt idx="13">
                  <c:v>2.7550000000000001E-3</c:v>
                </c:pt>
                <c:pt idx="14">
                  <c:v>2.9290000000000002E-3</c:v>
                </c:pt>
                <c:pt idx="15">
                  <c:v>3.1020000000000002E-3</c:v>
                </c:pt>
                <c:pt idx="16">
                  <c:v>3.2759999999999998E-3</c:v>
                </c:pt>
                <c:pt idx="17">
                  <c:v>3.4489999999999998E-3</c:v>
                </c:pt>
                <c:pt idx="18">
                  <c:v>3.6219999999999998E-3</c:v>
                </c:pt>
                <c:pt idx="19">
                  <c:v>3.7959999999999999E-3</c:v>
                </c:pt>
                <c:pt idx="20">
                  <c:v>3.9690000000000003E-3</c:v>
                </c:pt>
                <c:pt idx="21">
                  <c:v>4.143E-3</c:v>
                </c:pt>
                <c:pt idx="22">
                  <c:v>4.3160000000000004E-3</c:v>
                </c:pt>
                <c:pt idx="23">
                  <c:v>4.4900000000000001E-3</c:v>
                </c:pt>
                <c:pt idx="24">
                  <c:v>4.6629999999999996E-3</c:v>
                </c:pt>
                <c:pt idx="25">
                  <c:v>4.8370000000000002E-3</c:v>
                </c:pt>
                <c:pt idx="26">
                  <c:v>5.0099999999999997E-3</c:v>
                </c:pt>
                <c:pt idx="27">
                  <c:v>5.1840000000000002E-3</c:v>
                </c:pt>
                <c:pt idx="28">
                  <c:v>5.3569999999999998E-3</c:v>
                </c:pt>
                <c:pt idx="29">
                  <c:v>5.5310000000000003E-3</c:v>
                </c:pt>
                <c:pt idx="30">
                  <c:v>5.7039999999999999E-3</c:v>
                </c:pt>
                <c:pt idx="31">
                  <c:v>5.8780000000000004E-3</c:v>
                </c:pt>
                <c:pt idx="32">
                  <c:v>6.051E-3</c:v>
                </c:pt>
                <c:pt idx="33">
                  <c:v>6.2240000000000004E-3</c:v>
                </c:pt>
                <c:pt idx="34">
                  <c:v>6.398E-3</c:v>
                </c:pt>
                <c:pt idx="35">
                  <c:v>6.5709999999999996E-3</c:v>
                </c:pt>
                <c:pt idx="36">
                  <c:v>6.7450000000000001E-3</c:v>
                </c:pt>
                <c:pt idx="37">
                  <c:v>6.9179999999999997E-3</c:v>
                </c:pt>
                <c:pt idx="38">
                  <c:v>7.0920000000000002E-3</c:v>
                </c:pt>
                <c:pt idx="39">
                  <c:v>7.2649999999999998E-3</c:v>
                </c:pt>
                <c:pt idx="40">
                  <c:v>7.4390000000000003E-3</c:v>
                </c:pt>
                <c:pt idx="41">
                  <c:v>7.6119999999999998E-3</c:v>
                </c:pt>
                <c:pt idx="42">
                  <c:v>7.7860000000000004E-3</c:v>
                </c:pt>
                <c:pt idx="43">
                  <c:v>7.9590000000000008E-3</c:v>
                </c:pt>
                <c:pt idx="44">
                  <c:v>8.1329999999999996E-3</c:v>
                </c:pt>
                <c:pt idx="45">
                  <c:v>8.3059999999999991E-3</c:v>
                </c:pt>
              </c:numCache>
            </c:numRef>
          </c:cat>
          <c:val>
            <c:numRef>
              <c:f>'[30%conv,700C.CSV.xlsx]30%conv,700C'!$AA$2:$AA$47</c:f>
              <c:numCache>
                <c:formatCode>0.00E+00</c:formatCode>
                <c:ptCount val="46"/>
                <c:pt idx="0">
                  <c:v>7.9750000000000004E-25</c:v>
                </c:pt>
                <c:pt idx="1">
                  <c:v>9.0420000000000001E-25</c:v>
                </c:pt>
                <c:pt idx="2">
                  <c:v>1.023E-24</c:v>
                </c:pt>
                <c:pt idx="3">
                  <c:v>1.156E-24</c:v>
                </c:pt>
                <c:pt idx="4">
                  <c:v>1.305E-24</c:v>
                </c:pt>
                <c:pt idx="5">
                  <c:v>1.4700000000000001E-24</c:v>
                </c:pt>
                <c:pt idx="6">
                  <c:v>1.6529999999999999E-24</c:v>
                </c:pt>
                <c:pt idx="7">
                  <c:v>1.8579999999999999E-24</c:v>
                </c:pt>
                <c:pt idx="8">
                  <c:v>2.0850000000000002E-24</c:v>
                </c:pt>
                <c:pt idx="9">
                  <c:v>2.336E-24</c:v>
                </c:pt>
                <c:pt idx="10">
                  <c:v>2.6150000000000001E-24</c:v>
                </c:pt>
                <c:pt idx="11">
                  <c:v>2.925E-24</c:v>
                </c:pt>
                <c:pt idx="12">
                  <c:v>3.2670000000000001E-24</c:v>
                </c:pt>
                <c:pt idx="13">
                  <c:v>3.6460000000000003E-24</c:v>
                </c:pt>
                <c:pt idx="14">
                  <c:v>4.0649999999999997E-24</c:v>
                </c:pt>
                <c:pt idx="15">
                  <c:v>4.5279999999999997E-24</c:v>
                </c:pt>
                <c:pt idx="16">
                  <c:v>5.0390000000000002E-24</c:v>
                </c:pt>
                <c:pt idx="17">
                  <c:v>5.6030000000000001E-24</c:v>
                </c:pt>
                <c:pt idx="18">
                  <c:v>6.2250000000000002E-24</c:v>
                </c:pt>
                <c:pt idx="19">
                  <c:v>6.9119999999999995E-24</c:v>
                </c:pt>
                <c:pt idx="20">
                  <c:v>7.6679999999999996E-24</c:v>
                </c:pt>
                <c:pt idx="21">
                  <c:v>8.5020000000000005E-24</c:v>
                </c:pt>
                <c:pt idx="22">
                  <c:v>9.4200000000000005E-24</c:v>
                </c:pt>
                <c:pt idx="23">
                  <c:v>1.0429999999999999E-23</c:v>
                </c:pt>
                <c:pt idx="24">
                  <c:v>1.1550000000000001E-23</c:v>
                </c:pt>
                <c:pt idx="25">
                  <c:v>1.2769999999999999E-23</c:v>
                </c:pt>
                <c:pt idx="26">
                  <c:v>1.412E-23</c:v>
                </c:pt>
                <c:pt idx="27">
                  <c:v>1.5609999999999999E-23</c:v>
                </c:pt>
                <c:pt idx="28">
                  <c:v>1.726E-23</c:v>
                </c:pt>
                <c:pt idx="29">
                  <c:v>1.9069999999999999E-23</c:v>
                </c:pt>
                <c:pt idx="30">
                  <c:v>2.1069999999999999E-23</c:v>
                </c:pt>
                <c:pt idx="31">
                  <c:v>2.3279999999999999E-23</c:v>
                </c:pt>
                <c:pt idx="32">
                  <c:v>2.5719999999999999E-23</c:v>
                </c:pt>
                <c:pt idx="33">
                  <c:v>2.8429999999999998E-23</c:v>
                </c:pt>
                <c:pt idx="34">
                  <c:v>3.1440000000000002E-23</c:v>
                </c:pt>
                <c:pt idx="35">
                  <c:v>3.4790000000000003E-23</c:v>
                </c:pt>
                <c:pt idx="36">
                  <c:v>3.8529999999999997E-23</c:v>
                </c:pt>
                <c:pt idx="37">
                  <c:v>4.2720000000000002E-23</c:v>
                </c:pt>
                <c:pt idx="38">
                  <c:v>4.7430000000000002E-23</c:v>
                </c:pt>
                <c:pt idx="39">
                  <c:v>5.2760000000000002E-23</c:v>
                </c:pt>
                <c:pt idx="40">
                  <c:v>5.8810000000000003E-23</c:v>
                </c:pt>
                <c:pt idx="41">
                  <c:v>6.5729999999999996E-23</c:v>
                </c:pt>
                <c:pt idx="42">
                  <c:v>7.3679999999999994E-23</c:v>
                </c:pt>
                <c:pt idx="43">
                  <c:v>8.2889999999999996E-23</c:v>
                </c:pt>
                <c:pt idx="44">
                  <c:v>9.3639999999999995E-23</c:v>
                </c:pt>
                <c:pt idx="45">
                  <c:v>1.063E-22</c:v>
                </c:pt>
              </c:numCache>
            </c:numRef>
          </c:val>
          <c:extLst>
            <c:ext xmlns:c16="http://schemas.microsoft.com/office/drawing/2014/chart" uri="{C3380CC4-5D6E-409C-BE32-E72D297353CC}">
              <c16:uniqueId val="{0000000B-0F6F-476E-BA91-C9E32E09677C}"/>
            </c:ext>
          </c:extLst>
        </c:ser>
        <c:ser>
          <c:idx val="13"/>
          <c:order val="12"/>
          <c:tx>
            <c:strRef>
              <c:f>'[30%conv,700C.CSV.xlsx]30%conv,700C'!$AB$1</c:f>
              <c:strCache>
                <c:ptCount val="1"/>
                <c:pt idx="0">
                  <c:v>12</c:v>
                </c:pt>
              </c:strCache>
            </c:strRef>
          </c:tx>
          <c:spPr>
            <a:ln w="9525" cap="rnd">
              <a:solidFill>
                <a:schemeClr val="accent2">
                  <a:lumMod val="80000"/>
                  <a:lumOff val="20000"/>
                </a:schemeClr>
              </a:solidFill>
              <a:round/>
            </a:ln>
            <a:effectLst/>
          </c:spPr>
          <c:cat>
            <c:numRef>
              <c:f>'[30%conv,700C.CSV.xlsx]30%conv,700C'!$A$2:$A$47</c:f>
              <c:numCache>
                <c:formatCode>General</c:formatCode>
                <c:ptCount val="46"/>
                <c:pt idx="0">
                  <c:v>5.0000000000000001E-4</c:v>
                </c:pt>
                <c:pt idx="1">
                  <c:v>6.7350000000000005E-4</c:v>
                </c:pt>
                <c:pt idx="2">
                  <c:v>8.4690000000000004E-4</c:v>
                </c:pt>
                <c:pt idx="3">
                  <c:v>1.0200000000000001E-3</c:v>
                </c:pt>
                <c:pt idx="4">
                  <c:v>1.194E-3</c:v>
                </c:pt>
                <c:pt idx="5">
                  <c:v>1.3669999999999999E-3</c:v>
                </c:pt>
                <c:pt idx="6">
                  <c:v>1.5410000000000001E-3</c:v>
                </c:pt>
                <c:pt idx="7">
                  <c:v>1.714E-3</c:v>
                </c:pt>
                <c:pt idx="8">
                  <c:v>1.8879999999999999E-3</c:v>
                </c:pt>
                <c:pt idx="9">
                  <c:v>2.0609999999999999E-3</c:v>
                </c:pt>
                <c:pt idx="10">
                  <c:v>2.235E-3</c:v>
                </c:pt>
                <c:pt idx="11">
                  <c:v>2.408E-3</c:v>
                </c:pt>
                <c:pt idx="12">
                  <c:v>2.5820000000000001E-3</c:v>
                </c:pt>
                <c:pt idx="13">
                  <c:v>2.7550000000000001E-3</c:v>
                </c:pt>
                <c:pt idx="14">
                  <c:v>2.9290000000000002E-3</c:v>
                </c:pt>
                <c:pt idx="15">
                  <c:v>3.1020000000000002E-3</c:v>
                </c:pt>
                <c:pt idx="16">
                  <c:v>3.2759999999999998E-3</c:v>
                </c:pt>
                <c:pt idx="17">
                  <c:v>3.4489999999999998E-3</c:v>
                </c:pt>
                <c:pt idx="18">
                  <c:v>3.6219999999999998E-3</c:v>
                </c:pt>
                <c:pt idx="19">
                  <c:v>3.7959999999999999E-3</c:v>
                </c:pt>
                <c:pt idx="20">
                  <c:v>3.9690000000000003E-3</c:v>
                </c:pt>
                <c:pt idx="21">
                  <c:v>4.143E-3</c:v>
                </c:pt>
                <c:pt idx="22">
                  <c:v>4.3160000000000004E-3</c:v>
                </c:pt>
                <c:pt idx="23">
                  <c:v>4.4900000000000001E-3</c:v>
                </c:pt>
                <c:pt idx="24">
                  <c:v>4.6629999999999996E-3</c:v>
                </c:pt>
                <c:pt idx="25">
                  <c:v>4.8370000000000002E-3</c:v>
                </c:pt>
                <c:pt idx="26">
                  <c:v>5.0099999999999997E-3</c:v>
                </c:pt>
                <c:pt idx="27">
                  <c:v>5.1840000000000002E-3</c:v>
                </c:pt>
                <c:pt idx="28">
                  <c:v>5.3569999999999998E-3</c:v>
                </c:pt>
                <c:pt idx="29">
                  <c:v>5.5310000000000003E-3</c:v>
                </c:pt>
                <c:pt idx="30">
                  <c:v>5.7039999999999999E-3</c:v>
                </c:pt>
                <c:pt idx="31">
                  <c:v>5.8780000000000004E-3</c:v>
                </c:pt>
                <c:pt idx="32">
                  <c:v>6.051E-3</c:v>
                </c:pt>
                <c:pt idx="33">
                  <c:v>6.2240000000000004E-3</c:v>
                </c:pt>
                <c:pt idx="34">
                  <c:v>6.398E-3</c:v>
                </c:pt>
                <c:pt idx="35">
                  <c:v>6.5709999999999996E-3</c:v>
                </c:pt>
                <c:pt idx="36">
                  <c:v>6.7450000000000001E-3</c:v>
                </c:pt>
                <c:pt idx="37">
                  <c:v>6.9179999999999997E-3</c:v>
                </c:pt>
                <c:pt idx="38">
                  <c:v>7.0920000000000002E-3</c:v>
                </c:pt>
                <c:pt idx="39">
                  <c:v>7.2649999999999998E-3</c:v>
                </c:pt>
                <c:pt idx="40">
                  <c:v>7.4390000000000003E-3</c:v>
                </c:pt>
                <c:pt idx="41">
                  <c:v>7.6119999999999998E-3</c:v>
                </c:pt>
                <c:pt idx="42">
                  <c:v>7.7860000000000004E-3</c:v>
                </c:pt>
                <c:pt idx="43">
                  <c:v>7.9590000000000008E-3</c:v>
                </c:pt>
                <c:pt idx="44">
                  <c:v>8.1329999999999996E-3</c:v>
                </c:pt>
                <c:pt idx="45">
                  <c:v>8.3059999999999991E-3</c:v>
                </c:pt>
              </c:numCache>
            </c:numRef>
          </c:cat>
          <c:val>
            <c:numRef>
              <c:f>'[30%conv,700C.CSV.xlsx]30%conv,700C'!$AB$2:$AB$47</c:f>
              <c:numCache>
                <c:formatCode>0.00E+00</c:formatCode>
                <c:ptCount val="46"/>
                <c:pt idx="0">
                  <c:v>2.763E-27</c:v>
                </c:pt>
                <c:pt idx="1">
                  <c:v>3.15E-27</c:v>
                </c:pt>
                <c:pt idx="2">
                  <c:v>3.5780000000000003E-27</c:v>
                </c:pt>
                <c:pt idx="3">
                  <c:v>4.0509999999999999E-27</c:v>
                </c:pt>
                <c:pt idx="4">
                  <c:v>4.599E-27</c:v>
                </c:pt>
                <c:pt idx="5">
                  <c:v>5.2109999999999998E-27</c:v>
                </c:pt>
                <c:pt idx="6">
                  <c:v>5.8840000000000002E-27</c:v>
                </c:pt>
                <c:pt idx="7">
                  <c:v>6.6340000000000003E-27</c:v>
                </c:pt>
                <c:pt idx="8">
                  <c:v>7.4809999999999997E-27</c:v>
                </c:pt>
                <c:pt idx="9">
                  <c:v>8.4109999999999993E-27</c:v>
                </c:pt>
                <c:pt idx="10">
                  <c:v>9.4549999999999999E-27</c:v>
                </c:pt>
                <c:pt idx="11">
                  <c:v>1.0620000000000001E-26</c:v>
                </c:pt>
                <c:pt idx="12">
                  <c:v>1.1899999999999999E-26</c:v>
                </c:pt>
                <c:pt idx="13">
                  <c:v>1.3340000000000001E-26</c:v>
                </c:pt>
                <c:pt idx="14">
                  <c:v>1.493E-26</c:v>
                </c:pt>
                <c:pt idx="15">
                  <c:v>1.6699999999999999E-26</c:v>
                </c:pt>
                <c:pt idx="16">
                  <c:v>1.8649999999999999E-26</c:v>
                </c:pt>
                <c:pt idx="17">
                  <c:v>2.0819999999999999E-26</c:v>
                </c:pt>
                <c:pt idx="18">
                  <c:v>2.323E-26</c:v>
                </c:pt>
                <c:pt idx="19">
                  <c:v>2.5890000000000002E-26</c:v>
                </c:pt>
                <c:pt idx="20">
                  <c:v>2.884E-26</c:v>
                </c:pt>
                <c:pt idx="21">
                  <c:v>3.211E-26</c:v>
                </c:pt>
                <c:pt idx="22">
                  <c:v>3.572E-26</c:v>
                </c:pt>
                <c:pt idx="23">
                  <c:v>3.9710000000000001E-26</c:v>
                </c:pt>
                <c:pt idx="24">
                  <c:v>4.4140000000000002E-26</c:v>
                </c:pt>
                <c:pt idx="25">
                  <c:v>4.9030000000000001E-26</c:v>
                </c:pt>
                <c:pt idx="26">
                  <c:v>5.4440000000000002E-26</c:v>
                </c:pt>
                <c:pt idx="27">
                  <c:v>6.0430000000000003E-26</c:v>
                </c:pt>
                <c:pt idx="28">
                  <c:v>6.7079999999999996E-26</c:v>
                </c:pt>
                <c:pt idx="29">
                  <c:v>7.4440000000000003E-26</c:v>
                </c:pt>
                <c:pt idx="30">
                  <c:v>8.2620000000000005E-26</c:v>
                </c:pt>
                <c:pt idx="31">
                  <c:v>9.169E-26</c:v>
                </c:pt>
                <c:pt idx="32">
                  <c:v>1.018E-25</c:v>
                </c:pt>
                <c:pt idx="33">
                  <c:v>1.13E-25</c:v>
                </c:pt>
                <c:pt idx="34">
                  <c:v>1.2559999999999999E-25</c:v>
                </c:pt>
                <c:pt idx="35">
                  <c:v>1.3969999999999999E-25</c:v>
                </c:pt>
                <c:pt idx="36">
                  <c:v>1.555E-25</c:v>
                </c:pt>
                <c:pt idx="37">
                  <c:v>1.7329999999999999E-25</c:v>
                </c:pt>
                <c:pt idx="38">
                  <c:v>1.935E-25</c:v>
                </c:pt>
                <c:pt idx="39">
                  <c:v>2.1649999999999998E-25</c:v>
                </c:pt>
                <c:pt idx="40">
                  <c:v>2.428E-25</c:v>
                </c:pt>
                <c:pt idx="41">
                  <c:v>2.7320000000000001E-25</c:v>
                </c:pt>
                <c:pt idx="42">
                  <c:v>3.083E-25</c:v>
                </c:pt>
                <c:pt idx="43">
                  <c:v>3.4950000000000002E-25</c:v>
                </c:pt>
                <c:pt idx="44">
                  <c:v>3.9790000000000002E-25</c:v>
                </c:pt>
                <c:pt idx="45">
                  <c:v>4.556E-25</c:v>
                </c:pt>
              </c:numCache>
            </c:numRef>
          </c:val>
          <c:extLst>
            <c:ext xmlns:c16="http://schemas.microsoft.com/office/drawing/2014/chart" uri="{C3380CC4-5D6E-409C-BE32-E72D297353CC}">
              <c16:uniqueId val="{0000000C-0F6F-476E-BA91-C9E32E09677C}"/>
            </c:ext>
          </c:extLst>
        </c:ser>
        <c:ser>
          <c:idx val="14"/>
          <c:order val="13"/>
          <c:tx>
            <c:strRef>
              <c:f>'[30%conv,700C.CSV.xlsx]30%conv,700C'!$AC$1</c:f>
              <c:strCache>
                <c:ptCount val="1"/>
                <c:pt idx="0">
                  <c:v>13</c:v>
                </c:pt>
              </c:strCache>
            </c:strRef>
          </c:tx>
          <c:spPr>
            <a:ln w="9525" cap="rnd">
              <a:solidFill>
                <a:schemeClr val="accent3">
                  <a:lumMod val="80000"/>
                  <a:lumOff val="20000"/>
                </a:schemeClr>
              </a:solidFill>
              <a:round/>
            </a:ln>
            <a:effectLst/>
          </c:spPr>
          <c:cat>
            <c:numRef>
              <c:f>'[30%conv,700C.CSV.xlsx]30%conv,700C'!$A$2:$A$47</c:f>
              <c:numCache>
                <c:formatCode>General</c:formatCode>
                <c:ptCount val="46"/>
                <c:pt idx="0">
                  <c:v>5.0000000000000001E-4</c:v>
                </c:pt>
                <c:pt idx="1">
                  <c:v>6.7350000000000005E-4</c:v>
                </c:pt>
                <c:pt idx="2">
                  <c:v>8.4690000000000004E-4</c:v>
                </c:pt>
                <c:pt idx="3">
                  <c:v>1.0200000000000001E-3</c:v>
                </c:pt>
                <c:pt idx="4">
                  <c:v>1.194E-3</c:v>
                </c:pt>
                <c:pt idx="5">
                  <c:v>1.3669999999999999E-3</c:v>
                </c:pt>
                <c:pt idx="6">
                  <c:v>1.5410000000000001E-3</c:v>
                </c:pt>
                <c:pt idx="7">
                  <c:v>1.714E-3</c:v>
                </c:pt>
                <c:pt idx="8">
                  <c:v>1.8879999999999999E-3</c:v>
                </c:pt>
                <c:pt idx="9">
                  <c:v>2.0609999999999999E-3</c:v>
                </c:pt>
                <c:pt idx="10">
                  <c:v>2.235E-3</c:v>
                </c:pt>
                <c:pt idx="11">
                  <c:v>2.408E-3</c:v>
                </c:pt>
                <c:pt idx="12">
                  <c:v>2.5820000000000001E-3</c:v>
                </c:pt>
                <c:pt idx="13">
                  <c:v>2.7550000000000001E-3</c:v>
                </c:pt>
                <c:pt idx="14">
                  <c:v>2.9290000000000002E-3</c:v>
                </c:pt>
                <c:pt idx="15">
                  <c:v>3.1020000000000002E-3</c:v>
                </c:pt>
                <c:pt idx="16">
                  <c:v>3.2759999999999998E-3</c:v>
                </c:pt>
                <c:pt idx="17">
                  <c:v>3.4489999999999998E-3</c:v>
                </c:pt>
                <c:pt idx="18">
                  <c:v>3.6219999999999998E-3</c:v>
                </c:pt>
                <c:pt idx="19">
                  <c:v>3.7959999999999999E-3</c:v>
                </c:pt>
                <c:pt idx="20">
                  <c:v>3.9690000000000003E-3</c:v>
                </c:pt>
                <c:pt idx="21">
                  <c:v>4.143E-3</c:v>
                </c:pt>
                <c:pt idx="22">
                  <c:v>4.3160000000000004E-3</c:v>
                </c:pt>
                <c:pt idx="23">
                  <c:v>4.4900000000000001E-3</c:v>
                </c:pt>
                <c:pt idx="24">
                  <c:v>4.6629999999999996E-3</c:v>
                </c:pt>
                <c:pt idx="25">
                  <c:v>4.8370000000000002E-3</c:v>
                </c:pt>
                <c:pt idx="26">
                  <c:v>5.0099999999999997E-3</c:v>
                </c:pt>
                <c:pt idx="27">
                  <c:v>5.1840000000000002E-3</c:v>
                </c:pt>
                <c:pt idx="28">
                  <c:v>5.3569999999999998E-3</c:v>
                </c:pt>
                <c:pt idx="29">
                  <c:v>5.5310000000000003E-3</c:v>
                </c:pt>
                <c:pt idx="30">
                  <c:v>5.7039999999999999E-3</c:v>
                </c:pt>
                <c:pt idx="31">
                  <c:v>5.8780000000000004E-3</c:v>
                </c:pt>
                <c:pt idx="32">
                  <c:v>6.051E-3</c:v>
                </c:pt>
                <c:pt idx="33">
                  <c:v>6.2240000000000004E-3</c:v>
                </c:pt>
                <c:pt idx="34">
                  <c:v>6.398E-3</c:v>
                </c:pt>
                <c:pt idx="35">
                  <c:v>6.5709999999999996E-3</c:v>
                </c:pt>
                <c:pt idx="36">
                  <c:v>6.7450000000000001E-3</c:v>
                </c:pt>
                <c:pt idx="37">
                  <c:v>6.9179999999999997E-3</c:v>
                </c:pt>
                <c:pt idx="38">
                  <c:v>7.0920000000000002E-3</c:v>
                </c:pt>
                <c:pt idx="39">
                  <c:v>7.2649999999999998E-3</c:v>
                </c:pt>
                <c:pt idx="40">
                  <c:v>7.4390000000000003E-3</c:v>
                </c:pt>
                <c:pt idx="41">
                  <c:v>7.6119999999999998E-3</c:v>
                </c:pt>
                <c:pt idx="42">
                  <c:v>7.7860000000000004E-3</c:v>
                </c:pt>
                <c:pt idx="43">
                  <c:v>7.9590000000000008E-3</c:v>
                </c:pt>
                <c:pt idx="44">
                  <c:v>8.1329999999999996E-3</c:v>
                </c:pt>
                <c:pt idx="45">
                  <c:v>8.3059999999999991E-3</c:v>
                </c:pt>
              </c:numCache>
            </c:numRef>
          </c:cat>
          <c:val>
            <c:numRef>
              <c:f>'[30%conv,700C.CSV.xlsx]30%conv,700C'!$AC$2:$AC$47</c:f>
              <c:numCache>
                <c:formatCode>0.00E+00</c:formatCode>
                <c:ptCount val="46"/>
                <c:pt idx="0">
                  <c:v>9.0679999999999999E-30</c:v>
                </c:pt>
                <c:pt idx="1">
                  <c:v>1.038E-29</c:v>
                </c:pt>
                <c:pt idx="2">
                  <c:v>1.183E-29</c:v>
                </c:pt>
                <c:pt idx="3">
                  <c:v>1.346E-29</c:v>
                </c:pt>
                <c:pt idx="4">
                  <c:v>1.5329999999999999E-29</c:v>
                </c:pt>
                <c:pt idx="5">
                  <c:v>1.7419999999999999E-29</c:v>
                </c:pt>
                <c:pt idx="6">
                  <c:v>1.9719999999999999E-29</c:v>
                </c:pt>
                <c:pt idx="7">
                  <c:v>2.2309999999999999E-29</c:v>
                </c:pt>
                <c:pt idx="8">
                  <c:v>2.523E-29</c:v>
                </c:pt>
                <c:pt idx="9">
                  <c:v>2.8470000000000002E-29</c:v>
                </c:pt>
                <c:pt idx="10">
                  <c:v>3.2109999999999997E-29</c:v>
                </c:pt>
                <c:pt idx="11">
                  <c:v>3.6149999999999999E-29</c:v>
                </c:pt>
                <c:pt idx="12">
                  <c:v>4.0659999999999999E-29</c:v>
                </c:pt>
                <c:pt idx="13">
                  <c:v>4.5689999999999998E-29</c:v>
                </c:pt>
                <c:pt idx="14">
                  <c:v>5.1309999999999999E-29</c:v>
                </c:pt>
                <c:pt idx="15">
                  <c:v>5.7560000000000004E-29</c:v>
                </c:pt>
                <c:pt idx="16">
                  <c:v>6.4490000000000005E-29</c:v>
                </c:pt>
                <c:pt idx="17">
                  <c:v>7.2219999999999995E-29</c:v>
                </c:pt>
                <c:pt idx="18">
                  <c:v>8.0799999999999996E-29</c:v>
                </c:pt>
                <c:pt idx="19">
                  <c:v>9.034E-29</c:v>
                </c:pt>
                <c:pt idx="20">
                  <c:v>1.0090000000000001E-28</c:v>
                </c:pt>
                <c:pt idx="21">
                  <c:v>1.1269999999999999E-28</c:v>
                </c:pt>
                <c:pt idx="22">
                  <c:v>1.258E-28</c:v>
                </c:pt>
                <c:pt idx="23">
                  <c:v>1.403E-28</c:v>
                </c:pt>
                <c:pt idx="24">
                  <c:v>1.564E-28</c:v>
                </c:pt>
                <c:pt idx="25">
                  <c:v>1.7429999999999999E-28</c:v>
                </c:pt>
                <c:pt idx="26">
                  <c:v>1.942E-28</c:v>
                </c:pt>
                <c:pt idx="27">
                  <c:v>2.1630000000000001E-28</c:v>
                </c:pt>
                <c:pt idx="28">
                  <c:v>2.4089999999999999E-28</c:v>
                </c:pt>
                <c:pt idx="29">
                  <c:v>2.6819999999999999E-28</c:v>
                </c:pt>
                <c:pt idx="30">
                  <c:v>2.9869999999999999E-28</c:v>
                </c:pt>
                <c:pt idx="31">
                  <c:v>3.3269999999999999E-28</c:v>
                </c:pt>
                <c:pt idx="32">
                  <c:v>3.708E-28</c:v>
                </c:pt>
                <c:pt idx="33">
                  <c:v>4.1329999999999998E-28</c:v>
                </c:pt>
                <c:pt idx="34">
                  <c:v>4.6109999999999999E-28</c:v>
                </c:pt>
                <c:pt idx="35">
                  <c:v>5.1490000000000001E-28</c:v>
                </c:pt>
                <c:pt idx="36">
                  <c:v>5.7559999999999997E-28</c:v>
                </c:pt>
                <c:pt idx="37">
                  <c:v>6.4449999999999997E-28</c:v>
                </c:pt>
                <c:pt idx="38">
                  <c:v>7.2299999999999998E-28</c:v>
                </c:pt>
                <c:pt idx="39">
                  <c:v>8.1299999999999997E-28</c:v>
                </c:pt>
                <c:pt idx="40">
                  <c:v>9.1670000000000008E-28</c:v>
                </c:pt>
                <c:pt idx="41">
                  <c:v>1.037E-27</c:v>
                </c:pt>
                <c:pt idx="42">
                  <c:v>1.1780000000000001E-27</c:v>
                </c:pt>
                <c:pt idx="43">
                  <c:v>1.3439999999999999E-27</c:v>
                </c:pt>
                <c:pt idx="44">
                  <c:v>1.542E-27</c:v>
                </c:pt>
                <c:pt idx="45">
                  <c:v>1.7789999999999999E-27</c:v>
                </c:pt>
              </c:numCache>
            </c:numRef>
          </c:val>
          <c:extLst>
            <c:ext xmlns:c16="http://schemas.microsoft.com/office/drawing/2014/chart" uri="{C3380CC4-5D6E-409C-BE32-E72D297353CC}">
              <c16:uniqueId val="{0000000D-0F6F-476E-BA91-C9E32E09677C}"/>
            </c:ext>
          </c:extLst>
        </c:ser>
        <c:ser>
          <c:idx val="15"/>
          <c:order val="14"/>
          <c:tx>
            <c:strRef>
              <c:f>'[30%conv,700C.CSV.xlsx]30%conv,700C'!$AD$1</c:f>
              <c:strCache>
                <c:ptCount val="1"/>
                <c:pt idx="0">
                  <c:v>14</c:v>
                </c:pt>
              </c:strCache>
            </c:strRef>
          </c:tx>
          <c:spPr>
            <a:ln w="9525" cap="rnd">
              <a:solidFill>
                <a:schemeClr val="accent4">
                  <a:lumMod val="80000"/>
                  <a:lumOff val="20000"/>
                </a:schemeClr>
              </a:solidFill>
              <a:round/>
            </a:ln>
            <a:effectLst/>
          </c:spPr>
          <c:cat>
            <c:numRef>
              <c:f>'[30%conv,700C.CSV.xlsx]30%conv,700C'!$A$2:$A$47</c:f>
              <c:numCache>
                <c:formatCode>General</c:formatCode>
                <c:ptCount val="46"/>
                <c:pt idx="0">
                  <c:v>5.0000000000000001E-4</c:v>
                </c:pt>
                <c:pt idx="1">
                  <c:v>6.7350000000000005E-4</c:v>
                </c:pt>
                <c:pt idx="2">
                  <c:v>8.4690000000000004E-4</c:v>
                </c:pt>
                <c:pt idx="3">
                  <c:v>1.0200000000000001E-3</c:v>
                </c:pt>
                <c:pt idx="4">
                  <c:v>1.194E-3</c:v>
                </c:pt>
                <c:pt idx="5">
                  <c:v>1.3669999999999999E-3</c:v>
                </c:pt>
                <c:pt idx="6">
                  <c:v>1.5410000000000001E-3</c:v>
                </c:pt>
                <c:pt idx="7">
                  <c:v>1.714E-3</c:v>
                </c:pt>
                <c:pt idx="8">
                  <c:v>1.8879999999999999E-3</c:v>
                </c:pt>
                <c:pt idx="9">
                  <c:v>2.0609999999999999E-3</c:v>
                </c:pt>
                <c:pt idx="10">
                  <c:v>2.235E-3</c:v>
                </c:pt>
                <c:pt idx="11">
                  <c:v>2.408E-3</c:v>
                </c:pt>
                <c:pt idx="12">
                  <c:v>2.5820000000000001E-3</c:v>
                </c:pt>
                <c:pt idx="13">
                  <c:v>2.7550000000000001E-3</c:v>
                </c:pt>
                <c:pt idx="14">
                  <c:v>2.9290000000000002E-3</c:v>
                </c:pt>
                <c:pt idx="15">
                  <c:v>3.1020000000000002E-3</c:v>
                </c:pt>
                <c:pt idx="16">
                  <c:v>3.2759999999999998E-3</c:v>
                </c:pt>
                <c:pt idx="17">
                  <c:v>3.4489999999999998E-3</c:v>
                </c:pt>
                <c:pt idx="18">
                  <c:v>3.6219999999999998E-3</c:v>
                </c:pt>
                <c:pt idx="19">
                  <c:v>3.7959999999999999E-3</c:v>
                </c:pt>
                <c:pt idx="20">
                  <c:v>3.9690000000000003E-3</c:v>
                </c:pt>
                <c:pt idx="21">
                  <c:v>4.143E-3</c:v>
                </c:pt>
                <c:pt idx="22">
                  <c:v>4.3160000000000004E-3</c:v>
                </c:pt>
                <c:pt idx="23">
                  <c:v>4.4900000000000001E-3</c:v>
                </c:pt>
                <c:pt idx="24">
                  <c:v>4.6629999999999996E-3</c:v>
                </c:pt>
                <c:pt idx="25">
                  <c:v>4.8370000000000002E-3</c:v>
                </c:pt>
                <c:pt idx="26">
                  <c:v>5.0099999999999997E-3</c:v>
                </c:pt>
                <c:pt idx="27">
                  <c:v>5.1840000000000002E-3</c:v>
                </c:pt>
                <c:pt idx="28">
                  <c:v>5.3569999999999998E-3</c:v>
                </c:pt>
                <c:pt idx="29">
                  <c:v>5.5310000000000003E-3</c:v>
                </c:pt>
                <c:pt idx="30">
                  <c:v>5.7039999999999999E-3</c:v>
                </c:pt>
                <c:pt idx="31">
                  <c:v>5.8780000000000004E-3</c:v>
                </c:pt>
                <c:pt idx="32">
                  <c:v>6.051E-3</c:v>
                </c:pt>
                <c:pt idx="33">
                  <c:v>6.2240000000000004E-3</c:v>
                </c:pt>
                <c:pt idx="34">
                  <c:v>6.398E-3</c:v>
                </c:pt>
                <c:pt idx="35">
                  <c:v>6.5709999999999996E-3</c:v>
                </c:pt>
                <c:pt idx="36">
                  <c:v>6.7450000000000001E-3</c:v>
                </c:pt>
                <c:pt idx="37">
                  <c:v>6.9179999999999997E-3</c:v>
                </c:pt>
                <c:pt idx="38">
                  <c:v>7.0920000000000002E-3</c:v>
                </c:pt>
                <c:pt idx="39">
                  <c:v>7.2649999999999998E-3</c:v>
                </c:pt>
                <c:pt idx="40">
                  <c:v>7.4390000000000003E-3</c:v>
                </c:pt>
                <c:pt idx="41">
                  <c:v>7.6119999999999998E-3</c:v>
                </c:pt>
                <c:pt idx="42">
                  <c:v>7.7860000000000004E-3</c:v>
                </c:pt>
                <c:pt idx="43">
                  <c:v>7.9590000000000008E-3</c:v>
                </c:pt>
                <c:pt idx="44">
                  <c:v>8.1329999999999996E-3</c:v>
                </c:pt>
                <c:pt idx="45">
                  <c:v>8.3059999999999991E-3</c:v>
                </c:pt>
              </c:numCache>
            </c:numRef>
          </c:cat>
          <c:val>
            <c:numRef>
              <c:f>'[30%conv,700C.CSV.xlsx]30%conv,700C'!$AD$2:$AD$47</c:f>
              <c:numCache>
                <c:formatCode>0.00E+00</c:formatCode>
                <c:ptCount val="46"/>
                <c:pt idx="0">
                  <c:v>3.1709999999999998E-32</c:v>
                </c:pt>
                <c:pt idx="1">
                  <c:v>6.6850000000000003E-32</c:v>
                </c:pt>
                <c:pt idx="2">
                  <c:v>3.7090000000000002E-32</c:v>
                </c:pt>
                <c:pt idx="3">
                  <c:v>1.0690000000000001E-31</c:v>
                </c:pt>
                <c:pt idx="4">
                  <c:v>8.6059999999999999E-32</c:v>
                </c:pt>
                <c:pt idx="5">
                  <c:v>1.062E-31</c:v>
                </c:pt>
                <c:pt idx="6">
                  <c:v>7.7410000000000003E-32</c:v>
                </c:pt>
                <c:pt idx="7">
                  <c:v>7.6239999999999996E-32</c:v>
                </c:pt>
                <c:pt idx="8">
                  <c:v>8.4369999999999995E-32</c:v>
                </c:pt>
                <c:pt idx="9">
                  <c:v>1.0020000000000001E-31</c:v>
                </c:pt>
                <c:pt idx="10">
                  <c:v>1.58E-31</c:v>
                </c:pt>
                <c:pt idx="11">
                  <c:v>1.3910000000000001E-31</c:v>
                </c:pt>
                <c:pt idx="12">
                  <c:v>1.5160000000000001E-31</c:v>
                </c:pt>
                <c:pt idx="13">
                  <c:v>1.578E-31</c:v>
                </c:pt>
                <c:pt idx="14">
                  <c:v>1.7970000000000001E-31</c:v>
                </c:pt>
                <c:pt idx="15">
                  <c:v>2.0009999999999999E-31</c:v>
                </c:pt>
                <c:pt idx="16">
                  <c:v>2.1700000000000001E-31</c:v>
                </c:pt>
                <c:pt idx="17">
                  <c:v>2.4569999999999998E-31</c:v>
                </c:pt>
                <c:pt idx="18">
                  <c:v>2.6760000000000001E-31</c:v>
                </c:pt>
                <c:pt idx="19">
                  <c:v>2.9950000000000001E-31</c:v>
                </c:pt>
                <c:pt idx="20">
                  <c:v>3.307E-31</c:v>
                </c:pt>
                <c:pt idx="21">
                  <c:v>3.7900000000000001E-31</c:v>
                </c:pt>
                <c:pt idx="22">
                  <c:v>4.1500000000000002E-31</c:v>
                </c:pt>
                <c:pt idx="23">
                  <c:v>4.7370000000000004E-31</c:v>
                </c:pt>
                <c:pt idx="24">
                  <c:v>5.5649999999999997E-31</c:v>
                </c:pt>
                <c:pt idx="25">
                  <c:v>5.8700000000000003E-31</c:v>
                </c:pt>
                <c:pt idx="26">
                  <c:v>6.4539999999999999E-31</c:v>
                </c:pt>
                <c:pt idx="27">
                  <c:v>7.5920000000000001E-31</c:v>
                </c:pt>
                <c:pt idx="28">
                  <c:v>8.0420000000000004E-31</c:v>
                </c:pt>
                <c:pt idx="29">
                  <c:v>8.9859999999999997E-31</c:v>
                </c:pt>
                <c:pt idx="30">
                  <c:v>1.028E-30</c:v>
                </c:pt>
                <c:pt idx="31">
                  <c:v>1.1249999999999999E-30</c:v>
                </c:pt>
                <c:pt idx="32">
                  <c:v>1.2420000000000001E-30</c:v>
                </c:pt>
                <c:pt idx="33">
                  <c:v>1.4239999999999999E-30</c:v>
                </c:pt>
                <c:pt idx="34">
                  <c:v>1.5660000000000001E-30</c:v>
                </c:pt>
                <c:pt idx="35">
                  <c:v>1.7600000000000001E-30</c:v>
                </c:pt>
                <c:pt idx="36">
                  <c:v>1.9659999999999999E-30</c:v>
                </c:pt>
                <c:pt idx="37">
                  <c:v>2.2110000000000001E-30</c:v>
                </c:pt>
                <c:pt idx="38">
                  <c:v>2.4879999999999999E-30</c:v>
                </c:pt>
                <c:pt idx="39">
                  <c:v>2.8100000000000002E-30</c:v>
                </c:pt>
                <c:pt idx="40">
                  <c:v>3.1819999999999998E-30</c:v>
                </c:pt>
                <c:pt idx="41">
                  <c:v>3.6180000000000001E-30</c:v>
                </c:pt>
                <c:pt idx="42">
                  <c:v>4.1480000000000003E-30</c:v>
                </c:pt>
                <c:pt idx="43">
                  <c:v>4.7460000000000003E-30</c:v>
                </c:pt>
                <c:pt idx="44">
                  <c:v>5.4739999999999997E-30</c:v>
                </c:pt>
                <c:pt idx="45">
                  <c:v>6.3629999999999995E-30</c:v>
                </c:pt>
              </c:numCache>
            </c:numRef>
          </c:val>
          <c:extLst>
            <c:ext xmlns:c16="http://schemas.microsoft.com/office/drawing/2014/chart" uri="{C3380CC4-5D6E-409C-BE32-E72D297353CC}">
              <c16:uniqueId val="{0000000E-0F6F-476E-BA91-C9E32E09677C}"/>
            </c:ext>
          </c:extLst>
        </c:ser>
        <c:ser>
          <c:idx val="16"/>
          <c:order val="15"/>
          <c:tx>
            <c:strRef>
              <c:f>'[30%conv,700C.CSV.xlsx]30%conv,700C'!$AE$1</c:f>
              <c:strCache>
                <c:ptCount val="1"/>
                <c:pt idx="0">
                  <c:v>15</c:v>
                </c:pt>
              </c:strCache>
            </c:strRef>
          </c:tx>
          <c:spPr>
            <a:ln w="9525" cap="rnd">
              <a:solidFill>
                <a:schemeClr val="accent5">
                  <a:lumMod val="80000"/>
                  <a:lumOff val="20000"/>
                </a:schemeClr>
              </a:solidFill>
              <a:round/>
            </a:ln>
            <a:effectLst/>
          </c:spPr>
          <c:cat>
            <c:numRef>
              <c:f>'[30%conv,700C.CSV.xlsx]30%conv,700C'!$A$2:$A$47</c:f>
              <c:numCache>
                <c:formatCode>General</c:formatCode>
                <c:ptCount val="46"/>
                <c:pt idx="0">
                  <c:v>5.0000000000000001E-4</c:v>
                </c:pt>
                <c:pt idx="1">
                  <c:v>6.7350000000000005E-4</c:v>
                </c:pt>
                <c:pt idx="2">
                  <c:v>8.4690000000000004E-4</c:v>
                </c:pt>
                <c:pt idx="3">
                  <c:v>1.0200000000000001E-3</c:v>
                </c:pt>
                <c:pt idx="4">
                  <c:v>1.194E-3</c:v>
                </c:pt>
                <c:pt idx="5">
                  <c:v>1.3669999999999999E-3</c:v>
                </c:pt>
                <c:pt idx="6">
                  <c:v>1.5410000000000001E-3</c:v>
                </c:pt>
                <c:pt idx="7">
                  <c:v>1.714E-3</c:v>
                </c:pt>
                <c:pt idx="8">
                  <c:v>1.8879999999999999E-3</c:v>
                </c:pt>
                <c:pt idx="9">
                  <c:v>2.0609999999999999E-3</c:v>
                </c:pt>
                <c:pt idx="10">
                  <c:v>2.235E-3</c:v>
                </c:pt>
                <c:pt idx="11">
                  <c:v>2.408E-3</c:v>
                </c:pt>
                <c:pt idx="12">
                  <c:v>2.5820000000000001E-3</c:v>
                </c:pt>
                <c:pt idx="13">
                  <c:v>2.7550000000000001E-3</c:v>
                </c:pt>
                <c:pt idx="14">
                  <c:v>2.9290000000000002E-3</c:v>
                </c:pt>
                <c:pt idx="15">
                  <c:v>3.1020000000000002E-3</c:v>
                </c:pt>
                <c:pt idx="16">
                  <c:v>3.2759999999999998E-3</c:v>
                </c:pt>
                <c:pt idx="17">
                  <c:v>3.4489999999999998E-3</c:v>
                </c:pt>
                <c:pt idx="18">
                  <c:v>3.6219999999999998E-3</c:v>
                </c:pt>
                <c:pt idx="19">
                  <c:v>3.7959999999999999E-3</c:v>
                </c:pt>
                <c:pt idx="20">
                  <c:v>3.9690000000000003E-3</c:v>
                </c:pt>
                <c:pt idx="21">
                  <c:v>4.143E-3</c:v>
                </c:pt>
                <c:pt idx="22">
                  <c:v>4.3160000000000004E-3</c:v>
                </c:pt>
                <c:pt idx="23">
                  <c:v>4.4900000000000001E-3</c:v>
                </c:pt>
                <c:pt idx="24">
                  <c:v>4.6629999999999996E-3</c:v>
                </c:pt>
                <c:pt idx="25">
                  <c:v>4.8370000000000002E-3</c:v>
                </c:pt>
                <c:pt idx="26">
                  <c:v>5.0099999999999997E-3</c:v>
                </c:pt>
                <c:pt idx="27">
                  <c:v>5.1840000000000002E-3</c:v>
                </c:pt>
                <c:pt idx="28">
                  <c:v>5.3569999999999998E-3</c:v>
                </c:pt>
                <c:pt idx="29">
                  <c:v>5.5310000000000003E-3</c:v>
                </c:pt>
                <c:pt idx="30">
                  <c:v>5.7039999999999999E-3</c:v>
                </c:pt>
                <c:pt idx="31">
                  <c:v>5.8780000000000004E-3</c:v>
                </c:pt>
                <c:pt idx="32">
                  <c:v>6.051E-3</c:v>
                </c:pt>
                <c:pt idx="33">
                  <c:v>6.2240000000000004E-3</c:v>
                </c:pt>
                <c:pt idx="34">
                  <c:v>6.398E-3</c:v>
                </c:pt>
                <c:pt idx="35">
                  <c:v>6.5709999999999996E-3</c:v>
                </c:pt>
                <c:pt idx="36">
                  <c:v>6.7450000000000001E-3</c:v>
                </c:pt>
                <c:pt idx="37">
                  <c:v>6.9179999999999997E-3</c:v>
                </c:pt>
                <c:pt idx="38">
                  <c:v>7.0920000000000002E-3</c:v>
                </c:pt>
                <c:pt idx="39">
                  <c:v>7.2649999999999998E-3</c:v>
                </c:pt>
                <c:pt idx="40">
                  <c:v>7.4390000000000003E-3</c:v>
                </c:pt>
                <c:pt idx="41">
                  <c:v>7.6119999999999998E-3</c:v>
                </c:pt>
                <c:pt idx="42">
                  <c:v>7.7860000000000004E-3</c:v>
                </c:pt>
                <c:pt idx="43">
                  <c:v>7.9590000000000008E-3</c:v>
                </c:pt>
                <c:pt idx="44">
                  <c:v>8.1329999999999996E-3</c:v>
                </c:pt>
                <c:pt idx="45">
                  <c:v>8.3059999999999991E-3</c:v>
                </c:pt>
              </c:numCache>
            </c:numRef>
          </c:cat>
          <c:val>
            <c:numRef>
              <c:f>'[30%conv,700C.CSV.xlsx]30%conv,700C'!$AE$2:$AE$47</c:f>
              <c:numCache>
                <c:formatCode>0.00E+00</c:formatCode>
                <c:ptCount val="46"/>
                <c:pt idx="0">
                  <c:v>7.5840000000000002E-29</c:v>
                </c:pt>
                <c:pt idx="1">
                  <c:v>2.1729999999999998E-28</c:v>
                </c:pt>
                <c:pt idx="2">
                  <c:v>4.1279999999999997E-30</c:v>
                </c:pt>
                <c:pt idx="3">
                  <c:v>5.7429999999999996E-28</c:v>
                </c:pt>
                <c:pt idx="4">
                  <c:v>4.0560000000000002E-29</c:v>
                </c:pt>
                <c:pt idx="5">
                  <c:v>2.8210000000000001E-28</c:v>
                </c:pt>
                <c:pt idx="6">
                  <c:v>6.1469999999999997E-30</c:v>
                </c:pt>
                <c:pt idx="7">
                  <c:v>1.1809999999999999E-30</c:v>
                </c:pt>
                <c:pt idx="8">
                  <c:v>5.3009999999999998E-30</c:v>
                </c:pt>
                <c:pt idx="9">
                  <c:v>1.3179999999999999E-30</c:v>
                </c:pt>
                <c:pt idx="10">
                  <c:v>1.251E-29</c:v>
                </c:pt>
                <c:pt idx="11">
                  <c:v>2.801E-29</c:v>
                </c:pt>
                <c:pt idx="12">
                  <c:v>2.7679999999999999E-29</c:v>
                </c:pt>
                <c:pt idx="13">
                  <c:v>2.3659999999999999E-30</c:v>
                </c:pt>
                <c:pt idx="14">
                  <c:v>7.4569999999999994E-30</c:v>
                </c:pt>
                <c:pt idx="15">
                  <c:v>4.485E-30</c:v>
                </c:pt>
                <c:pt idx="16">
                  <c:v>2.2590000000000001E-30</c:v>
                </c:pt>
                <c:pt idx="17">
                  <c:v>1.2080000000000001E-28</c:v>
                </c:pt>
                <c:pt idx="18">
                  <c:v>4.4529999999999999E-29</c:v>
                </c:pt>
                <c:pt idx="19">
                  <c:v>3.5750000000000003E-30</c:v>
                </c:pt>
                <c:pt idx="20">
                  <c:v>5.4869999999999996E-31</c:v>
                </c:pt>
                <c:pt idx="21">
                  <c:v>1.9480000000000001E-30</c:v>
                </c:pt>
                <c:pt idx="22">
                  <c:v>9.271E-30</c:v>
                </c:pt>
                <c:pt idx="23">
                  <c:v>3.1859999999999999E-29</c:v>
                </c:pt>
                <c:pt idx="24">
                  <c:v>2.07E-28</c:v>
                </c:pt>
                <c:pt idx="25">
                  <c:v>1.994E-29</c:v>
                </c:pt>
                <c:pt idx="26">
                  <c:v>1.4739999999999999E-30</c:v>
                </c:pt>
                <c:pt idx="27">
                  <c:v>4.2099999999999998E-28</c:v>
                </c:pt>
                <c:pt idx="28">
                  <c:v>1.9599999999999999E-29</c:v>
                </c:pt>
                <c:pt idx="29">
                  <c:v>1.334E-30</c:v>
                </c:pt>
                <c:pt idx="30">
                  <c:v>9.403E-29</c:v>
                </c:pt>
                <c:pt idx="31">
                  <c:v>3.2069999999999998E-30</c:v>
                </c:pt>
                <c:pt idx="32">
                  <c:v>1.6119999999999999E-29</c:v>
                </c:pt>
                <c:pt idx="33">
                  <c:v>4.139E-30</c:v>
                </c:pt>
                <c:pt idx="34">
                  <c:v>1.3400000000000001E-29</c:v>
                </c:pt>
                <c:pt idx="35">
                  <c:v>1.0149999999999999E-28</c:v>
                </c:pt>
                <c:pt idx="36">
                  <c:v>1.4729999999999999E-29</c:v>
                </c:pt>
                <c:pt idx="37">
                  <c:v>3.5020000000000003E-30</c:v>
                </c:pt>
                <c:pt idx="38">
                  <c:v>2.654E-30</c:v>
                </c:pt>
                <c:pt idx="39">
                  <c:v>7.8649999999999997E-30</c:v>
                </c:pt>
                <c:pt idx="40">
                  <c:v>3.8079999999999998E-31</c:v>
                </c:pt>
                <c:pt idx="41">
                  <c:v>7.377E-30</c:v>
                </c:pt>
                <c:pt idx="42">
                  <c:v>4.0050000000000002E-29</c:v>
                </c:pt>
                <c:pt idx="43">
                  <c:v>3.9929999999999999E-29</c:v>
                </c:pt>
                <c:pt idx="44">
                  <c:v>5.1590000000000003E-31</c:v>
                </c:pt>
                <c:pt idx="45">
                  <c:v>1.092E-27</c:v>
                </c:pt>
              </c:numCache>
            </c:numRef>
          </c:val>
          <c:extLst>
            <c:ext xmlns:c16="http://schemas.microsoft.com/office/drawing/2014/chart" uri="{C3380CC4-5D6E-409C-BE32-E72D297353CC}">
              <c16:uniqueId val="{0000000F-0F6F-476E-BA91-C9E32E09677C}"/>
            </c:ext>
          </c:extLst>
        </c:ser>
        <c:ser>
          <c:idx val="17"/>
          <c:order val="16"/>
          <c:tx>
            <c:strRef>
              <c:f>'[30%conv,700C.CSV.xlsx]30%conv,700C'!$AF$1</c:f>
              <c:strCache>
                <c:ptCount val="1"/>
                <c:pt idx="0">
                  <c:v>16</c:v>
                </c:pt>
              </c:strCache>
            </c:strRef>
          </c:tx>
          <c:spPr>
            <a:ln w="9525" cap="rnd">
              <a:solidFill>
                <a:schemeClr val="accent6">
                  <a:lumMod val="80000"/>
                  <a:lumOff val="20000"/>
                </a:schemeClr>
              </a:solidFill>
              <a:round/>
            </a:ln>
            <a:effectLst/>
          </c:spPr>
          <c:cat>
            <c:numRef>
              <c:f>'[30%conv,700C.CSV.xlsx]30%conv,700C'!$A$2:$A$47</c:f>
              <c:numCache>
                <c:formatCode>General</c:formatCode>
                <c:ptCount val="46"/>
                <c:pt idx="0">
                  <c:v>5.0000000000000001E-4</c:v>
                </c:pt>
                <c:pt idx="1">
                  <c:v>6.7350000000000005E-4</c:v>
                </c:pt>
                <c:pt idx="2">
                  <c:v>8.4690000000000004E-4</c:v>
                </c:pt>
                <c:pt idx="3">
                  <c:v>1.0200000000000001E-3</c:v>
                </c:pt>
                <c:pt idx="4">
                  <c:v>1.194E-3</c:v>
                </c:pt>
                <c:pt idx="5">
                  <c:v>1.3669999999999999E-3</c:v>
                </c:pt>
                <c:pt idx="6">
                  <c:v>1.5410000000000001E-3</c:v>
                </c:pt>
                <c:pt idx="7">
                  <c:v>1.714E-3</c:v>
                </c:pt>
                <c:pt idx="8">
                  <c:v>1.8879999999999999E-3</c:v>
                </c:pt>
                <c:pt idx="9">
                  <c:v>2.0609999999999999E-3</c:v>
                </c:pt>
                <c:pt idx="10">
                  <c:v>2.235E-3</c:v>
                </c:pt>
                <c:pt idx="11">
                  <c:v>2.408E-3</c:v>
                </c:pt>
                <c:pt idx="12">
                  <c:v>2.5820000000000001E-3</c:v>
                </c:pt>
                <c:pt idx="13">
                  <c:v>2.7550000000000001E-3</c:v>
                </c:pt>
                <c:pt idx="14">
                  <c:v>2.9290000000000002E-3</c:v>
                </c:pt>
                <c:pt idx="15">
                  <c:v>3.1020000000000002E-3</c:v>
                </c:pt>
                <c:pt idx="16">
                  <c:v>3.2759999999999998E-3</c:v>
                </c:pt>
                <c:pt idx="17">
                  <c:v>3.4489999999999998E-3</c:v>
                </c:pt>
                <c:pt idx="18">
                  <c:v>3.6219999999999998E-3</c:v>
                </c:pt>
                <c:pt idx="19">
                  <c:v>3.7959999999999999E-3</c:v>
                </c:pt>
                <c:pt idx="20">
                  <c:v>3.9690000000000003E-3</c:v>
                </c:pt>
                <c:pt idx="21">
                  <c:v>4.143E-3</c:v>
                </c:pt>
                <c:pt idx="22">
                  <c:v>4.3160000000000004E-3</c:v>
                </c:pt>
                <c:pt idx="23">
                  <c:v>4.4900000000000001E-3</c:v>
                </c:pt>
                <c:pt idx="24">
                  <c:v>4.6629999999999996E-3</c:v>
                </c:pt>
                <c:pt idx="25">
                  <c:v>4.8370000000000002E-3</c:v>
                </c:pt>
                <c:pt idx="26">
                  <c:v>5.0099999999999997E-3</c:v>
                </c:pt>
                <c:pt idx="27">
                  <c:v>5.1840000000000002E-3</c:v>
                </c:pt>
                <c:pt idx="28">
                  <c:v>5.3569999999999998E-3</c:v>
                </c:pt>
                <c:pt idx="29">
                  <c:v>5.5310000000000003E-3</c:v>
                </c:pt>
                <c:pt idx="30">
                  <c:v>5.7039999999999999E-3</c:v>
                </c:pt>
                <c:pt idx="31">
                  <c:v>5.8780000000000004E-3</c:v>
                </c:pt>
                <c:pt idx="32">
                  <c:v>6.051E-3</c:v>
                </c:pt>
                <c:pt idx="33">
                  <c:v>6.2240000000000004E-3</c:v>
                </c:pt>
                <c:pt idx="34">
                  <c:v>6.398E-3</c:v>
                </c:pt>
                <c:pt idx="35">
                  <c:v>6.5709999999999996E-3</c:v>
                </c:pt>
                <c:pt idx="36">
                  <c:v>6.7450000000000001E-3</c:v>
                </c:pt>
                <c:pt idx="37">
                  <c:v>6.9179999999999997E-3</c:v>
                </c:pt>
                <c:pt idx="38">
                  <c:v>7.0920000000000002E-3</c:v>
                </c:pt>
                <c:pt idx="39">
                  <c:v>7.2649999999999998E-3</c:v>
                </c:pt>
                <c:pt idx="40">
                  <c:v>7.4390000000000003E-3</c:v>
                </c:pt>
                <c:pt idx="41">
                  <c:v>7.6119999999999998E-3</c:v>
                </c:pt>
                <c:pt idx="42">
                  <c:v>7.7860000000000004E-3</c:v>
                </c:pt>
                <c:pt idx="43">
                  <c:v>7.9590000000000008E-3</c:v>
                </c:pt>
                <c:pt idx="44">
                  <c:v>8.1329999999999996E-3</c:v>
                </c:pt>
                <c:pt idx="45">
                  <c:v>8.3059999999999991E-3</c:v>
                </c:pt>
              </c:numCache>
            </c:numRef>
          </c:cat>
          <c:val>
            <c:numRef>
              <c:f>'[30%conv,700C.CSV.xlsx]30%conv,700C'!$AF$2:$AF$47</c:f>
              <c:numCache>
                <c:formatCode>0.00E+00</c:formatCode>
                <c:ptCount val="46"/>
                <c:pt idx="0">
                  <c:v>2.2139999999999999E-31</c:v>
                </c:pt>
                <c:pt idx="1">
                  <c:v>6.144E-31</c:v>
                </c:pt>
                <c:pt idx="2">
                  <c:v>1.16E-32</c:v>
                </c:pt>
                <c:pt idx="3">
                  <c:v>1.6470000000000001E-30</c:v>
                </c:pt>
                <c:pt idx="4">
                  <c:v>1.3159999999999999E-31</c:v>
                </c:pt>
                <c:pt idx="5">
                  <c:v>8.0580000000000002E-31</c:v>
                </c:pt>
                <c:pt idx="6">
                  <c:v>1.628E-32</c:v>
                </c:pt>
                <c:pt idx="7">
                  <c:v>3.3300000000000002E-33</c:v>
                </c:pt>
                <c:pt idx="8">
                  <c:v>1.656E-32</c:v>
                </c:pt>
                <c:pt idx="9">
                  <c:v>2.328E-33</c:v>
                </c:pt>
                <c:pt idx="10">
                  <c:v>2.5940000000000002E-32</c:v>
                </c:pt>
                <c:pt idx="11">
                  <c:v>8.0700000000000004E-32</c:v>
                </c:pt>
                <c:pt idx="12">
                  <c:v>7.906E-32</c:v>
                </c:pt>
                <c:pt idx="13">
                  <c:v>7.9859999999999995E-33</c:v>
                </c:pt>
                <c:pt idx="14">
                  <c:v>2.1950000000000001E-32</c:v>
                </c:pt>
                <c:pt idx="15">
                  <c:v>1.3510000000000001E-32</c:v>
                </c:pt>
                <c:pt idx="16">
                  <c:v>5.2109999999999999E-33</c:v>
                </c:pt>
                <c:pt idx="17">
                  <c:v>3.516E-31</c:v>
                </c:pt>
                <c:pt idx="18">
                  <c:v>1.3200000000000001E-31</c:v>
                </c:pt>
                <c:pt idx="19">
                  <c:v>6.9979999999999996E-33</c:v>
                </c:pt>
                <c:pt idx="20">
                  <c:v>1.9199999999999999E-33</c:v>
                </c:pt>
                <c:pt idx="21">
                  <c:v>1.36E-33</c:v>
                </c:pt>
                <c:pt idx="22">
                  <c:v>2.7059999999999999E-32</c:v>
                </c:pt>
                <c:pt idx="23">
                  <c:v>9.5679999999999995E-32</c:v>
                </c:pt>
                <c:pt idx="24">
                  <c:v>6.0039999999999996E-31</c:v>
                </c:pt>
                <c:pt idx="25">
                  <c:v>6.1209999999999995E-32</c:v>
                </c:pt>
                <c:pt idx="26">
                  <c:v>4.2419999999999999E-33</c:v>
                </c:pt>
                <c:pt idx="27">
                  <c:v>1.2170000000000001E-30</c:v>
                </c:pt>
                <c:pt idx="28">
                  <c:v>5.6780000000000003E-32</c:v>
                </c:pt>
                <c:pt idx="29">
                  <c:v>4.0969999999999998E-33</c:v>
                </c:pt>
                <c:pt idx="30">
                  <c:v>2.7479999999999998E-31</c:v>
                </c:pt>
                <c:pt idx="31">
                  <c:v>8.9390000000000006E-33</c:v>
                </c:pt>
                <c:pt idx="32">
                  <c:v>4.5099999999999999E-32</c:v>
                </c:pt>
                <c:pt idx="33">
                  <c:v>1.185E-32</c:v>
                </c:pt>
                <c:pt idx="34">
                  <c:v>3.9549999999999998E-32</c:v>
                </c:pt>
                <c:pt idx="35">
                  <c:v>3.0929999999999999E-31</c:v>
                </c:pt>
                <c:pt idx="36">
                  <c:v>4.3390000000000002E-32</c:v>
                </c:pt>
                <c:pt idx="37">
                  <c:v>1.0290000000000001E-32</c:v>
                </c:pt>
                <c:pt idx="38">
                  <c:v>7.7979999999999993E-33</c:v>
                </c:pt>
                <c:pt idx="39">
                  <c:v>2.332E-32</c:v>
                </c:pt>
                <c:pt idx="40">
                  <c:v>1.0980000000000001E-33</c:v>
                </c:pt>
                <c:pt idx="41">
                  <c:v>2.184E-32</c:v>
                </c:pt>
                <c:pt idx="42">
                  <c:v>1.1250000000000001E-31</c:v>
                </c:pt>
                <c:pt idx="43">
                  <c:v>1.199E-31</c:v>
                </c:pt>
                <c:pt idx="44">
                  <c:v>1.463E-33</c:v>
                </c:pt>
                <c:pt idx="45">
                  <c:v>3.3079999999999998E-30</c:v>
                </c:pt>
              </c:numCache>
            </c:numRef>
          </c:val>
          <c:extLst>
            <c:ext xmlns:c16="http://schemas.microsoft.com/office/drawing/2014/chart" uri="{C3380CC4-5D6E-409C-BE32-E72D297353CC}">
              <c16:uniqueId val="{00000010-0F6F-476E-BA91-C9E32E09677C}"/>
            </c:ext>
          </c:extLst>
        </c:ser>
        <c:ser>
          <c:idx val="18"/>
          <c:order val="17"/>
          <c:tx>
            <c:strRef>
              <c:f>'[30%conv,700C.CSV.xlsx]30%conv,700C'!$AG$1</c:f>
              <c:strCache>
                <c:ptCount val="1"/>
                <c:pt idx="0">
                  <c:v>17</c:v>
                </c:pt>
              </c:strCache>
            </c:strRef>
          </c:tx>
          <c:spPr>
            <a:ln w="9525" cap="rnd">
              <a:solidFill>
                <a:schemeClr val="accent1">
                  <a:lumMod val="80000"/>
                </a:schemeClr>
              </a:solidFill>
              <a:round/>
            </a:ln>
            <a:effectLst/>
          </c:spPr>
          <c:cat>
            <c:numRef>
              <c:f>'[30%conv,700C.CSV.xlsx]30%conv,700C'!$A$2:$A$47</c:f>
              <c:numCache>
                <c:formatCode>General</c:formatCode>
                <c:ptCount val="46"/>
                <c:pt idx="0">
                  <c:v>5.0000000000000001E-4</c:v>
                </c:pt>
                <c:pt idx="1">
                  <c:v>6.7350000000000005E-4</c:v>
                </c:pt>
                <c:pt idx="2">
                  <c:v>8.4690000000000004E-4</c:v>
                </c:pt>
                <c:pt idx="3">
                  <c:v>1.0200000000000001E-3</c:v>
                </c:pt>
                <c:pt idx="4">
                  <c:v>1.194E-3</c:v>
                </c:pt>
                <c:pt idx="5">
                  <c:v>1.3669999999999999E-3</c:v>
                </c:pt>
                <c:pt idx="6">
                  <c:v>1.5410000000000001E-3</c:v>
                </c:pt>
                <c:pt idx="7">
                  <c:v>1.714E-3</c:v>
                </c:pt>
                <c:pt idx="8">
                  <c:v>1.8879999999999999E-3</c:v>
                </c:pt>
                <c:pt idx="9">
                  <c:v>2.0609999999999999E-3</c:v>
                </c:pt>
                <c:pt idx="10">
                  <c:v>2.235E-3</c:v>
                </c:pt>
                <c:pt idx="11">
                  <c:v>2.408E-3</c:v>
                </c:pt>
                <c:pt idx="12">
                  <c:v>2.5820000000000001E-3</c:v>
                </c:pt>
                <c:pt idx="13">
                  <c:v>2.7550000000000001E-3</c:v>
                </c:pt>
                <c:pt idx="14">
                  <c:v>2.9290000000000002E-3</c:v>
                </c:pt>
                <c:pt idx="15">
                  <c:v>3.1020000000000002E-3</c:v>
                </c:pt>
                <c:pt idx="16">
                  <c:v>3.2759999999999998E-3</c:v>
                </c:pt>
                <c:pt idx="17">
                  <c:v>3.4489999999999998E-3</c:v>
                </c:pt>
                <c:pt idx="18">
                  <c:v>3.6219999999999998E-3</c:v>
                </c:pt>
                <c:pt idx="19">
                  <c:v>3.7959999999999999E-3</c:v>
                </c:pt>
                <c:pt idx="20">
                  <c:v>3.9690000000000003E-3</c:v>
                </c:pt>
                <c:pt idx="21">
                  <c:v>4.143E-3</c:v>
                </c:pt>
                <c:pt idx="22">
                  <c:v>4.3160000000000004E-3</c:v>
                </c:pt>
                <c:pt idx="23">
                  <c:v>4.4900000000000001E-3</c:v>
                </c:pt>
                <c:pt idx="24">
                  <c:v>4.6629999999999996E-3</c:v>
                </c:pt>
                <c:pt idx="25">
                  <c:v>4.8370000000000002E-3</c:v>
                </c:pt>
                <c:pt idx="26">
                  <c:v>5.0099999999999997E-3</c:v>
                </c:pt>
                <c:pt idx="27">
                  <c:v>5.1840000000000002E-3</c:v>
                </c:pt>
                <c:pt idx="28">
                  <c:v>5.3569999999999998E-3</c:v>
                </c:pt>
                <c:pt idx="29">
                  <c:v>5.5310000000000003E-3</c:v>
                </c:pt>
                <c:pt idx="30">
                  <c:v>5.7039999999999999E-3</c:v>
                </c:pt>
                <c:pt idx="31">
                  <c:v>5.8780000000000004E-3</c:v>
                </c:pt>
                <c:pt idx="32">
                  <c:v>6.051E-3</c:v>
                </c:pt>
                <c:pt idx="33">
                  <c:v>6.2240000000000004E-3</c:v>
                </c:pt>
                <c:pt idx="34">
                  <c:v>6.398E-3</c:v>
                </c:pt>
                <c:pt idx="35">
                  <c:v>6.5709999999999996E-3</c:v>
                </c:pt>
                <c:pt idx="36">
                  <c:v>6.7450000000000001E-3</c:v>
                </c:pt>
                <c:pt idx="37">
                  <c:v>6.9179999999999997E-3</c:v>
                </c:pt>
                <c:pt idx="38">
                  <c:v>7.0920000000000002E-3</c:v>
                </c:pt>
                <c:pt idx="39">
                  <c:v>7.2649999999999998E-3</c:v>
                </c:pt>
                <c:pt idx="40">
                  <c:v>7.4390000000000003E-3</c:v>
                </c:pt>
                <c:pt idx="41">
                  <c:v>7.6119999999999998E-3</c:v>
                </c:pt>
                <c:pt idx="42">
                  <c:v>7.7860000000000004E-3</c:v>
                </c:pt>
                <c:pt idx="43">
                  <c:v>7.9590000000000008E-3</c:v>
                </c:pt>
                <c:pt idx="44">
                  <c:v>8.1329999999999996E-3</c:v>
                </c:pt>
                <c:pt idx="45">
                  <c:v>8.3059999999999991E-3</c:v>
                </c:pt>
              </c:numCache>
            </c:numRef>
          </c:cat>
          <c:val>
            <c:numRef>
              <c:f>'[30%conv,700C.CSV.xlsx]30%conv,700C'!$AG$2:$AG$47</c:f>
              <c:numCache>
                <c:formatCode>0.00E+00</c:formatCode>
                <c:ptCount val="46"/>
                <c:pt idx="0">
                  <c:v>5.2620000000000002E-31</c:v>
                </c:pt>
                <c:pt idx="1">
                  <c:v>7.6049999999999994E-30</c:v>
                </c:pt>
                <c:pt idx="2">
                  <c:v>2.7159999999999999E-31</c:v>
                </c:pt>
                <c:pt idx="3">
                  <c:v>1.222E-29</c:v>
                </c:pt>
                <c:pt idx="4">
                  <c:v>9.4950000000000007E-30</c:v>
                </c:pt>
                <c:pt idx="5">
                  <c:v>1.2800000000000001E-29</c:v>
                </c:pt>
                <c:pt idx="6">
                  <c:v>6.6880000000000002E-30</c:v>
                </c:pt>
                <c:pt idx="7">
                  <c:v>5.541E-31</c:v>
                </c:pt>
                <c:pt idx="8">
                  <c:v>3.8309999999999998E-30</c:v>
                </c:pt>
                <c:pt idx="9">
                  <c:v>2.6259999999999999E-30</c:v>
                </c:pt>
                <c:pt idx="10">
                  <c:v>7.7519999999999993E-30</c:v>
                </c:pt>
                <c:pt idx="11">
                  <c:v>1.222E-29</c:v>
                </c:pt>
                <c:pt idx="12">
                  <c:v>4.111E-30</c:v>
                </c:pt>
                <c:pt idx="13">
                  <c:v>2.5350000000000001E-30</c:v>
                </c:pt>
                <c:pt idx="14">
                  <c:v>4.935E-30</c:v>
                </c:pt>
                <c:pt idx="15">
                  <c:v>2.0259999999999998E-30</c:v>
                </c:pt>
                <c:pt idx="16">
                  <c:v>9.7400000000000005E-31</c:v>
                </c:pt>
                <c:pt idx="17">
                  <c:v>2.2080000000000001E-30</c:v>
                </c:pt>
                <c:pt idx="18">
                  <c:v>2.8819999999999999E-31</c:v>
                </c:pt>
                <c:pt idx="19">
                  <c:v>2.1090000000000001E-30</c:v>
                </c:pt>
                <c:pt idx="20">
                  <c:v>2.542E-31</c:v>
                </c:pt>
                <c:pt idx="21">
                  <c:v>7.1720000000000002E-33</c:v>
                </c:pt>
                <c:pt idx="22">
                  <c:v>1.48E-31</c:v>
                </c:pt>
                <c:pt idx="23">
                  <c:v>8.1900000000000004E-30</c:v>
                </c:pt>
                <c:pt idx="24">
                  <c:v>6.3890000000000002E-30</c:v>
                </c:pt>
                <c:pt idx="25">
                  <c:v>1.142E-29</c:v>
                </c:pt>
                <c:pt idx="26">
                  <c:v>7.766E-32</c:v>
                </c:pt>
                <c:pt idx="27">
                  <c:v>1.3580000000000001E-29</c:v>
                </c:pt>
                <c:pt idx="28">
                  <c:v>1.785E-31</c:v>
                </c:pt>
                <c:pt idx="29">
                  <c:v>2.9910000000000002E-31</c:v>
                </c:pt>
                <c:pt idx="30">
                  <c:v>3.5099999999999999E-30</c:v>
                </c:pt>
                <c:pt idx="31">
                  <c:v>3.1070000000000001E-30</c:v>
                </c:pt>
                <c:pt idx="32">
                  <c:v>8.4820000000000002E-30</c:v>
                </c:pt>
                <c:pt idx="33">
                  <c:v>2.107E-30</c:v>
                </c:pt>
                <c:pt idx="34">
                  <c:v>4.5170000000000003E-31</c:v>
                </c:pt>
                <c:pt idx="35">
                  <c:v>8.4390000000000004E-30</c:v>
                </c:pt>
                <c:pt idx="36">
                  <c:v>1.705E-31</c:v>
                </c:pt>
                <c:pt idx="37">
                  <c:v>1.9459999999999999E-31</c:v>
                </c:pt>
                <c:pt idx="38">
                  <c:v>9.2540000000000003E-32</c:v>
                </c:pt>
                <c:pt idx="39">
                  <c:v>2.1570000000000001E-31</c:v>
                </c:pt>
                <c:pt idx="40">
                  <c:v>2.1299999999999999E-31</c:v>
                </c:pt>
                <c:pt idx="41">
                  <c:v>2.7119999999999999E-31</c:v>
                </c:pt>
                <c:pt idx="42">
                  <c:v>1.477E-30</c:v>
                </c:pt>
                <c:pt idx="43">
                  <c:v>2.3109999999999999E-31</c:v>
                </c:pt>
                <c:pt idx="44">
                  <c:v>6.967E-31</c:v>
                </c:pt>
                <c:pt idx="45">
                  <c:v>8.1470000000000006E-30</c:v>
                </c:pt>
              </c:numCache>
            </c:numRef>
          </c:val>
          <c:extLst>
            <c:ext xmlns:c16="http://schemas.microsoft.com/office/drawing/2014/chart" uri="{C3380CC4-5D6E-409C-BE32-E72D297353CC}">
              <c16:uniqueId val="{00000011-0F6F-476E-BA91-C9E32E09677C}"/>
            </c:ext>
          </c:extLst>
        </c:ser>
        <c:ser>
          <c:idx val="19"/>
          <c:order val="18"/>
          <c:tx>
            <c:strRef>
              <c:f>'[30%conv,700C.CSV.xlsx]30%conv,700C'!$AH$1</c:f>
              <c:strCache>
                <c:ptCount val="1"/>
                <c:pt idx="0">
                  <c:v>18</c:v>
                </c:pt>
              </c:strCache>
            </c:strRef>
          </c:tx>
          <c:spPr>
            <a:ln w="9525" cap="rnd">
              <a:solidFill>
                <a:schemeClr val="accent2">
                  <a:lumMod val="80000"/>
                </a:schemeClr>
              </a:solidFill>
              <a:round/>
            </a:ln>
            <a:effectLst/>
          </c:spPr>
          <c:cat>
            <c:numRef>
              <c:f>'[30%conv,700C.CSV.xlsx]30%conv,700C'!$A$2:$A$47</c:f>
              <c:numCache>
                <c:formatCode>General</c:formatCode>
                <c:ptCount val="46"/>
                <c:pt idx="0">
                  <c:v>5.0000000000000001E-4</c:v>
                </c:pt>
                <c:pt idx="1">
                  <c:v>6.7350000000000005E-4</c:v>
                </c:pt>
                <c:pt idx="2">
                  <c:v>8.4690000000000004E-4</c:v>
                </c:pt>
                <c:pt idx="3">
                  <c:v>1.0200000000000001E-3</c:v>
                </c:pt>
                <c:pt idx="4">
                  <c:v>1.194E-3</c:v>
                </c:pt>
                <c:pt idx="5">
                  <c:v>1.3669999999999999E-3</c:v>
                </c:pt>
                <c:pt idx="6">
                  <c:v>1.5410000000000001E-3</c:v>
                </c:pt>
                <c:pt idx="7">
                  <c:v>1.714E-3</c:v>
                </c:pt>
                <c:pt idx="8">
                  <c:v>1.8879999999999999E-3</c:v>
                </c:pt>
                <c:pt idx="9">
                  <c:v>2.0609999999999999E-3</c:v>
                </c:pt>
                <c:pt idx="10">
                  <c:v>2.235E-3</c:v>
                </c:pt>
                <c:pt idx="11">
                  <c:v>2.408E-3</c:v>
                </c:pt>
                <c:pt idx="12">
                  <c:v>2.5820000000000001E-3</c:v>
                </c:pt>
                <c:pt idx="13">
                  <c:v>2.7550000000000001E-3</c:v>
                </c:pt>
                <c:pt idx="14">
                  <c:v>2.9290000000000002E-3</c:v>
                </c:pt>
                <c:pt idx="15">
                  <c:v>3.1020000000000002E-3</c:v>
                </c:pt>
                <c:pt idx="16">
                  <c:v>3.2759999999999998E-3</c:v>
                </c:pt>
                <c:pt idx="17">
                  <c:v>3.4489999999999998E-3</c:v>
                </c:pt>
                <c:pt idx="18">
                  <c:v>3.6219999999999998E-3</c:v>
                </c:pt>
                <c:pt idx="19">
                  <c:v>3.7959999999999999E-3</c:v>
                </c:pt>
                <c:pt idx="20">
                  <c:v>3.9690000000000003E-3</c:v>
                </c:pt>
                <c:pt idx="21">
                  <c:v>4.143E-3</c:v>
                </c:pt>
                <c:pt idx="22">
                  <c:v>4.3160000000000004E-3</c:v>
                </c:pt>
                <c:pt idx="23">
                  <c:v>4.4900000000000001E-3</c:v>
                </c:pt>
                <c:pt idx="24">
                  <c:v>4.6629999999999996E-3</c:v>
                </c:pt>
                <c:pt idx="25">
                  <c:v>4.8370000000000002E-3</c:v>
                </c:pt>
                <c:pt idx="26">
                  <c:v>5.0099999999999997E-3</c:v>
                </c:pt>
                <c:pt idx="27">
                  <c:v>5.1840000000000002E-3</c:v>
                </c:pt>
                <c:pt idx="28">
                  <c:v>5.3569999999999998E-3</c:v>
                </c:pt>
                <c:pt idx="29">
                  <c:v>5.5310000000000003E-3</c:v>
                </c:pt>
                <c:pt idx="30">
                  <c:v>5.7039999999999999E-3</c:v>
                </c:pt>
                <c:pt idx="31">
                  <c:v>5.8780000000000004E-3</c:v>
                </c:pt>
                <c:pt idx="32">
                  <c:v>6.051E-3</c:v>
                </c:pt>
                <c:pt idx="33">
                  <c:v>6.2240000000000004E-3</c:v>
                </c:pt>
                <c:pt idx="34">
                  <c:v>6.398E-3</c:v>
                </c:pt>
                <c:pt idx="35">
                  <c:v>6.5709999999999996E-3</c:v>
                </c:pt>
                <c:pt idx="36">
                  <c:v>6.7450000000000001E-3</c:v>
                </c:pt>
                <c:pt idx="37">
                  <c:v>6.9179999999999997E-3</c:v>
                </c:pt>
                <c:pt idx="38">
                  <c:v>7.0920000000000002E-3</c:v>
                </c:pt>
                <c:pt idx="39">
                  <c:v>7.2649999999999998E-3</c:v>
                </c:pt>
                <c:pt idx="40">
                  <c:v>7.4390000000000003E-3</c:v>
                </c:pt>
                <c:pt idx="41">
                  <c:v>7.6119999999999998E-3</c:v>
                </c:pt>
                <c:pt idx="42">
                  <c:v>7.7860000000000004E-3</c:v>
                </c:pt>
                <c:pt idx="43">
                  <c:v>7.9590000000000008E-3</c:v>
                </c:pt>
                <c:pt idx="44">
                  <c:v>8.1329999999999996E-3</c:v>
                </c:pt>
                <c:pt idx="45">
                  <c:v>8.3059999999999991E-3</c:v>
                </c:pt>
              </c:numCache>
            </c:numRef>
          </c:cat>
          <c:val>
            <c:numRef>
              <c:f>'[30%conv,700C.CSV.xlsx]30%conv,700C'!$AH$2:$AH$47</c:f>
              <c:numCache>
                <c:formatCode>0.00E+00</c:formatCode>
                <c:ptCount val="46"/>
                <c:pt idx="0">
                  <c:v>8.5050000000000005E-34</c:v>
                </c:pt>
                <c:pt idx="1">
                  <c:v>1.156E-32</c:v>
                </c:pt>
                <c:pt idx="2">
                  <c:v>7.3510000000000001E-34</c:v>
                </c:pt>
                <c:pt idx="3">
                  <c:v>2.5810000000000003E-32</c:v>
                </c:pt>
                <c:pt idx="4">
                  <c:v>2.9719999999999998E-32</c:v>
                </c:pt>
                <c:pt idx="5">
                  <c:v>3.2469999999999999E-32</c:v>
                </c:pt>
                <c:pt idx="6">
                  <c:v>1.8720000000000001E-32</c:v>
                </c:pt>
                <c:pt idx="7">
                  <c:v>1.8000000000000002E-33</c:v>
                </c:pt>
                <c:pt idx="8">
                  <c:v>9.744E-33</c:v>
                </c:pt>
                <c:pt idx="9">
                  <c:v>7.6720000000000006E-33</c:v>
                </c:pt>
                <c:pt idx="10">
                  <c:v>1.4210000000000001E-32</c:v>
                </c:pt>
                <c:pt idx="11">
                  <c:v>2.8180000000000003E-32</c:v>
                </c:pt>
                <c:pt idx="12">
                  <c:v>8.0240000000000007E-33</c:v>
                </c:pt>
                <c:pt idx="13">
                  <c:v>5.7529999999999997E-33</c:v>
                </c:pt>
                <c:pt idx="14">
                  <c:v>1.4349999999999999E-32</c:v>
                </c:pt>
                <c:pt idx="15">
                  <c:v>6.4419999999999996E-33</c:v>
                </c:pt>
                <c:pt idx="16">
                  <c:v>1.3329999999999999E-33</c:v>
                </c:pt>
                <c:pt idx="17">
                  <c:v>7.6849999999999994E-33</c:v>
                </c:pt>
                <c:pt idx="18">
                  <c:v>7.5780000000000001E-34</c:v>
                </c:pt>
                <c:pt idx="19">
                  <c:v>6.9089999999999998E-33</c:v>
                </c:pt>
                <c:pt idx="20">
                  <c:v>4.3929999999999998E-34</c:v>
                </c:pt>
                <c:pt idx="21">
                  <c:v>3.6900000000000002E-35</c:v>
                </c:pt>
                <c:pt idx="22">
                  <c:v>4.8190000000000001E-34</c:v>
                </c:pt>
                <c:pt idx="23">
                  <c:v>1.4910000000000001E-32</c:v>
                </c:pt>
                <c:pt idx="24">
                  <c:v>1.982E-32</c:v>
                </c:pt>
                <c:pt idx="25">
                  <c:v>2.282E-32</c:v>
                </c:pt>
                <c:pt idx="26">
                  <c:v>2.1639999999999999E-34</c:v>
                </c:pt>
                <c:pt idx="27">
                  <c:v>2.2180000000000001E-32</c:v>
                </c:pt>
                <c:pt idx="28">
                  <c:v>7.2879999999999997E-34</c:v>
                </c:pt>
                <c:pt idx="29">
                  <c:v>8.6749999999999998E-34</c:v>
                </c:pt>
                <c:pt idx="30">
                  <c:v>7.9470000000000003E-33</c:v>
                </c:pt>
                <c:pt idx="31">
                  <c:v>1.04E-32</c:v>
                </c:pt>
                <c:pt idx="32">
                  <c:v>3.1709999999999998E-32</c:v>
                </c:pt>
                <c:pt idx="33">
                  <c:v>8.7130000000000006E-33</c:v>
                </c:pt>
                <c:pt idx="34">
                  <c:v>1.244E-33</c:v>
                </c:pt>
                <c:pt idx="35">
                  <c:v>1.6529999999999999E-32</c:v>
                </c:pt>
                <c:pt idx="36">
                  <c:v>4.2190000000000004E-34</c:v>
                </c:pt>
                <c:pt idx="37">
                  <c:v>3.6259999999999998E-34</c:v>
                </c:pt>
                <c:pt idx="38">
                  <c:v>2.5329999999999999E-34</c:v>
                </c:pt>
                <c:pt idx="39">
                  <c:v>5.6029999999999998E-34</c:v>
                </c:pt>
                <c:pt idx="40">
                  <c:v>3.1300000000000001E-34</c:v>
                </c:pt>
                <c:pt idx="41">
                  <c:v>5.5889999999999999E-34</c:v>
                </c:pt>
                <c:pt idx="42">
                  <c:v>5.789E-33</c:v>
                </c:pt>
                <c:pt idx="43">
                  <c:v>1.0289999999999999E-33</c:v>
                </c:pt>
                <c:pt idx="44">
                  <c:v>2.4029999999999999E-33</c:v>
                </c:pt>
                <c:pt idx="45">
                  <c:v>2.962E-32</c:v>
                </c:pt>
              </c:numCache>
            </c:numRef>
          </c:val>
          <c:extLst>
            <c:ext xmlns:c16="http://schemas.microsoft.com/office/drawing/2014/chart" uri="{C3380CC4-5D6E-409C-BE32-E72D297353CC}">
              <c16:uniqueId val="{00000012-0F6F-476E-BA91-C9E32E09677C}"/>
            </c:ext>
          </c:extLst>
        </c:ser>
        <c:ser>
          <c:idx val="20"/>
          <c:order val="19"/>
          <c:tx>
            <c:strRef>
              <c:f>'[30%conv,700C.CSV.xlsx]30%conv,700C'!$AI$1</c:f>
              <c:strCache>
                <c:ptCount val="1"/>
                <c:pt idx="0">
                  <c:v>19</c:v>
                </c:pt>
              </c:strCache>
            </c:strRef>
          </c:tx>
          <c:spPr>
            <a:ln w="9525" cap="rnd">
              <a:solidFill>
                <a:schemeClr val="accent3">
                  <a:lumMod val="80000"/>
                </a:schemeClr>
              </a:solidFill>
              <a:round/>
            </a:ln>
            <a:effectLst/>
          </c:spPr>
          <c:cat>
            <c:numRef>
              <c:f>'[30%conv,700C.CSV.xlsx]30%conv,700C'!$A$2:$A$47</c:f>
              <c:numCache>
                <c:formatCode>General</c:formatCode>
                <c:ptCount val="46"/>
                <c:pt idx="0">
                  <c:v>5.0000000000000001E-4</c:v>
                </c:pt>
                <c:pt idx="1">
                  <c:v>6.7350000000000005E-4</c:v>
                </c:pt>
                <c:pt idx="2">
                  <c:v>8.4690000000000004E-4</c:v>
                </c:pt>
                <c:pt idx="3">
                  <c:v>1.0200000000000001E-3</c:v>
                </c:pt>
                <c:pt idx="4">
                  <c:v>1.194E-3</c:v>
                </c:pt>
                <c:pt idx="5">
                  <c:v>1.3669999999999999E-3</c:v>
                </c:pt>
                <c:pt idx="6">
                  <c:v>1.5410000000000001E-3</c:v>
                </c:pt>
                <c:pt idx="7">
                  <c:v>1.714E-3</c:v>
                </c:pt>
                <c:pt idx="8">
                  <c:v>1.8879999999999999E-3</c:v>
                </c:pt>
                <c:pt idx="9">
                  <c:v>2.0609999999999999E-3</c:v>
                </c:pt>
                <c:pt idx="10">
                  <c:v>2.235E-3</c:v>
                </c:pt>
                <c:pt idx="11">
                  <c:v>2.408E-3</c:v>
                </c:pt>
                <c:pt idx="12">
                  <c:v>2.5820000000000001E-3</c:v>
                </c:pt>
                <c:pt idx="13">
                  <c:v>2.7550000000000001E-3</c:v>
                </c:pt>
                <c:pt idx="14">
                  <c:v>2.9290000000000002E-3</c:v>
                </c:pt>
                <c:pt idx="15">
                  <c:v>3.1020000000000002E-3</c:v>
                </c:pt>
                <c:pt idx="16">
                  <c:v>3.2759999999999998E-3</c:v>
                </c:pt>
                <c:pt idx="17">
                  <c:v>3.4489999999999998E-3</c:v>
                </c:pt>
                <c:pt idx="18">
                  <c:v>3.6219999999999998E-3</c:v>
                </c:pt>
                <c:pt idx="19">
                  <c:v>3.7959999999999999E-3</c:v>
                </c:pt>
                <c:pt idx="20">
                  <c:v>3.9690000000000003E-3</c:v>
                </c:pt>
                <c:pt idx="21">
                  <c:v>4.143E-3</c:v>
                </c:pt>
                <c:pt idx="22">
                  <c:v>4.3160000000000004E-3</c:v>
                </c:pt>
                <c:pt idx="23">
                  <c:v>4.4900000000000001E-3</c:v>
                </c:pt>
                <c:pt idx="24">
                  <c:v>4.6629999999999996E-3</c:v>
                </c:pt>
                <c:pt idx="25">
                  <c:v>4.8370000000000002E-3</c:v>
                </c:pt>
                <c:pt idx="26">
                  <c:v>5.0099999999999997E-3</c:v>
                </c:pt>
                <c:pt idx="27">
                  <c:v>5.1840000000000002E-3</c:v>
                </c:pt>
                <c:pt idx="28">
                  <c:v>5.3569999999999998E-3</c:v>
                </c:pt>
                <c:pt idx="29">
                  <c:v>5.5310000000000003E-3</c:v>
                </c:pt>
                <c:pt idx="30">
                  <c:v>5.7039999999999999E-3</c:v>
                </c:pt>
                <c:pt idx="31">
                  <c:v>5.8780000000000004E-3</c:v>
                </c:pt>
                <c:pt idx="32">
                  <c:v>6.051E-3</c:v>
                </c:pt>
                <c:pt idx="33">
                  <c:v>6.2240000000000004E-3</c:v>
                </c:pt>
                <c:pt idx="34">
                  <c:v>6.398E-3</c:v>
                </c:pt>
                <c:pt idx="35">
                  <c:v>6.5709999999999996E-3</c:v>
                </c:pt>
                <c:pt idx="36">
                  <c:v>6.7450000000000001E-3</c:v>
                </c:pt>
                <c:pt idx="37">
                  <c:v>6.9179999999999997E-3</c:v>
                </c:pt>
                <c:pt idx="38">
                  <c:v>7.0920000000000002E-3</c:v>
                </c:pt>
                <c:pt idx="39">
                  <c:v>7.2649999999999998E-3</c:v>
                </c:pt>
                <c:pt idx="40">
                  <c:v>7.4390000000000003E-3</c:v>
                </c:pt>
                <c:pt idx="41">
                  <c:v>7.6119999999999998E-3</c:v>
                </c:pt>
                <c:pt idx="42">
                  <c:v>7.7860000000000004E-3</c:v>
                </c:pt>
                <c:pt idx="43">
                  <c:v>7.9590000000000008E-3</c:v>
                </c:pt>
                <c:pt idx="44">
                  <c:v>8.1329999999999996E-3</c:v>
                </c:pt>
                <c:pt idx="45">
                  <c:v>8.3059999999999991E-3</c:v>
                </c:pt>
              </c:numCache>
            </c:numRef>
          </c:cat>
          <c:val>
            <c:numRef>
              <c:f>'[30%conv,700C.CSV.xlsx]30%conv,700C'!$AI$2:$AI$47</c:f>
              <c:numCache>
                <c:formatCode>0.00E+00</c:formatCode>
                <c:ptCount val="46"/>
                <c:pt idx="0">
                  <c:v>1.9909999999999999E-33</c:v>
                </c:pt>
                <c:pt idx="1">
                  <c:v>2.5469999999999999E-32</c:v>
                </c:pt>
                <c:pt idx="2">
                  <c:v>1.561E-33</c:v>
                </c:pt>
                <c:pt idx="3">
                  <c:v>5.8230000000000002E-32</c:v>
                </c:pt>
                <c:pt idx="4">
                  <c:v>8.127E-33</c:v>
                </c:pt>
                <c:pt idx="5">
                  <c:v>1.3579999999999999E-32</c:v>
                </c:pt>
                <c:pt idx="6">
                  <c:v>2.0539999999999999E-32</c:v>
                </c:pt>
                <c:pt idx="7">
                  <c:v>2.2930000000000001E-33</c:v>
                </c:pt>
                <c:pt idx="8">
                  <c:v>9.7720000000000005E-33</c:v>
                </c:pt>
                <c:pt idx="9">
                  <c:v>7.6350000000000002E-33</c:v>
                </c:pt>
                <c:pt idx="10">
                  <c:v>3.3480000000000002E-32</c:v>
                </c:pt>
                <c:pt idx="11">
                  <c:v>1.668E-32</c:v>
                </c:pt>
                <c:pt idx="12">
                  <c:v>2.7420000000000001E-32</c:v>
                </c:pt>
                <c:pt idx="13">
                  <c:v>1.699E-32</c:v>
                </c:pt>
                <c:pt idx="14">
                  <c:v>1.8600000000000001E-32</c:v>
                </c:pt>
                <c:pt idx="15">
                  <c:v>4.3000000000000003E-33</c:v>
                </c:pt>
                <c:pt idx="16">
                  <c:v>1.23E-32</c:v>
                </c:pt>
                <c:pt idx="17">
                  <c:v>8.8809999999999994E-33</c:v>
                </c:pt>
                <c:pt idx="18">
                  <c:v>1.108E-32</c:v>
                </c:pt>
                <c:pt idx="19">
                  <c:v>8.57E-33</c:v>
                </c:pt>
                <c:pt idx="20">
                  <c:v>1.1910000000000001E-33</c:v>
                </c:pt>
                <c:pt idx="21">
                  <c:v>7.2329999999999994E-33</c:v>
                </c:pt>
                <c:pt idx="22">
                  <c:v>1.408E-33</c:v>
                </c:pt>
                <c:pt idx="23">
                  <c:v>1.2409999999999999E-32</c:v>
                </c:pt>
                <c:pt idx="24">
                  <c:v>4.085E-32</c:v>
                </c:pt>
                <c:pt idx="25">
                  <c:v>2.7070000000000001E-32</c:v>
                </c:pt>
                <c:pt idx="26">
                  <c:v>4.6119999999999997E-34</c:v>
                </c:pt>
                <c:pt idx="27">
                  <c:v>2.1119999999999999E-32</c:v>
                </c:pt>
                <c:pt idx="28">
                  <c:v>3.7719999999999999E-34</c:v>
                </c:pt>
                <c:pt idx="29">
                  <c:v>1.538E-33</c:v>
                </c:pt>
                <c:pt idx="30">
                  <c:v>2.2260000000000001E-32</c:v>
                </c:pt>
                <c:pt idx="31">
                  <c:v>7.5260000000000004E-33</c:v>
                </c:pt>
                <c:pt idx="32">
                  <c:v>3.1769999999999999E-32</c:v>
                </c:pt>
                <c:pt idx="33">
                  <c:v>1.0189999999999999E-32</c:v>
                </c:pt>
                <c:pt idx="34">
                  <c:v>1.3760000000000001E-33</c:v>
                </c:pt>
                <c:pt idx="35">
                  <c:v>3.3050000000000002E-32</c:v>
                </c:pt>
                <c:pt idx="36">
                  <c:v>1.041E-33</c:v>
                </c:pt>
                <c:pt idx="37">
                  <c:v>1.198E-33</c:v>
                </c:pt>
                <c:pt idx="38">
                  <c:v>2.5070000000000001E-34</c:v>
                </c:pt>
                <c:pt idx="39">
                  <c:v>1.0189999999999999E-33</c:v>
                </c:pt>
                <c:pt idx="40">
                  <c:v>4.7819999999999998E-34</c:v>
                </c:pt>
                <c:pt idx="41">
                  <c:v>1.7210000000000001E-33</c:v>
                </c:pt>
                <c:pt idx="42">
                  <c:v>1.924E-32</c:v>
                </c:pt>
                <c:pt idx="43">
                  <c:v>5.4400000000000001E-33</c:v>
                </c:pt>
                <c:pt idx="44">
                  <c:v>1.6190000000000001E-33</c:v>
                </c:pt>
                <c:pt idx="45">
                  <c:v>5.8319999999999996E-31</c:v>
                </c:pt>
              </c:numCache>
            </c:numRef>
          </c:val>
          <c:extLst>
            <c:ext xmlns:c16="http://schemas.microsoft.com/office/drawing/2014/chart" uri="{C3380CC4-5D6E-409C-BE32-E72D297353CC}">
              <c16:uniqueId val="{00000013-0F6F-476E-BA91-C9E32E09677C}"/>
            </c:ext>
          </c:extLst>
        </c:ser>
        <c:ser>
          <c:idx val="21"/>
          <c:order val="20"/>
          <c:tx>
            <c:strRef>
              <c:f>'[30%conv,700C.CSV.xlsx]30%conv,700C'!$AJ$1</c:f>
              <c:strCache>
                <c:ptCount val="1"/>
                <c:pt idx="0">
                  <c:v>Outlet</c:v>
                </c:pt>
              </c:strCache>
            </c:strRef>
          </c:tx>
          <c:spPr>
            <a:ln w="9525" cap="rnd">
              <a:solidFill>
                <a:schemeClr val="accent4">
                  <a:lumMod val="80000"/>
                </a:schemeClr>
              </a:solidFill>
              <a:round/>
            </a:ln>
            <a:effectLst/>
          </c:spPr>
          <c:cat>
            <c:numRef>
              <c:f>'[30%conv,700C.CSV.xlsx]30%conv,700C'!$A$2:$A$47</c:f>
              <c:numCache>
                <c:formatCode>General</c:formatCode>
                <c:ptCount val="46"/>
                <c:pt idx="0">
                  <c:v>5.0000000000000001E-4</c:v>
                </c:pt>
                <c:pt idx="1">
                  <c:v>6.7350000000000005E-4</c:v>
                </c:pt>
                <c:pt idx="2">
                  <c:v>8.4690000000000004E-4</c:v>
                </c:pt>
                <c:pt idx="3">
                  <c:v>1.0200000000000001E-3</c:v>
                </c:pt>
                <c:pt idx="4">
                  <c:v>1.194E-3</c:v>
                </c:pt>
                <c:pt idx="5">
                  <c:v>1.3669999999999999E-3</c:v>
                </c:pt>
                <c:pt idx="6">
                  <c:v>1.5410000000000001E-3</c:v>
                </c:pt>
                <c:pt idx="7">
                  <c:v>1.714E-3</c:v>
                </c:pt>
                <c:pt idx="8">
                  <c:v>1.8879999999999999E-3</c:v>
                </c:pt>
                <c:pt idx="9">
                  <c:v>2.0609999999999999E-3</c:v>
                </c:pt>
                <c:pt idx="10">
                  <c:v>2.235E-3</c:v>
                </c:pt>
                <c:pt idx="11">
                  <c:v>2.408E-3</c:v>
                </c:pt>
                <c:pt idx="12">
                  <c:v>2.5820000000000001E-3</c:v>
                </c:pt>
                <c:pt idx="13">
                  <c:v>2.7550000000000001E-3</c:v>
                </c:pt>
                <c:pt idx="14">
                  <c:v>2.9290000000000002E-3</c:v>
                </c:pt>
                <c:pt idx="15">
                  <c:v>3.1020000000000002E-3</c:v>
                </c:pt>
                <c:pt idx="16">
                  <c:v>3.2759999999999998E-3</c:v>
                </c:pt>
                <c:pt idx="17">
                  <c:v>3.4489999999999998E-3</c:v>
                </c:pt>
                <c:pt idx="18">
                  <c:v>3.6219999999999998E-3</c:v>
                </c:pt>
                <c:pt idx="19">
                  <c:v>3.7959999999999999E-3</c:v>
                </c:pt>
                <c:pt idx="20">
                  <c:v>3.9690000000000003E-3</c:v>
                </c:pt>
                <c:pt idx="21">
                  <c:v>4.143E-3</c:v>
                </c:pt>
                <c:pt idx="22">
                  <c:v>4.3160000000000004E-3</c:v>
                </c:pt>
                <c:pt idx="23">
                  <c:v>4.4900000000000001E-3</c:v>
                </c:pt>
                <c:pt idx="24">
                  <c:v>4.6629999999999996E-3</c:v>
                </c:pt>
                <c:pt idx="25">
                  <c:v>4.8370000000000002E-3</c:v>
                </c:pt>
                <c:pt idx="26">
                  <c:v>5.0099999999999997E-3</c:v>
                </c:pt>
                <c:pt idx="27">
                  <c:v>5.1840000000000002E-3</c:v>
                </c:pt>
                <c:pt idx="28">
                  <c:v>5.3569999999999998E-3</c:v>
                </c:pt>
                <c:pt idx="29">
                  <c:v>5.5310000000000003E-3</c:v>
                </c:pt>
                <c:pt idx="30">
                  <c:v>5.7039999999999999E-3</c:v>
                </c:pt>
                <c:pt idx="31">
                  <c:v>5.8780000000000004E-3</c:v>
                </c:pt>
                <c:pt idx="32">
                  <c:v>6.051E-3</c:v>
                </c:pt>
                <c:pt idx="33">
                  <c:v>6.2240000000000004E-3</c:v>
                </c:pt>
                <c:pt idx="34">
                  <c:v>6.398E-3</c:v>
                </c:pt>
                <c:pt idx="35">
                  <c:v>6.5709999999999996E-3</c:v>
                </c:pt>
                <c:pt idx="36">
                  <c:v>6.7450000000000001E-3</c:v>
                </c:pt>
                <c:pt idx="37">
                  <c:v>6.9179999999999997E-3</c:v>
                </c:pt>
                <c:pt idx="38">
                  <c:v>7.0920000000000002E-3</c:v>
                </c:pt>
                <c:pt idx="39">
                  <c:v>7.2649999999999998E-3</c:v>
                </c:pt>
                <c:pt idx="40">
                  <c:v>7.4390000000000003E-3</c:v>
                </c:pt>
                <c:pt idx="41">
                  <c:v>7.6119999999999998E-3</c:v>
                </c:pt>
                <c:pt idx="42">
                  <c:v>7.7860000000000004E-3</c:v>
                </c:pt>
                <c:pt idx="43">
                  <c:v>7.9590000000000008E-3</c:v>
                </c:pt>
                <c:pt idx="44">
                  <c:v>8.1329999999999996E-3</c:v>
                </c:pt>
                <c:pt idx="45">
                  <c:v>8.3059999999999991E-3</c:v>
                </c:pt>
              </c:numCache>
            </c:numRef>
          </c:cat>
          <c:val>
            <c:numRef>
              <c:f>'[30%conv,700C.CSV.xlsx]30%conv,700C'!$AJ$2:$AJ$47</c:f>
              <c:numCache>
                <c:formatCode>0.00E+00</c:formatCode>
                <c:ptCount val="46"/>
                <c:pt idx="0">
                  <c:v>1.9909999999999999E-33</c:v>
                </c:pt>
                <c:pt idx="1">
                  <c:v>2.5469999999999999E-32</c:v>
                </c:pt>
                <c:pt idx="2">
                  <c:v>1.561E-33</c:v>
                </c:pt>
                <c:pt idx="3">
                  <c:v>5.8230000000000002E-32</c:v>
                </c:pt>
                <c:pt idx="4">
                  <c:v>8.127E-33</c:v>
                </c:pt>
                <c:pt idx="5">
                  <c:v>1.3579999999999999E-32</c:v>
                </c:pt>
                <c:pt idx="6">
                  <c:v>2.0539999999999999E-32</c:v>
                </c:pt>
                <c:pt idx="7">
                  <c:v>2.2930000000000001E-33</c:v>
                </c:pt>
                <c:pt idx="8">
                  <c:v>9.7720000000000005E-33</c:v>
                </c:pt>
                <c:pt idx="9">
                  <c:v>7.6350000000000002E-33</c:v>
                </c:pt>
                <c:pt idx="10">
                  <c:v>3.3480000000000002E-32</c:v>
                </c:pt>
                <c:pt idx="11">
                  <c:v>1.668E-32</c:v>
                </c:pt>
                <c:pt idx="12">
                  <c:v>2.7420000000000001E-32</c:v>
                </c:pt>
                <c:pt idx="13">
                  <c:v>1.699E-32</c:v>
                </c:pt>
                <c:pt idx="14">
                  <c:v>1.8600000000000001E-32</c:v>
                </c:pt>
                <c:pt idx="15">
                  <c:v>4.3000000000000003E-33</c:v>
                </c:pt>
                <c:pt idx="16">
                  <c:v>1.23E-32</c:v>
                </c:pt>
                <c:pt idx="17">
                  <c:v>8.8809999999999994E-33</c:v>
                </c:pt>
                <c:pt idx="18">
                  <c:v>1.108E-32</c:v>
                </c:pt>
                <c:pt idx="19">
                  <c:v>8.57E-33</c:v>
                </c:pt>
                <c:pt idx="20">
                  <c:v>1.1910000000000001E-33</c:v>
                </c:pt>
                <c:pt idx="21">
                  <c:v>7.2329999999999994E-33</c:v>
                </c:pt>
                <c:pt idx="22">
                  <c:v>1.408E-33</c:v>
                </c:pt>
                <c:pt idx="23">
                  <c:v>1.2409999999999999E-32</c:v>
                </c:pt>
                <c:pt idx="24">
                  <c:v>4.085E-32</c:v>
                </c:pt>
                <c:pt idx="25">
                  <c:v>2.7070000000000001E-32</c:v>
                </c:pt>
                <c:pt idx="26">
                  <c:v>4.6119999999999997E-34</c:v>
                </c:pt>
                <c:pt idx="27">
                  <c:v>2.1119999999999999E-32</c:v>
                </c:pt>
                <c:pt idx="28">
                  <c:v>3.7719999999999999E-34</c:v>
                </c:pt>
                <c:pt idx="29">
                  <c:v>1.538E-33</c:v>
                </c:pt>
                <c:pt idx="30">
                  <c:v>2.2260000000000001E-32</c:v>
                </c:pt>
                <c:pt idx="31">
                  <c:v>7.5260000000000004E-33</c:v>
                </c:pt>
                <c:pt idx="32">
                  <c:v>3.1769999999999999E-32</c:v>
                </c:pt>
                <c:pt idx="33">
                  <c:v>1.0189999999999999E-32</c:v>
                </c:pt>
                <c:pt idx="34">
                  <c:v>1.3760000000000001E-33</c:v>
                </c:pt>
                <c:pt idx="35">
                  <c:v>3.3050000000000002E-32</c:v>
                </c:pt>
                <c:pt idx="36">
                  <c:v>1.041E-33</c:v>
                </c:pt>
                <c:pt idx="37">
                  <c:v>1.198E-33</c:v>
                </c:pt>
                <c:pt idx="38">
                  <c:v>2.5070000000000001E-34</c:v>
                </c:pt>
                <c:pt idx="39">
                  <c:v>1.0189999999999999E-33</c:v>
                </c:pt>
                <c:pt idx="40">
                  <c:v>4.7819999999999998E-34</c:v>
                </c:pt>
                <c:pt idx="41">
                  <c:v>1.7210000000000001E-33</c:v>
                </c:pt>
                <c:pt idx="42">
                  <c:v>1.924E-32</c:v>
                </c:pt>
                <c:pt idx="43">
                  <c:v>5.4400000000000001E-33</c:v>
                </c:pt>
                <c:pt idx="44">
                  <c:v>1.6190000000000001E-33</c:v>
                </c:pt>
                <c:pt idx="45">
                  <c:v>5.8319999999999996E-31</c:v>
                </c:pt>
              </c:numCache>
            </c:numRef>
          </c:val>
          <c:extLst>
            <c:ext xmlns:c16="http://schemas.microsoft.com/office/drawing/2014/chart" uri="{C3380CC4-5D6E-409C-BE32-E72D297353CC}">
              <c16:uniqueId val="{00000014-0F6F-476E-BA91-C9E32E09677C}"/>
            </c:ext>
          </c:extLst>
        </c:ser>
        <c:bandFmts>
          <c:bandFmt>
            <c:idx val="0"/>
            <c:spPr>
              <a:ln w="9525" cap="rnd">
                <a:solidFill>
                  <a:schemeClr val="accent1"/>
                </a:solidFill>
                <a:round/>
              </a:ln>
              <a:effectLst/>
            </c:spPr>
          </c:bandFmt>
          <c:bandFmt>
            <c:idx val="1"/>
            <c:spPr>
              <a:ln w="9525" cap="rnd">
                <a:solidFill>
                  <a:schemeClr val="accent2"/>
                </a:solidFill>
                <a:round/>
              </a:ln>
              <a:effectLst/>
            </c:spPr>
          </c:bandFmt>
          <c:bandFmt>
            <c:idx val="2"/>
            <c:spPr>
              <a:ln w="9525" cap="rnd">
                <a:solidFill>
                  <a:schemeClr val="accent3"/>
                </a:solidFill>
                <a:round/>
              </a:ln>
              <a:effectLst/>
            </c:spPr>
          </c:bandFmt>
          <c:bandFmt>
            <c:idx val="3"/>
            <c:spPr>
              <a:ln w="9525" cap="rnd">
                <a:solidFill>
                  <a:schemeClr val="accent4"/>
                </a:solidFill>
                <a:round/>
              </a:ln>
              <a:effectLst/>
            </c:spPr>
          </c:bandFmt>
          <c:bandFmt>
            <c:idx val="4"/>
            <c:spPr>
              <a:ln w="9525" cap="rnd">
                <a:solidFill>
                  <a:schemeClr val="accent5"/>
                </a:solidFill>
                <a:round/>
              </a:ln>
              <a:effectLst/>
            </c:spPr>
          </c:bandFmt>
          <c:bandFmt>
            <c:idx val="5"/>
            <c:spPr>
              <a:ln w="9525" cap="rnd">
                <a:solidFill>
                  <a:schemeClr val="accent6"/>
                </a:solidFill>
                <a:round/>
              </a:ln>
              <a:effectLst/>
            </c:spPr>
          </c:bandFmt>
          <c:bandFmt>
            <c:idx val="6"/>
            <c:spPr>
              <a:ln w="9525" cap="rnd">
                <a:solidFill>
                  <a:schemeClr val="accent1">
                    <a:lumMod val="60000"/>
                  </a:schemeClr>
                </a:solidFill>
                <a:round/>
              </a:ln>
              <a:effectLst/>
            </c:spPr>
          </c:bandFmt>
          <c:bandFmt>
            <c:idx val="7"/>
            <c:spPr>
              <a:ln w="9525" cap="rnd">
                <a:solidFill>
                  <a:schemeClr val="accent2">
                    <a:lumMod val="60000"/>
                  </a:schemeClr>
                </a:solidFill>
                <a:round/>
              </a:ln>
              <a:effectLst/>
            </c:spPr>
          </c:bandFmt>
          <c:bandFmt>
            <c:idx val="8"/>
            <c:spPr>
              <a:ln w="9525" cap="rnd">
                <a:solidFill>
                  <a:schemeClr val="accent3">
                    <a:lumMod val="60000"/>
                  </a:schemeClr>
                </a:solidFill>
                <a:round/>
              </a:ln>
              <a:effectLst/>
            </c:spPr>
          </c:bandFmt>
          <c:bandFmt>
            <c:idx val="9"/>
            <c:spPr>
              <a:ln w="9525" cap="rnd">
                <a:solidFill>
                  <a:schemeClr val="accent4">
                    <a:lumMod val="60000"/>
                  </a:schemeClr>
                </a:solidFill>
                <a:round/>
              </a:ln>
              <a:effectLst/>
            </c:spPr>
          </c:bandFmt>
          <c:bandFmt>
            <c:idx val="10"/>
            <c:spPr>
              <a:ln w="9525" cap="rnd">
                <a:solidFill>
                  <a:schemeClr val="accent5">
                    <a:lumMod val="60000"/>
                  </a:schemeClr>
                </a:solidFill>
                <a:round/>
              </a:ln>
              <a:effectLst/>
            </c:spPr>
          </c:bandFmt>
          <c:bandFmt>
            <c:idx val="11"/>
            <c:spPr>
              <a:ln w="9525" cap="rnd">
                <a:solidFill>
                  <a:schemeClr val="accent6">
                    <a:lumMod val="60000"/>
                  </a:schemeClr>
                </a:solidFill>
                <a:round/>
              </a:ln>
              <a:effectLst/>
            </c:spPr>
          </c:bandFmt>
          <c:bandFmt>
            <c:idx val="12"/>
            <c:spPr>
              <a:ln w="9525" cap="rnd">
                <a:solidFill>
                  <a:schemeClr val="accent1">
                    <a:lumMod val="80000"/>
                    <a:lumOff val="20000"/>
                  </a:schemeClr>
                </a:solidFill>
                <a:round/>
              </a:ln>
              <a:effectLst/>
            </c:spPr>
          </c:bandFmt>
          <c:bandFmt>
            <c:idx val="13"/>
            <c:spPr>
              <a:ln w="9525" cap="rnd">
                <a:solidFill>
                  <a:schemeClr val="accent2">
                    <a:lumMod val="80000"/>
                    <a:lumOff val="20000"/>
                  </a:schemeClr>
                </a:solidFill>
                <a:round/>
              </a:ln>
              <a:effectLst/>
            </c:spPr>
          </c:bandFmt>
          <c:bandFmt>
            <c:idx val="14"/>
            <c:spPr>
              <a:ln w="9525" cap="rnd">
                <a:solidFill>
                  <a:schemeClr val="accent3">
                    <a:lumMod val="80000"/>
                    <a:lumOff val="20000"/>
                  </a:schemeClr>
                </a:solidFill>
                <a:round/>
              </a:ln>
              <a:effectLst/>
            </c:spPr>
          </c:bandFmt>
        </c:bandFmts>
        <c:axId val="293258336"/>
        <c:axId val="293254976"/>
        <c:axId val="271738608"/>
      </c:surface3DChart>
      <c:catAx>
        <c:axId val="2932583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Current</a:t>
                </a:r>
                <a:r>
                  <a:rPr lang="en-US" baseline="0"/>
                  <a:t> Density (Acm</a:t>
                </a:r>
                <a:r>
                  <a:rPr lang="en-US" baseline="30000"/>
                  <a:t>-2</a:t>
                </a:r>
                <a:r>
                  <a:rPr lang="en-US" baseline="0"/>
                  <a:t>)</a:t>
                </a:r>
                <a:endParaRPr lang="en-US"/>
              </a:p>
            </c:rich>
          </c:tx>
          <c:overlay val="0"/>
          <c:spPr>
            <a:noFill/>
            <a:ln>
              <a:noFill/>
            </a:ln>
            <a:effectLst/>
          </c:spPr>
        </c:title>
        <c:numFmt formatCode="#,##0.0000"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3254976"/>
        <c:crosses val="autoZero"/>
        <c:auto val="1"/>
        <c:lblAlgn val="ctr"/>
        <c:lblOffset val="100"/>
        <c:tickLblSkip val="5"/>
        <c:noMultiLvlLbl val="0"/>
      </c:catAx>
      <c:valAx>
        <c:axId val="293254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Molar Concentration</a:t>
                </a:r>
                <a:r>
                  <a:rPr lang="en-US" baseline="0"/>
                  <a:t> </a:t>
                </a:r>
                <a:r>
                  <a:rPr lang="en-US"/>
                  <a:t> </a:t>
                </a:r>
              </a:p>
              <a:p>
                <a:pPr>
                  <a:defRPr sz="1000" b="0" i="0" u="none" strike="noStrike" kern="1200" baseline="0">
                    <a:solidFill>
                      <a:schemeClr val="tx1">
                        <a:lumMod val="65000"/>
                        <a:lumOff val="35000"/>
                      </a:schemeClr>
                    </a:solidFill>
                    <a:latin typeface="+mn-lt"/>
                    <a:ea typeface="+mn-ea"/>
                    <a:cs typeface="+mn-cs"/>
                  </a:defRPr>
                </a:pPr>
                <a:r>
                  <a:rPr lang="en-US"/>
                  <a:t>of Water</a:t>
                </a:r>
                <a:r>
                  <a:rPr lang="en-US" baseline="0"/>
                  <a:t> in Fuel (mol/m</a:t>
                </a:r>
                <a:r>
                  <a:rPr lang="en-US" baseline="30000"/>
                  <a:t>3</a:t>
                </a:r>
                <a:r>
                  <a:rPr lang="en-US" baseline="0"/>
                  <a:t>)</a:t>
                </a:r>
                <a:endParaRPr lang="en-US"/>
              </a:p>
            </c:rich>
          </c:tx>
          <c:overlay val="0"/>
          <c:spPr>
            <a:noFill/>
            <a:ln>
              <a:noFill/>
            </a:ln>
            <a:effectLst/>
          </c:spPr>
        </c:title>
        <c:numFmt formatCode="General"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3258336"/>
        <c:crosses val="autoZero"/>
        <c:crossBetween val="midCat"/>
      </c:valAx>
      <c:serAx>
        <c:axId val="271738608"/>
        <c:scaling>
          <c:orientation val="maxMin"/>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3254976"/>
        <c:crosses val="autoZero"/>
        <c:tickLblSkip val="20"/>
      </c:serAx>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ln>
      <a:noFill/>
    </a:ln>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'[30%conv,700C.CSV.xlsx]Temp'!$C$1</c:f>
              <c:strCache>
                <c:ptCount val="1"/>
                <c:pt idx="0">
                  <c:v>Voltage</c:v>
                </c:pt>
              </c:strCache>
            </c:strRef>
          </c:tx>
          <c:spPr>
            <a:ln w="31750" cap="rnd">
              <a:solidFill>
                <a:schemeClr val="accent1"/>
              </a:solidFill>
              <a:round/>
            </a:ln>
            <a:effectLst/>
          </c:spPr>
          <c:marker>
            <c:symbol val="none"/>
          </c:marker>
          <c:xVal>
            <c:numRef>
              <c:f>'[30%conv,700C.CSV.xlsx]Temp'!$B$2:$B$30</c:f>
              <c:numCache>
                <c:formatCode>General</c:formatCode>
                <c:ptCount val="29"/>
                <c:pt idx="0">
                  <c:v>800</c:v>
                </c:pt>
                <c:pt idx="1">
                  <c:v>795</c:v>
                </c:pt>
                <c:pt idx="2">
                  <c:v>790</c:v>
                </c:pt>
                <c:pt idx="3">
                  <c:v>785</c:v>
                </c:pt>
                <c:pt idx="4">
                  <c:v>779</c:v>
                </c:pt>
                <c:pt idx="5">
                  <c:v>774</c:v>
                </c:pt>
                <c:pt idx="6">
                  <c:v>769</c:v>
                </c:pt>
                <c:pt idx="7">
                  <c:v>764</c:v>
                </c:pt>
                <c:pt idx="8">
                  <c:v>759</c:v>
                </c:pt>
                <c:pt idx="9">
                  <c:v>754</c:v>
                </c:pt>
                <c:pt idx="10">
                  <c:v>749</c:v>
                </c:pt>
                <c:pt idx="11">
                  <c:v>744</c:v>
                </c:pt>
                <c:pt idx="12">
                  <c:v>738</c:v>
                </c:pt>
                <c:pt idx="13">
                  <c:v>733</c:v>
                </c:pt>
                <c:pt idx="14">
                  <c:v>728</c:v>
                </c:pt>
                <c:pt idx="15">
                  <c:v>723.1</c:v>
                </c:pt>
                <c:pt idx="16">
                  <c:v>717.9</c:v>
                </c:pt>
                <c:pt idx="17">
                  <c:v>712.8</c:v>
                </c:pt>
                <c:pt idx="18">
                  <c:v>707.7</c:v>
                </c:pt>
                <c:pt idx="19">
                  <c:v>702.6</c:v>
                </c:pt>
                <c:pt idx="20">
                  <c:v>697.4</c:v>
                </c:pt>
                <c:pt idx="21">
                  <c:v>692.3</c:v>
                </c:pt>
                <c:pt idx="22">
                  <c:v>687.2</c:v>
                </c:pt>
                <c:pt idx="23">
                  <c:v>682.1</c:v>
                </c:pt>
                <c:pt idx="24">
                  <c:v>676.9</c:v>
                </c:pt>
                <c:pt idx="25">
                  <c:v>671.8</c:v>
                </c:pt>
                <c:pt idx="26">
                  <c:v>666.7</c:v>
                </c:pt>
                <c:pt idx="27">
                  <c:v>661.5</c:v>
                </c:pt>
                <c:pt idx="28">
                  <c:v>656.4</c:v>
                </c:pt>
              </c:numCache>
            </c:numRef>
          </c:xVal>
          <c:yVal>
            <c:numRef>
              <c:f>'[30%conv,700C.CSV.xlsx]Temp'!$C$2:$C$30</c:f>
              <c:numCache>
                <c:formatCode>General</c:formatCode>
                <c:ptCount val="29"/>
                <c:pt idx="0">
                  <c:v>1.0009999999999999</c:v>
                </c:pt>
                <c:pt idx="1">
                  <c:v>0.99960000000000004</c:v>
                </c:pt>
                <c:pt idx="2">
                  <c:v>0.99809999999999999</c:v>
                </c:pt>
                <c:pt idx="3">
                  <c:v>0.99660000000000004</c:v>
                </c:pt>
                <c:pt idx="4">
                  <c:v>0.99509999999999998</c:v>
                </c:pt>
                <c:pt idx="5">
                  <c:v>0.99350000000000005</c:v>
                </c:pt>
                <c:pt idx="6">
                  <c:v>0.9919</c:v>
                </c:pt>
                <c:pt idx="7">
                  <c:v>0.99019999999999997</c:v>
                </c:pt>
                <c:pt idx="8">
                  <c:v>0.98839999999999995</c:v>
                </c:pt>
                <c:pt idx="9">
                  <c:v>0.98660000000000003</c:v>
                </c:pt>
                <c:pt idx="10">
                  <c:v>0.98470000000000002</c:v>
                </c:pt>
                <c:pt idx="11">
                  <c:v>0.98270000000000002</c:v>
                </c:pt>
                <c:pt idx="12">
                  <c:v>0.98060000000000003</c:v>
                </c:pt>
                <c:pt idx="13">
                  <c:v>0.97840000000000005</c:v>
                </c:pt>
                <c:pt idx="14">
                  <c:v>0.97599999999999998</c:v>
                </c:pt>
                <c:pt idx="15">
                  <c:v>0.97350000000000003</c:v>
                </c:pt>
                <c:pt idx="16">
                  <c:v>0.9708</c:v>
                </c:pt>
                <c:pt idx="17">
                  <c:v>0.96789999999999998</c:v>
                </c:pt>
                <c:pt idx="18">
                  <c:v>0.9647</c:v>
                </c:pt>
                <c:pt idx="19">
                  <c:v>0.96120000000000005</c:v>
                </c:pt>
                <c:pt idx="20">
                  <c:v>0.95720000000000005</c:v>
                </c:pt>
                <c:pt idx="21">
                  <c:v>0.95269999999999999</c:v>
                </c:pt>
                <c:pt idx="22">
                  <c:v>0.94750000000000001</c:v>
                </c:pt>
                <c:pt idx="23">
                  <c:v>0.94120000000000004</c:v>
                </c:pt>
                <c:pt idx="24">
                  <c:v>0.9335</c:v>
                </c:pt>
                <c:pt idx="25">
                  <c:v>0.9234</c:v>
                </c:pt>
                <c:pt idx="26">
                  <c:v>0.90910000000000002</c:v>
                </c:pt>
                <c:pt idx="27">
                  <c:v>0.88490000000000002</c:v>
                </c:pt>
                <c:pt idx="28">
                  <c:v>0.7974</c:v>
                </c:pt>
              </c:numCache>
            </c:numRef>
          </c:yVal>
          <c:smooth val="0"/>
          <c:extLst>
            <c:ext xmlns:c16="http://schemas.microsoft.com/office/drawing/2014/chart" uri="{C3380CC4-5D6E-409C-BE32-E72D297353CC}">
              <c16:uniqueId val="{00000000-FDAA-4707-9AC3-8A9D9AAD685B}"/>
            </c:ext>
          </c:extLst>
        </c:ser>
        <c:ser>
          <c:idx val="1"/>
          <c:order val="1"/>
          <c:tx>
            <c:strRef>
              <c:f>'[30%conv,700C.CSV.xlsx]Temp'!$D$1</c:f>
              <c:strCache>
                <c:ptCount val="1"/>
                <c:pt idx="0">
                  <c:v>L/gcat/h</c:v>
                </c:pt>
              </c:strCache>
            </c:strRef>
          </c:tx>
          <c:spPr>
            <a:ln w="31750" cap="rnd">
              <a:solidFill>
                <a:schemeClr val="tx1"/>
              </a:solidFill>
              <a:prstDash val="sysDash"/>
              <a:round/>
            </a:ln>
            <a:effectLst/>
          </c:spPr>
          <c:marker>
            <c:symbol val="circle"/>
            <c:size val="5"/>
            <c:spPr>
              <a:noFill/>
              <a:ln w="9525">
                <a:noFill/>
              </a:ln>
              <a:effectLst/>
            </c:spPr>
          </c:marker>
          <c:xVal>
            <c:numRef>
              <c:f>'[30%conv,700C.CSV.xlsx]Temp'!$B$2:$B$30</c:f>
              <c:numCache>
                <c:formatCode>General</c:formatCode>
                <c:ptCount val="29"/>
                <c:pt idx="0">
                  <c:v>800</c:v>
                </c:pt>
                <c:pt idx="1">
                  <c:v>795</c:v>
                </c:pt>
                <c:pt idx="2">
                  <c:v>790</c:v>
                </c:pt>
                <c:pt idx="3">
                  <c:v>785</c:v>
                </c:pt>
                <c:pt idx="4">
                  <c:v>779</c:v>
                </c:pt>
                <c:pt idx="5">
                  <c:v>774</c:v>
                </c:pt>
                <c:pt idx="6">
                  <c:v>769</c:v>
                </c:pt>
                <c:pt idx="7">
                  <c:v>764</c:v>
                </c:pt>
                <c:pt idx="8">
                  <c:v>759</c:v>
                </c:pt>
                <c:pt idx="9">
                  <c:v>754</c:v>
                </c:pt>
                <c:pt idx="10">
                  <c:v>749</c:v>
                </c:pt>
                <c:pt idx="11">
                  <c:v>744</c:v>
                </c:pt>
                <c:pt idx="12">
                  <c:v>738</c:v>
                </c:pt>
                <c:pt idx="13">
                  <c:v>733</c:v>
                </c:pt>
                <c:pt idx="14">
                  <c:v>728</c:v>
                </c:pt>
                <c:pt idx="15">
                  <c:v>723.1</c:v>
                </c:pt>
                <c:pt idx="16">
                  <c:v>717.9</c:v>
                </c:pt>
                <c:pt idx="17">
                  <c:v>712.8</c:v>
                </c:pt>
                <c:pt idx="18">
                  <c:v>707.7</c:v>
                </c:pt>
                <c:pt idx="19">
                  <c:v>702.6</c:v>
                </c:pt>
                <c:pt idx="20">
                  <c:v>697.4</c:v>
                </c:pt>
                <c:pt idx="21">
                  <c:v>692.3</c:v>
                </c:pt>
                <c:pt idx="22">
                  <c:v>687.2</c:v>
                </c:pt>
                <c:pt idx="23">
                  <c:v>682.1</c:v>
                </c:pt>
                <c:pt idx="24">
                  <c:v>676.9</c:v>
                </c:pt>
                <c:pt idx="25">
                  <c:v>671.8</c:v>
                </c:pt>
                <c:pt idx="26">
                  <c:v>666.7</c:v>
                </c:pt>
                <c:pt idx="27">
                  <c:v>661.5</c:v>
                </c:pt>
                <c:pt idx="28">
                  <c:v>656.4</c:v>
                </c:pt>
              </c:numCache>
            </c:numRef>
          </c:xVal>
          <c:yVal>
            <c:numRef>
              <c:f>'[30%conv,700C.CSV.xlsx]Temp'!$D$2:$D$30</c:f>
              <c:numCache>
                <c:formatCode>General</c:formatCode>
                <c:ptCount val="29"/>
                <c:pt idx="0">
                  <c:v>1.8420000000000001</c:v>
                </c:pt>
                <c:pt idx="1">
                  <c:v>1.76</c:v>
                </c:pt>
                <c:pt idx="2">
                  <c:v>1.6819999999999999</c:v>
                </c:pt>
                <c:pt idx="3">
                  <c:v>1.6060000000000001</c:v>
                </c:pt>
                <c:pt idx="4">
                  <c:v>1.534</c:v>
                </c:pt>
                <c:pt idx="5">
                  <c:v>1.4650000000000001</c:v>
                </c:pt>
                <c:pt idx="6">
                  <c:v>1.399</c:v>
                </c:pt>
                <c:pt idx="7">
                  <c:v>1.335</c:v>
                </c:pt>
                <c:pt idx="8">
                  <c:v>1.2749999999999999</c:v>
                </c:pt>
                <c:pt idx="9">
                  <c:v>1.216</c:v>
                </c:pt>
                <c:pt idx="10">
                  <c:v>1.161</c:v>
                </c:pt>
                <c:pt idx="11">
                  <c:v>1.107</c:v>
                </c:pt>
                <c:pt idx="12">
                  <c:v>1.0569999999999999</c:v>
                </c:pt>
                <c:pt idx="13">
                  <c:v>1.008</c:v>
                </c:pt>
                <c:pt idx="14">
                  <c:v>0.96150000000000002</c:v>
                </c:pt>
                <c:pt idx="15">
                  <c:v>0.91720000000000002</c:v>
                </c:pt>
                <c:pt idx="16">
                  <c:v>0.87490000000000001</c:v>
                </c:pt>
                <c:pt idx="17">
                  <c:v>0.83450000000000002</c:v>
                </c:pt>
                <c:pt idx="18">
                  <c:v>0.79610000000000003</c:v>
                </c:pt>
                <c:pt idx="19">
                  <c:v>0.75939999999999996</c:v>
                </c:pt>
                <c:pt idx="20">
                  <c:v>0.72450000000000003</c:v>
                </c:pt>
                <c:pt idx="21">
                  <c:v>0.69120000000000004</c:v>
                </c:pt>
                <c:pt idx="22">
                  <c:v>0.65939999999999999</c:v>
                </c:pt>
                <c:pt idx="23">
                  <c:v>0.62909999999999999</c:v>
                </c:pt>
                <c:pt idx="24">
                  <c:v>0.60029999999999994</c:v>
                </c:pt>
                <c:pt idx="25">
                  <c:v>0.57279999999999998</c:v>
                </c:pt>
                <c:pt idx="26">
                  <c:v>0.54679999999999995</c:v>
                </c:pt>
                <c:pt idx="27">
                  <c:v>0.52210000000000001</c:v>
                </c:pt>
                <c:pt idx="28">
                  <c:v>0.49880000000000002</c:v>
                </c:pt>
              </c:numCache>
            </c:numRef>
          </c:yVal>
          <c:smooth val="0"/>
          <c:extLst>
            <c:ext xmlns:c16="http://schemas.microsoft.com/office/drawing/2014/chart" uri="{C3380CC4-5D6E-409C-BE32-E72D297353CC}">
              <c16:uniqueId val="{00000001-FDAA-4707-9AC3-8A9D9AAD685B}"/>
            </c:ext>
          </c:extLst>
        </c:ser>
        <c:dLbls>
          <c:showLegendKey val="0"/>
          <c:showVal val="0"/>
          <c:showCatName val="0"/>
          <c:showSerName val="0"/>
          <c:showPercent val="0"/>
          <c:showBubbleSize val="0"/>
        </c:dLbls>
        <c:axId val="1498156895"/>
        <c:axId val="1498159295"/>
      </c:scatterChart>
      <c:valAx>
        <c:axId val="1498156895"/>
        <c:scaling>
          <c:orientation val="minMax"/>
          <c:min val="65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Inlet Temperature (C)</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8159295"/>
        <c:crosses val="autoZero"/>
        <c:crossBetween val="midCat"/>
      </c:valAx>
      <c:valAx>
        <c:axId val="149815929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Voltage &amp; Flow</a:t>
                </a:r>
                <a:r>
                  <a:rPr lang="en-US" baseline="0"/>
                  <a:t> Rate (L/gcat/h)</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8156895"/>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a:t>
            </a:r>
          </a:p>
        </c:rich>
      </c:tx>
      <c:layout>
        <c:manualLayout>
          <c:xMode val="edge"/>
          <c:yMode val="edge"/>
          <c:x val="0"/>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821177419637691"/>
          <c:y val="5.0387016229712873E-2"/>
          <c:w val="0.75131204367828197"/>
          <c:h val="0.61404032361123395"/>
        </c:manualLayout>
      </c:layout>
      <c:scatterChart>
        <c:scatterStyle val="smoothMarker"/>
        <c:varyColors val="0"/>
        <c:ser>
          <c:idx val="0"/>
          <c:order val="0"/>
          <c:tx>
            <c:strRef>
              <c:f>'[30%conv,700C.CSV.xlsx]Vary F_U'!$L$3</c:f>
              <c:strCache>
                <c:ptCount val="1"/>
                <c:pt idx="0">
                  <c:v>CE</c:v>
                </c:pt>
              </c:strCache>
            </c:strRef>
          </c:tx>
          <c:spPr>
            <a:ln w="19050" cap="rnd">
              <a:solidFill>
                <a:schemeClr val="tx2"/>
              </a:solidFill>
              <a:prstDash val="sysDash"/>
              <a:round/>
            </a:ln>
            <a:effectLst/>
          </c:spPr>
          <c:marker>
            <c:symbol val="none"/>
          </c:marker>
          <c:xVal>
            <c:numRef>
              <c:f>'[30%conv,700C.CSV.xlsx]Vary F_U'!$A$4:$A$55</c:f>
              <c:numCache>
                <c:formatCode>General</c:formatCode>
                <c:ptCount val="52"/>
                <c:pt idx="0">
                  <c:v>55</c:v>
                </c:pt>
                <c:pt idx="1">
                  <c:v>54</c:v>
                </c:pt>
                <c:pt idx="2">
                  <c:v>53</c:v>
                </c:pt>
                <c:pt idx="3">
                  <c:v>52</c:v>
                </c:pt>
                <c:pt idx="4">
                  <c:v>51</c:v>
                </c:pt>
                <c:pt idx="5">
                  <c:v>50</c:v>
                </c:pt>
                <c:pt idx="6">
                  <c:v>49</c:v>
                </c:pt>
                <c:pt idx="7">
                  <c:v>48</c:v>
                </c:pt>
                <c:pt idx="8">
                  <c:v>47</c:v>
                </c:pt>
                <c:pt idx="9">
                  <c:v>46</c:v>
                </c:pt>
                <c:pt idx="10">
                  <c:v>45</c:v>
                </c:pt>
                <c:pt idx="11">
                  <c:v>44</c:v>
                </c:pt>
                <c:pt idx="12">
                  <c:v>43</c:v>
                </c:pt>
                <c:pt idx="13">
                  <c:v>42</c:v>
                </c:pt>
                <c:pt idx="14">
                  <c:v>41</c:v>
                </c:pt>
                <c:pt idx="15">
                  <c:v>40</c:v>
                </c:pt>
                <c:pt idx="16">
                  <c:v>39</c:v>
                </c:pt>
                <c:pt idx="17">
                  <c:v>38</c:v>
                </c:pt>
                <c:pt idx="18">
                  <c:v>37</c:v>
                </c:pt>
                <c:pt idx="19">
                  <c:v>36</c:v>
                </c:pt>
                <c:pt idx="20">
                  <c:v>35</c:v>
                </c:pt>
                <c:pt idx="21">
                  <c:v>34</c:v>
                </c:pt>
                <c:pt idx="22">
                  <c:v>33</c:v>
                </c:pt>
                <c:pt idx="23">
                  <c:v>32</c:v>
                </c:pt>
                <c:pt idx="24">
                  <c:v>31</c:v>
                </c:pt>
                <c:pt idx="25">
                  <c:v>30</c:v>
                </c:pt>
                <c:pt idx="26">
                  <c:v>29</c:v>
                </c:pt>
                <c:pt idx="27">
                  <c:v>28</c:v>
                </c:pt>
                <c:pt idx="28">
                  <c:v>27</c:v>
                </c:pt>
                <c:pt idx="29">
                  <c:v>26</c:v>
                </c:pt>
                <c:pt idx="30">
                  <c:v>25</c:v>
                </c:pt>
                <c:pt idx="31">
                  <c:v>24</c:v>
                </c:pt>
                <c:pt idx="32">
                  <c:v>23</c:v>
                </c:pt>
                <c:pt idx="33">
                  <c:v>22</c:v>
                </c:pt>
                <c:pt idx="34">
                  <c:v>21</c:v>
                </c:pt>
                <c:pt idx="35">
                  <c:v>20</c:v>
                </c:pt>
                <c:pt idx="36">
                  <c:v>19</c:v>
                </c:pt>
                <c:pt idx="37">
                  <c:v>18</c:v>
                </c:pt>
                <c:pt idx="38">
                  <c:v>17</c:v>
                </c:pt>
                <c:pt idx="39">
                  <c:v>16</c:v>
                </c:pt>
                <c:pt idx="40">
                  <c:v>15</c:v>
                </c:pt>
                <c:pt idx="41">
                  <c:v>14</c:v>
                </c:pt>
                <c:pt idx="42">
                  <c:v>13</c:v>
                </c:pt>
                <c:pt idx="43">
                  <c:v>12</c:v>
                </c:pt>
                <c:pt idx="44">
                  <c:v>11</c:v>
                </c:pt>
                <c:pt idx="45">
                  <c:v>10</c:v>
                </c:pt>
                <c:pt idx="46">
                  <c:v>9</c:v>
                </c:pt>
                <c:pt idx="47">
                  <c:v>8</c:v>
                </c:pt>
                <c:pt idx="48">
                  <c:v>7</c:v>
                </c:pt>
                <c:pt idx="49">
                  <c:v>6</c:v>
                </c:pt>
                <c:pt idx="50">
                  <c:v>5</c:v>
                </c:pt>
                <c:pt idx="51">
                  <c:v>4</c:v>
                </c:pt>
              </c:numCache>
            </c:numRef>
          </c:xVal>
          <c:yVal>
            <c:numRef>
              <c:f>'[30%conv,700C.CSV.xlsx]Vary F_U'!$L$4:$L$55</c:f>
              <c:numCache>
                <c:formatCode>General</c:formatCode>
                <c:ptCount val="52"/>
                <c:pt idx="0">
                  <c:v>62.160000000000004</c:v>
                </c:pt>
                <c:pt idx="1">
                  <c:v>64.12</c:v>
                </c:pt>
                <c:pt idx="2">
                  <c:v>65.5</c:v>
                </c:pt>
                <c:pt idx="3">
                  <c:v>66.58</c:v>
                </c:pt>
                <c:pt idx="4">
                  <c:v>67.47999999999999</c:v>
                </c:pt>
                <c:pt idx="5">
                  <c:v>68.239999999999995</c:v>
                </c:pt>
                <c:pt idx="6">
                  <c:v>68.92</c:v>
                </c:pt>
                <c:pt idx="7">
                  <c:v>69.52000000000001</c:v>
                </c:pt>
                <c:pt idx="8">
                  <c:v>70.06</c:v>
                </c:pt>
                <c:pt idx="9">
                  <c:v>70.56</c:v>
                </c:pt>
                <c:pt idx="10">
                  <c:v>71.009999999999991</c:v>
                </c:pt>
                <c:pt idx="11">
                  <c:v>71.430000000000007</c:v>
                </c:pt>
                <c:pt idx="12">
                  <c:v>71.819999999999993</c:v>
                </c:pt>
                <c:pt idx="13">
                  <c:v>72.19</c:v>
                </c:pt>
                <c:pt idx="14">
                  <c:v>72.53</c:v>
                </c:pt>
                <c:pt idx="15">
                  <c:v>72.86</c:v>
                </c:pt>
                <c:pt idx="16">
                  <c:v>73.17</c:v>
                </c:pt>
                <c:pt idx="17">
                  <c:v>73.47</c:v>
                </c:pt>
                <c:pt idx="18">
                  <c:v>73.75</c:v>
                </c:pt>
                <c:pt idx="19">
                  <c:v>74.03</c:v>
                </c:pt>
                <c:pt idx="20">
                  <c:v>74.290000000000006</c:v>
                </c:pt>
                <c:pt idx="21">
                  <c:v>74.550000000000011</c:v>
                </c:pt>
                <c:pt idx="22">
                  <c:v>74.8</c:v>
                </c:pt>
                <c:pt idx="23">
                  <c:v>75.039999999999992</c:v>
                </c:pt>
                <c:pt idx="24">
                  <c:v>75.28</c:v>
                </c:pt>
                <c:pt idx="25">
                  <c:v>75.52</c:v>
                </c:pt>
                <c:pt idx="26">
                  <c:v>75.75</c:v>
                </c:pt>
                <c:pt idx="27">
                  <c:v>75.98</c:v>
                </c:pt>
                <c:pt idx="28">
                  <c:v>76.22</c:v>
                </c:pt>
                <c:pt idx="29">
                  <c:v>76.44</c:v>
                </c:pt>
                <c:pt idx="30">
                  <c:v>76.67</c:v>
                </c:pt>
                <c:pt idx="31">
                  <c:v>76.91</c:v>
                </c:pt>
                <c:pt idx="32">
                  <c:v>77.14</c:v>
                </c:pt>
                <c:pt idx="33">
                  <c:v>77.38000000000001</c:v>
                </c:pt>
                <c:pt idx="34">
                  <c:v>77.62</c:v>
                </c:pt>
                <c:pt idx="35">
                  <c:v>77.86</c:v>
                </c:pt>
                <c:pt idx="36">
                  <c:v>78.11</c:v>
                </c:pt>
                <c:pt idx="37">
                  <c:v>78.36999999999999</c:v>
                </c:pt>
                <c:pt idx="38">
                  <c:v>78.64</c:v>
                </c:pt>
                <c:pt idx="39">
                  <c:v>78.92</c:v>
                </c:pt>
                <c:pt idx="40">
                  <c:v>79.22</c:v>
                </c:pt>
                <c:pt idx="41">
                  <c:v>79.53</c:v>
                </c:pt>
                <c:pt idx="42">
                  <c:v>79.86999999999999</c:v>
                </c:pt>
                <c:pt idx="43">
                  <c:v>80.23</c:v>
                </c:pt>
                <c:pt idx="44">
                  <c:v>80.62</c:v>
                </c:pt>
                <c:pt idx="45">
                  <c:v>81.05</c:v>
                </c:pt>
                <c:pt idx="46">
                  <c:v>81.540000000000006</c:v>
                </c:pt>
                <c:pt idx="47">
                  <c:v>82.11</c:v>
                </c:pt>
                <c:pt idx="48">
                  <c:v>82.789999999999992</c:v>
                </c:pt>
                <c:pt idx="49">
                  <c:v>83.64</c:v>
                </c:pt>
                <c:pt idx="50">
                  <c:v>84.75</c:v>
                </c:pt>
                <c:pt idx="51">
                  <c:v>86.3</c:v>
                </c:pt>
              </c:numCache>
            </c:numRef>
          </c:yVal>
          <c:smooth val="1"/>
          <c:extLst>
            <c:ext xmlns:c16="http://schemas.microsoft.com/office/drawing/2014/chart" uri="{C3380CC4-5D6E-409C-BE32-E72D297353CC}">
              <c16:uniqueId val="{00000000-6DAE-4A4C-9ECE-80D8E2C539CA}"/>
            </c:ext>
          </c:extLst>
        </c:ser>
        <c:dLbls>
          <c:showLegendKey val="0"/>
          <c:showVal val="0"/>
          <c:showCatName val="0"/>
          <c:showSerName val="0"/>
          <c:showPercent val="0"/>
          <c:showBubbleSize val="0"/>
        </c:dLbls>
        <c:axId val="1457309487"/>
        <c:axId val="1457308047"/>
      </c:scatterChart>
      <c:scatterChart>
        <c:scatterStyle val="smoothMarker"/>
        <c:varyColors val="0"/>
        <c:ser>
          <c:idx val="2"/>
          <c:order val="1"/>
          <c:tx>
            <c:v>Flowrate</c:v>
          </c:tx>
          <c:spPr>
            <a:ln w="19050" cap="rnd">
              <a:solidFill>
                <a:schemeClr val="accent3"/>
              </a:solidFill>
              <a:round/>
            </a:ln>
            <a:effectLst/>
          </c:spPr>
          <c:marker>
            <c:symbol val="none"/>
          </c:marker>
          <c:xVal>
            <c:numRef>
              <c:f>'[30%conv,700C.CSV.xlsx]Vary F_U'!$A$4:$A$55</c:f>
              <c:numCache>
                <c:formatCode>General</c:formatCode>
                <c:ptCount val="52"/>
                <c:pt idx="0">
                  <c:v>55</c:v>
                </c:pt>
                <c:pt idx="1">
                  <c:v>54</c:v>
                </c:pt>
                <c:pt idx="2">
                  <c:v>53</c:v>
                </c:pt>
                <c:pt idx="3">
                  <c:v>52</c:v>
                </c:pt>
                <c:pt idx="4">
                  <c:v>51</c:v>
                </c:pt>
                <c:pt idx="5">
                  <c:v>50</c:v>
                </c:pt>
                <c:pt idx="6">
                  <c:v>49</c:v>
                </c:pt>
                <c:pt idx="7">
                  <c:v>48</c:v>
                </c:pt>
                <c:pt idx="8">
                  <c:v>47</c:v>
                </c:pt>
                <c:pt idx="9">
                  <c:v>46</c:v>
                </c:pt>
                <c:pt idx="10">
                  <c:v>45</c:v>
                </c:pt>
                <c:pt idx="11">
                  <c:v>44</c:v>
                </c:pt>
                <c:pt idx="12">
                  <c:v>43</c:v>
                </c:pt>
                <c:pt idx="13">
                  <c:v>42</c:v>
                </c:pt>
                <c:pt idx="14">
                  <c:v>41</c:v>
                </c:pt>
                <c:pt idx="15">
                  <c:v>40</c:v>
                </c:pt>
                <c:pt idx="16">
                  <c:v>39</c:v>
                </c:pt>
                <c:pt idx="17">
                  <c:v>38</c:v>
                </c:pt>
                <c:pt idx="18">
                  <c:v>37</c:v>
                </c:pt>
                <c:pt idx="19">
                  <c:v>36</c:v>
                </c:pt>
                <c:pt idx="20">
                  <c:v>35</c:v>
                </c:pt>
                <c:pt idx="21">
                  <c:v>34</c:v>
                </c:pt>
                <c:pt idx="22">
                  <c:v>33</c:v>
                </c:pt>
                <c:pt idx="23">
                  <c:v>32</c:v>
                </c:pt>
                <c:pt idx="24">
                  <c:v>31</c:v>
                </c:pt>
                <c:pt idx="25">
                  <c:v>30</c:v>
                </c:pt>
                <c:pt idx="26">
                  <c:v>29</c:v>
                </c:pt>
                <c:pt idx="27">
                  <c:v>28</c:v>
                </c:pt>
                <c:pt idx="28">
                  <c:v>27</c:v>
                </c:pt>
                <c:pt idx="29">
                  <c:v>26</c:v>
                </c:pt>
                <c:pt idx="30">
                  <c:v>25</c:v>
                </c:pt>
                <c:pt idx="31">
                  <c:v>24</c:v>
                </c:pt>
                <c:pt idx="32">
                  <c:v>23</c:v>
                </c:pt>
                <c:pt idx="33">
                  <c:v>22</c:v>
                </c:pt>
                <c:pt idx="34">
                  <c:v>21</c:v>
                </c:pt>
                <c:pt idx="35">
                  <c:v>20</c:v>
                </c:pt>
                <c:pt idx="36">
                  <c:v>19</c:v>
                </c:pt>
                <c:pt idx="37">
                  <c:v>18</c:v>
                </c:pt>
                <c:pt idx="38">
                  <c:v>17</c:v>
                </c:pt>
                <c:pt idx="39">
                  <c:v>16</c:v>
                </c:pt>
                <c:pt idx="40">
                  <c:v>15</c:v>
                </c:pt>
                <c:pt idx="41">
                  <c:v>14</c:v>
                </c:pt>
                <c:pt idx="42">
                  <c:v>13</c:v>
                </c:pt>
                <c:pt idx="43">
                  <c:v>12</c:v>
                </c:pt>
                <c:pt idx="44">
                  <c:v>11</c:v>
                </c:pt>
                <c:pt idx="45">
                  <c:v>10</c:v>
                </c:pt>
                <c:pt idx="46">
                  <c:v>9</c:v>
                </c:pt>
                <c:pt idx="47">
                  <c:v>8</c:v>
                </c:pt>
                <c:pt idx="48">
                  <c:v>7</c:v>
                </c:pt>
                <c:pt idx="49">
                  <c:v>6</c:v>
                </c:pt>
                <c:pt idx="50">
                  <c:v>5</c:v>
                </c:pt>
                <c:pt idx="51">
                  <c:v>4</c:v>
                </c:pt>
              </c:numCache>
            </c:numRef>
          </c:xVal>
          <c:yVal>
            <c:numRef>
              <c:f>'[30%conv,700C.CSV.xlsx]Vary F_U'!$D$4:$D$55</c:f>
              <c:numCache>
                <c:formatCode>General</c:formatCode>
                <c:ptCount val="52"/>
                <c:pt idx="0">
                  <c:v>0.50280000000000002</c:v>
                </c:pt>
                <c:pt idx="1">
                  <c:v>0.51170000000000004</c:v>
                </c:pt>
                <c:pt idx="2">
                  <c:v>0.5212</c:v>
                </c:pt>
                <c:pt idx="3">
                  <c:v>0.53120000000000001</c:v>
                </c:pt>
                <c:pt idx="4">
                  <c:v>0.54169999999999996</c:v>
                </c:pt>
                <c:pt idx="5">
                  <c:v>0.55279999999999996</c:v>
                </c:pt>
                <c:pt idx="6">
                  <c:v>0.56459999999999999</c:v>
                </c:pt>
                <c:pt idx="7">
                  <c:v>0.57699999999999996</c:v>
                </c:pt>
                <c:pt idx="8">
                  <c:v>0.59</c:v>
                </c:pt>
                <c:pt idx="9">
                  <c:v>0.6038</c:v>
                </c:pt>
                <c:pt idx="10">
                  <c:v>0.61829999999999996</c:v>
                </c:pt>
                <c:pt idx="11">
                  <c:v>0.63360000000000005</c:v>
                </c:pt>
                <c:pt idx="12">
                  <c:v>0.64980000000000004</c:v>
                </c:pt>
                <c:pt idx="13">
                  <c:v>0.66679999999999995</c:v>
                </c:pt>
                <c:pt idx="14">
                  <c:v>0.68479999999999996</c:v>
                </c:pt>
                <c:pt idx="15">
                  <c:v>0.70389999999999997</c:v>
                </c:pt>
                <c:pt idx="16">
                  <c:v>0.72399999999999998</c:v>
                </c:pt>
                <c:pt idx="17">
                  <c:v>0.74529999999999996</c:v>
                </c:pt>
                <c:pt idx="18">
                  <c:v>0.76790000000000003</c:v>
                </c:pt>
                <c:pt idx="19">
                  <c:v>0.79190000000000005</c:v>
                </c:pt>
                <c:pt idx="20">
                  <c:v>0.81740000000000002</c:v>
                </c:pt>
                <c:pt idx="21">
                  <c:v>0.84460000000000002</c:v>
                </c:pt>
                <c:pt idx="22">
                  <c:v>0.87360000000000004</c:v>
                </c:pt>
                <c:pt idx="23">
                  <c:v>0.90459999999999996</c:v>
                </c:pt>
                <c:pt idx="24">
                  <c:v>0.93789999999999996</c:v>
                </c:pt>
                <c:pt idx="25">
                  <c:v>0.97350000000000003</c:v>
                </c:pt>
                <c:pt idx="26">
                  <c:v>1.012</c:v>
                </c:pt>
                <c:pt idx="27">
                  <c:v>1.0529999999999999</c:v>
                </c:pt>
                <c:pt idx="28">
                  <c:v>1.0980000000000001</c:v>
                </c:pt>
                <c:pt idx="29">
                  <c:v>1.147</c:v>
                </c:pt>
                <c:pt idx="30">
                  <c:v>1.2</c:v>
                </c:pt>
                <c:pt idx="31">
                  <c:v>1.258</c:v>
                </c:pt>
                <c:pt idx="32">
                  <c:v>1.321</c:v>
                </c:pt>
                <c:pt idx="33">
                  <c:v>1.391</c:v>
                </c:pt>
                <c:pt idx="34">
                  <c:v>1.4690000000000001</c:v>
                </c:pt>
                <c:pt idx="35">
                  <c:v>1.556</c:v>
                </c:pt>
                <c:pt idx="36">
                  <c:v>1.653</c:v>
                </c:pt>
                <c:pt idx="37">
                  <c:v>1.762</c:v>
                </c:pt>
                <c:pt idx="38">
                  <c:v>1.8859999999999999</c:v>
                </c:pt>
                <c:pt idx="39">
                  <c:v>2.0289999999999999</c:v>
                </c:pt>
                <c:pt idx="40">
                  <c:v>2.194</c:v>
                </c:pt>
                <c:pt idx="41">
                  <c:v>2.3879999999999999</c:v>
                </c:pt>
                <c:pt idx="42">
                  <c:v>2.6190000000000002</c:v>
                </c:pt>
                <c:pt idx="43">
                  <c:v>2.8980000000000001</c:v>
                </c:pt>
                <c:pt idx="44">
                  <c:v>3.242</c:v>
                </c:pt>
                <c:pt idx="45">
                  <c:v>3.6760000000000002</c:v>
                </c:pt>
                <c:pt idx="46">
                  <c:v>4.2439999999999998</c:v>
                </c:pt>
                <c:pt idx="47">
                  <c:v>5.0170000000000003</c:v>
                </c:pt>
                <c:pt idx="48">
                  <c:v>6.1310000000000002</c:v>
                </c:pt>
                <c:pt idx="49">
                  <c:v>7.8789999999999996</c:v>
                </c:pt>
                <c:pt idx="50">
                  <c:v>11.03</c:v>
                </c:pt>
                <c:pt idx="51">
                  <c:v>18.46</c:v>
                </c:pt>
              </c:numCache>
            </c:numRef>
          </c:yVal>
          <c:smooth val="1"/>
          <c:extLst>
            <c:ext xmlns:c16="http://schemas.microsoft.com/office/drawing/2014/chart" uri="{C3380CC4-5D6E-409C-BE32-E72D297353CC}">
              <c16:uniqueId val="{00000001-6DAE-4A4C-9ECE-80D8E2C539CA}"/>
            </c:ext>
          </c:extLst>
        </c:ser>
        <c:dLbls>
          <c:showLegendKey val="0"/>
          <c:showVal val="0"/>
          <c:showCatName val="0"/>
          <c:showSerName val="0"/>
          <c:showPercent val="0"/>
          <c:showBubbleSize val="0"/>
        </c:dLbls>
        <c:axId val="1348597743"/>
        <c:axId val="1348595823"/>
      </c:scatterChart>
      <c:valAx>
        <c:axId val="1457309487"/>
        <c:scaling>
          <c:orientation val="minMax"/>
          <c:max val="56"/>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Fuel</a:t>
                </a:r>
                <a:r>
                  <a:rPr lang="en-US" baseline="0"/>
                  <a:t> Conversion (%)</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7308047"/>
        <c:crosses val="autoZero"/>
        <c:crossBetween val="midCat"/>
      </c:valAx>
      <c:valAx>
        <c:axId val="145730804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7309487"/>
        <c:crosses val="autoZero"/>
        <c:crossBetween val="midCat"/>
      </c:valAx>
      <c:valAx>
        <c:axId val="1348595823"/>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Flow rate (L/gcat/h)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8597743"/>
        <c:crosses val="max"/>
        <c:crossBetween val="midCat"/>
      </c:valAx>
      <c:valAx>
        <c:axId val="1348597743"/>
        <c:scaling>
          <c:orientation val="minMax"/>
        </c:scaling>
        <c:delete val="1"/>
        <c:axPos val="b"/>
        <c:numFmt formatCode="General" sourceLinked="1"/>
        <c:majorTickMark val="out"/>
        <c:minorTickMark val="none"/>
        <c:tickLblPos val="nextTo"/>
        <c:crossAx val="1348595823"/>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EIA">
    <a:dk1>
      <a:srgbClr val="000000"/>
    </a:dk1>
    <a:lt1>
      <a:srgbClr val="FFFFFF"/>
    </a:lt1>
    <a:dk2>
      <a:srgbClr val="003953"/>
    </a:dk2>
    <a:lt2>
      <a:srgbClr val="333333"/>
    </a:lt2>
    <a:accent1>
      <a:srgbClr val="0096D7"/>
    </a:accent1>
    <a:accent2>
      <a:srgbClr val="BD732A"/>
    </a:accent2>
    <a:accent3>
      <a:srgbClr val="5D9732"/>
    </a:accent3>
    <a:accent4>
      <a:srgbClr val="FFC702"/>
    </a:accent4>
    <a:accent5>
      <a:srgbClr val="A33340"/>
    </a:accent5>
    <a:accent6>
      <a:srgbClr val="675005"/>
    </a:accent6>
    <a:hlink>
      <a:srgbClr val="0096D7"/>
    </a:hlink>
    <a:folHlink>
      <a:srgbClr val="5D9732"/>
    </a:folHlink>
  </a:clrScheme>
  <a:fontScheme name="EIA 1">
    <a:majorFont>
      <a:latin typeface="Times New Roman"/>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86F30-7F8E-4681-A4F4-1665199EA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20029</TotalTime>
  <Pages>151</Pages>
  <Words>140603</Words>
  <Characters>801443</Characters>
  <Application>Microsoft Office Word</Application>
  <DocSecurity>0</DocSecurity>
  <Lines>6678</Lines>
  <Paragraphs>1880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Norman, Jaden M.</dc:creator>
  <cp:keywords/>
  <dc:description/>
  <cp:lastModifiedBy>Norman, Jaden M.</cp:lastModifiedBy>
  <cp:revision>2003</cp:revision>
  <dcterms:created xsi:type="dcterms:W3CDTF">2024-03-27T16:03:00Z</dcterms:created>
  <dcterms:modified xsi:type="dcterms:W3CDTF">2024-05-21T17:08:00Z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id="kTw8HzET"/&gt;&lt;style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 name="delayCitationUpdates" value="true"/&gt;&lt;pref name="dontAskDelayCitationUpdates" value="true"/&gt;&lt;/prefs&gt;&lt;/data&gt;</vt:lpwstr>
  </property>
</Properties>
</file>